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231BA">
      <w:pPr>
        <w:widowControl/>
        <w:jc w:val="left"/>
        <w:textAlignment w:val="center"/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Supplementary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1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. Patients’ inclusion and exclusion criteria for real world retrospective study.</w:t>
      </w:r>
    </w:p>
    <w:tbl>
      <w:tblPr>
        <w:tblStyle w:val="5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390A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0" w:type="auto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A0BE3F9">
            <w:pPr>
              <w:numPr>
                <w:ilvl w:val="0"/>
                <w:numId w:val="1"/>
              </w:numPr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The inclusion criteria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:</w:t>
            </w:r>
          </w:p>
        </w:tc>
      </w:tr>
      <w:tr w14:paraId="28C75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AC7ACE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>athologically and clinically confirmed unresectable stage III NSCLC based on the 8th edition of the AJCC staging system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;</w:t>
            </w:r>
          </w:p>
          <w:p w14:paraId="1E329FED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 xml:space="preserve">ECOG 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val="en-US" w:eastAsia="zh-CN" w:bidi="ar"/>
              </w:rPr>
              <w:t>PS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 xml:space="preserve"> of 0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 xml:space="preserve"> - 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>1;</w:t>
            </w:r>
          </w:p>
          <w:p w14:paraId="66B7B389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 xml:space="preserve">reatment with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PD-L1/PD-1 inhibitors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 xml:space="preserve"> following cCRT;</w:t>
            </w:r>
          </w:p>
          <w:p w14:paraId="70BBA1B4">
            <w:pPr>
              <w:widowControl/>
              <w:numPr>
                <w:ilvl w:val="0"/>
                <w:numId w:val="2"/>
              </w:numPr>
              <w:jc w:val="left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>Patients aged ≥ 18 years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.</w:t>
            </w:r>
          </w:p>
        </w:tc>
      </w:tr>
      <w:tr w14:paraId="28DF1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3EFAC6">
            <w:pPr>
              <w:numPr>
                <w:ilvl w:val="0"/>
                <w:numId w:val="1"/>
              </w:numP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The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ex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clusion criteria:</w:t>
            </w:r>
          </w:p>
        </w:tc>
      </w:tr>
      <w:tr w14:paraId="3791E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0" w:type="auto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4E0EF71"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equential chemoradiotherapy;</w:t>
            </w:r>
          </w:p>
          <w:p w14:paraId="1521A01E"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T</w:t>
            </w: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>reatment with either IO concurrent with cCRT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;</w:t>
            </w:r>
          </w:p>
          <w:p w14:paraId="62474909"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rior surgical intervention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;</w:t>
            </w:r>
          </w:p>
          <w:p w14:paraId="62AEF4B5"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  <w:lang w:bidi="ar"/>
              </w:rPr>
              <w:t>Genetic mutations were detected</w:t>
            </w:r>
            <w:r>
              <w:rPr>
                <w:rFonts w:hint="eastAsia" w:ascii="Times New Roman" w:hAnsi="Times New Roman" w:eastAsia="宋体" w:cs="Times New Roman"/>
                <w:sz w:val="22"/>
                <w:szCs w:val="22"/>
                <w:lang w:bidi="ar"/>
              </w:rPr>
              <w:t>;</w:t>
            </w:r>
          </w:p>
          <w:p w14:paraId="66592D0F">
            <w:pPr>
              <w:widowControl/>
              <w:numPr>
                <w:ilvl w:val="0"/>
                <w:numId w:val="3"/>
              </w:numPr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with other malignancies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</w:p>
        </w:tc>
      </w:tr>
    </w:tbl>
    <w:p w14:paraId="19B39975">
      <w:r>
        <w:rPr>
          <w:rFonts w:ascii="Times New Roman" w:hAnsi="Times New Roman" w:eastAsia="宋体" w:cs="Times New Roman"/>
          <w:sz w:val="22"/>
          <w:szCs w:val="22"/>
          <w:lang w:bidi="ar"/>
        </w:rPr>
        <w:t>Abbreviations: AJCC, American Joint Committee on Cancer; cCRT, concurrent chemoradiotherapy; ECOG</w:t>
      </w:r>
      <w:r>
        <w:rPr>
          <w:rFonts w:hint="eastAsia" w:ascii="Times New Roman" w:hAnsi="Times New Roman" w:eastAsia="宋体" w:cs="Times New Roman"/>
          <w:sz w:val="22"/>
          <w:szCs w:val="22"/>
          <w:lang w:val="en-US" w:eastAsia="zh-CN" w:bidi="ar"/>
        </w:rPr>
        <w:t xml:space="preserve"> PS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>, Eastern Cooperative Oncology Group</w:t>
      </w:r>
      <w:r>
        <w:rPr>
          <w:rFonts w:hint="eastAsia" w:ascii="Times New Roman" w:hAnsi="Times New Roman" w:eastAsia="宋体" w:cs="Times New Roman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performance status; IO, immunotherapy; NSCLC, non-small cell lung cancer; </w:t>
      </w:r>
      <w:r>
        <w:rPr>
          <w:rFonts w:ascii="Times New Roman" w:hAnsi="Times New Roman" w:cs="Times New Roman"/>
          <w:sz w:val="22"/>
          <w:szCs w:val="22"/>
        </w:rPr>
        <w:t xml:space="preserve">PD-1, </w:t>
      </w:r>
      <w:r>
        <w:rPr>
          <w:rFonts w:hint="eastAsia" w:ascii="Times New Roman" w:hAnsi="Times New Roman" w:cs="Times New Roman"/>
          <w:sz w:val="22"/>
          <w:szCs w:val="22"/>
        </w:rPr>
        <w:t>programmed cell death protein 1</w:t>
      </w:r>
      <w:r>
        <w:rPr>
          <w:rFonts w:ascii="Times New Roman" w:hAnsi="Times New Roman" w:cs="Times New Roman"/>
          <w:sz w:val="22"/>
          <w:szCs w:val="22"/>
        </w:rPr>
        <w:t>; PD-L1, programmed death-ligand 1.</w:t>
      </w:r>
    </w:p>
    <w:p w14:paraId="364672FA">
      <w:pPr>
        <w:spacing w:line="480" w:lineRule="auto"/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19945F5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 Table 2. The types of ICIs for the enrolled patients.</w:t>
      </w:r>
    </w:p>
    <w:tbl>
      <w:tblPr>
        <w:tblStyle w:val="5"/>
        <w:tblW w:w="4775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4084"/>
        <w:gridCol w:w="2093"/>
      </w:tblGrid>
      <w:tr w14:paraId="0BA184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01DA1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Type</w:t>
            </w:r>
          </w:p>
        </w:tc>
        <w:tc>
          <w:tcPr>
            <w:tcW w:w="2508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BD0ED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Drugs</w:t>
            </w:r>
          </w:p>
        </w:tc>
        <w:tc>
          <w:tcPr>
            <w:tcW w:w="1285" w:type="pct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93043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Count (%)</w:t>
            </w:r>
          </w:p>
        </w:tc>
      </w:tr>
      <w:tr w14:paraId="7F30C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E61A94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PD-1 inhibitors</w:t>
            </w:r>
          </w:p>
        </w:tc>
        <w:tc>
          <w:tcPr>
            <w:tcW w:w="250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13A8E4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Tislelizumab</w:t>
            </w:r>
          </w:p>
        </w:tc>
        <w:tc>
          <w:tcPr>
            <w:tcW w:w="128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5145D6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44 (24.31%)</w:t>
            </w:r>
          </w:p>
        </w:tc>
      </w:tr>
      <w:tr w14:paraId="39640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A01A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F02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Sintilimab 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6E2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(17.68%)</w:t>
            </w:r>
          </w:p>
        </w:tc>
      </w:tr>
      <w:tr w14:paraId="6E45B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6B39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50A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Camrelizumab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AE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(6.08%)</w:t>
            </w:r>
          </w:p>
        </w:tc>
      </w:tr>
      <w:tr w14:paraId="0F06A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273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73C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Pembrolizumab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E4F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(0.55%)</w:t>
            </w:r>
          </w:p>
        </w:tc>
      </w:tr>
      <w:tr w14:paraId="1C7B21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5007D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A51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Serplulimab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2C09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(0.55%)</w:t>
            </w:r>
          </w:p>
        </w:tc>
      </w:tr>
      <w:tr w14:paraId="0DC47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4056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FFC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Toripalimab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E5B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(0.55%)</w:t>
            </w:r>
          </w:p>
        </w:tc>
      </w:tr>
      <w:tr w14:paraId="0248F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9FDC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9C8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Penpulimab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031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(0.55%)</w:t>
            </w:r>
          </w:p>
        </w:tc>
      </w:tr>
      <w:tr w14:paraId="57421B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CE819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DE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Humanizedanti-Human PD-1 Monoclonal Antibody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8EF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(0.55%)</w:t>
            </w:r>
          </w:p>
        </w:tc>
      </w:tr>
      <w:tr w14:paraId="5DDF9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2F52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PD-L1 inhibitors</w:t>
            </w: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999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Durvalumab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5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62 (34.25%)</w:t>
            </w:r>
          </w:p>
        </w:tc>
      </w:tr>
      <w:tr w14:paraId="326EDD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B0063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BF5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Atezolizumab</w:t>
            </w:r>
          </w:p>
        </w:tc>
        <w:tc>
          <w:tcPr>
            <w:tcW w:w="12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84A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(6.63%)</w:t>
            </w:r>
          </w:p>
        </w:tc>
      </w:tr>
      <w:tr w14:paraId="143224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right w:val="nil"/>
            </w:tcBorders>
            <w:vAlign w:val="center"/>
          </w:tcPr>
          <w:p w14:paraId="623C356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right w:val="nil"/>
            </w:tcBorders>
            <w:vAlign w:val="center"/>
          </w:tcPr>
          <w:p w14:paraId="3AD9A9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Sugemalimab</w:t>
            </w:r>
          </w:p>
        </w:tc>
        <w:tc>
          <w:tcPr>
            <w:tcW w:w="1285" w:type="pct"/>
            <w:tcBorders>
              <w:top w:val="nil"/>
              <w:left w:val="nil"/>
              <w:right w:val="nil"/>
            </w:tcBorders>
            <w:vAlign w:val="center"/>
          </w:tcPr>
          <w:p w14:paraId="4B4E41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(6.63%)</w:t>
            </w:r>
          </w:p>
        </w:tc>
      </w:tr>
      <w:tr w14:paraId="0AA7A9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20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2BDC3D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2508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50F3C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Adebrelimab</w:t>
            </w:r>
          </w:p>
        </w:tc>
        <w:tc>
          <w:tcPr>
            <w:tcW w:w="1285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84ED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(1.66%)</w:t>
            </w:r>
          </w:p>
        </w:tc>
      </w:tr>
    </w:tbl>
    <w:p w14:paraId="5D1AE999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Abbreviations: ICIs, </w:t>
      </w:r>
      <w:r>
        <w:rPr>
          <w:rFonts w:hint="eastAsia"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z w:val="22"/>
          <w:szCs w:val="22"/>
        </w:rPr>
        <w:t xml:space="preserve">mmune checkpoint inhibitors; PD-1, </w:t>
      </w:r>
      <w:r>
        <w:rPr>
          <w:rFonts w:hint="eastAsia" w:ascii="Times New Roman" w:hAnsi="Times New Roman" w:cs="Times New Roman"/>
          <w:sz w:val="22"/>
          <w:szCs w:val="22"/>
        </w:rPr>
        <w:t>programmed cell death protein 1</w:t>
      </w:r>
      <w:r>
        <w:rPr>
          <w:rFonts w:ascii="Times New Roman" w:hAnsi="Times New Roman" w:cs="Times New Roman"/>
          <w:sz w:val="22"/>
          <w:szCs w:val="22"/>
        </w:rPr>
        <w:t xml:space="preserve">; PD-L1, </w:t>
      </w:r>
      <w:r>
        <w:rPr>
          <w:rFonts w:hint="eastAsia" w:ascii="Times New Roman" w:hAnsi="Times New Roman" w:cs="Times New Roman"/>
          <w:sz w:val="22"/>
          <w:szCs w:val="22"/>
        </w:rPr>
        <w:t>p</w:t>
      </w:r>
      <w:r>
        <w:rPr>
          <w:rFonts w:ascii="Times New Roman" w:hAnsi="Times New Roman" w:cs="Times New Roman"/>
          <w:sz w:val="22"/>
          <w:szCs w:val="22"/>
        </w:rPr>
        <w:t>rogrammed death-ligand 1.</w:t>
      </w:r>
    </w:p>
    <w:p w14:paraId="6C808538">
      <w:pPr>
        <w:spacing w:line="480" w:lineRule="auto"/>
        <w:rPr>
          <w:rFonts w:ascii="Times New Roman" w:hAnsi="Times New Roman" w:cs="Times New Roman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A233248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Table 3. Post-progression treatment patterns according to consolidation immunotherapy group.</w:t>
      </w:r>
    </w:p>
    <w:tbl>
      <w:tblPr>
        <w:tblStyle w:val="5"/>
        <w:tblW w:w="9252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4"/>
        <w:gridCol w:w="3000"/>
        <w:gridCol w:w="3048"/>
      </w:tblGrid>
      <w:tr w14:paraId="11F2E1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5E865C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Characteristics</w:t>
            </w:r>
          </w:p>
        </w:tc>
        <w:tc>
          <w:tcPr>
            <w:tcW w:w="3000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24B9E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PD-1 inhibitor group, n/N (%)</w:t>
            </w:r>
          </w:p>
        </w:tc>
        <w:tc>
          <w:tcPr>
            <w:tcW w:w="3048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F9999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PD-L1 inhibitor group, n/N (%)</w:t>
            </w:r>
          </w:p>
        </w:tc>
      </w:tr>
      <w:tr w14:paraId="7EF90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AAD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Documented disease progression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1FB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50/92 (54.3)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B5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39/89 (43.8)</w:t>
            </w:r>
          </w:p>
        </w:tc>
      </w:tr>
      <w:tr w14:paraId="25D20D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A09F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Post-progression treatment data available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036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27/50 (54.0)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6E7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32/39 (82.1)</w:t>
            </w:r>
          </w:p>
        </w:tc>
      </w:tr>
      <w:tr w14:paraId="1A399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8FD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Post-progression treatment data unavailable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65A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23/50 (46.0)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F26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7/39 (17.9)</w:t>
            </w:r>
          </w:p>
        </w:tc>
      </w:tr>
      <w:tr w14:paraId="3E7FF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0BD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Subsequent treatments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7856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9E15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5AED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48FA9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Chemotherapy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0B7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18/27 (66.7)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4D1B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28/32 (87.5)</w:t>
            </w:r>
          </w:p>
        </w:tc>
      </w:tr>
      <w:tr w14:paraId="0220D9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1AE94C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PD-1 inhibitor therapy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EE7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14/27 (51.9)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CB2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11/32 (34.4)</w:t>
            </w:r>
          </w:p>
        </w:tc>
      </w:tr>
      <w:tr w14:paraId="7DCFB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90D2B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PD-L1 inhibitor therapy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BF2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0/27 (0.0)</w:t>
            </w:r>
          </w:p>
        </w:tc>
        <w:tc>
          <w:tcPr>
            <w:tcW w:w="304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FCC9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7/32 (21.9)</w:t>
            </w:r>
          </w:p>
        </w:tc>
      </w:tr>
      <w:tr w14:paraId="7D4B1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right w:val="nil"/>
            </w:tcBorders>
            <w:vAlign w:val="center"/>
          </w:tcPr>
          <w:p w14:paraId="53E6B43F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Antiangiogenic therapy</w:t>
            </w:r>
          </w:p>
        </w:tc>
        <w:tc>
          <w:tcPr>
            <w:tcW w:w="3000" w:type="dxa"/>
            <w:tcBorders>
              <w:top w:val="nil"/>
              <w:left w:val="nil"/>
              <w:right w:val="nil"/>
            </w:tcBorders>
            <w:vAlign w:val="center"/>
          </w:tcPr>
          <w:p w14:paraId="055967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15/27 (55.6)</w:t>
            </w:r>
          </w:p>
        </w:tc>
        <w:tc>
          <w:tcPr>
            <w:tcW w:w="3048" w:type="dxa"/>
            <w:tcBorders>
              <w:top w:val="nil"/>
              <w:left w:val="nil"/>
              <w:right w:val="nil"/>
            </w:tcBorders>
            <w:vAlign w:val="center"/>
          </w:tcPr>
          <w:p w14:paraId="467885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15/32 (46.9)</w:t>
            </w:r>
          </w:p>
        </w:tc>
      </w:tr>
      <w:tr w14:paraId="7A5FD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04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56D354C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Radiotherapy</w:t>
            </w:r>
          </w:p>
        </w:tc>
        <w:tc>
          <w:tcPr>
            <w:tcW w:w="30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F647A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18/27 (66.7)</w:t>
            </w:r>
          </w:p>
        </w:tc>
        <w:tc>
          <w:tcPr>
            <w:tcW w:w="304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D57C9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22/32 (68.8)</w:t>
            </w:r>
          </w:p>
        </w:tc>
      </w:tr>
    </w:tbl>
    <w:p w14:paraId="7EA20C49">
      <w:pPr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</w:rPr>
        <w:t>Abbreviations: PD-1, programmed cell death protein 1; PD-L1, programmed death-ligand 1.</w:t>
      </w:r>
    </w:p>
    <w:p w14:paraId="26B3D800">
      <w:pPr>
        <w:rPr>
          <w:rFonts w:ascii="Times New Roman" w:hAnsi="Times New Roman" w:cs="Times New Roman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43586F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 Table 4. Subgroup interaction analyses for PFS and OS with false discovery rate adjustment.</w:t>
      </w:r>
    </w:p>
    <w:tbl>
      <w:tblPr>
        <w:tblStyle w:val="5"/>
        <w:tblW w:w="9474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7"/>
        <w:gridCol w:w="1826"/>
        <w:gridCol w:w="1826"/>
        <w:gridCol w:w="240"/>
        <w:gridCol w:w="1782"/>
        <w:gridCol w:w="1813"/>
      </w:tblGrid>
      <w:tr w14:paraId="03362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vMerge w:val="restart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EF59B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variable</w:t>
            </w:r>
          </w:p>
        </w:tc>
        <w:tc>
          <w:tcPr>
            <w:tcW w:w="3652" w:type="dxa"/>
            <w:gridSpan w:val="2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A5EC0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PFS</w:t>
            </w:r>
          </w:p>
        </w:tc>
        <w:tc>
          <w:tcPr>
            <w:tcW w:w="240" w:type="dxa"/>
            <w:tcBorders>
              <w:top w:val="single" w:color="auto" w:sz="12" w:space="0"/>
              <w:left w:val="nil"/>
              <w:bottom w:val="nil"/>
              <w:right w:val="nil"/>
            </w:tcBorders>
            <w:noWrap/>
            <w:vAlign w:val="center"/>
          </w:tcPr>
          <w:p w14:paraId="332FC7BE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595" w:type="dxa"/>
            <w:gridSpan w:val="2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C3E73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OS</w:t>
            </w:r>
          </w:p>
        </w:tc>
      </w:tr>
      <w:tr w14:paraId="1C09D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B531713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2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681C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for interaction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3F4D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FDR-adjusted 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03AD188">
            <w:pPr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5252E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for interaction</w:t>
            </w:r>
          </w:p>
        </w:tc>
        <w:tc>
          <w:tcPr>
            <w:tcW w:w="1813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DC11F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FDR-adjusted 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</w:tr>
      <w:tr w14:paraId="003B59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D82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Age group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A49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0.170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A6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FAA94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E14C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0.250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A2F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19E8F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519E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D9D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0.442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4A0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C12C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DED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0.710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4DE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39DB2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7D8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ECOG score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14D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0.410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F0F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5356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F1F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0.129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43FF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220D58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6A5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Smoking history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C79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BDC5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0.110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CB48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595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0.170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1ACA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09D09D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4141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Drinking history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6CD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0.941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8A7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0.941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A8DA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1664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0.581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5B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4B649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844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hypertension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EDF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0.181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85B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0.603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7AAB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705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0.513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62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0D223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26C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diabetes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55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0.537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6A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0.671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58D8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239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0.562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E5C8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17DB6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DAB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heart disease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967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0.289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B9C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DAD1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E04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0.659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6845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745A3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right w:val="nil"/>
            </w:tcBorders>
            <w:vAlign w:val="center"/>
          </w:tcPr>
          <w:p w14:paraId="60DF416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Pathological type</w:t>
            </w:r>
          </w:p>
        </w:tc>
        <w:tc>
          <w:tcPr>
            <w:tcW w:w="1826" w:type="dxa"/>
            <w:tcBorders>
              <w:top w:val="nil"/>
              <w:left w:val="nil"/>
              <w:right w:val="nil"/>
            </w:tcBorders>
            <w:vAlign w:val="center"/>
          </w:tcPr>
          <w:p w14:paraId="149145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0.702</w:t>
            </w:r>
          </w:p>
        </w:tc>
        <w:tc>
          <w:tcPr>
            <w:tcW w:w="1826" w:type="dxa"/>
            <w:tcBorders>
              <w:top w:val="nil"/>
              <w:left w:val="nil"/>
              <w:right w:val="nil"/>
            </w:tcBorders>
            <w:vAlign w:val="center"/>
          </w:tcPr>
          <w:p w14:paraId="4CC44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0.780</w:t>
            </w:r>
          </w:p>
        </w:tc>
        <w:tc>
          <w:tcPr>
            <w:tcW w:w="240" w:type="dxa"/>
            <w:tcBorders>
              <w:top w:val="nil"/>
              <w:left w:val="nil"/>
              <w:right w:val="nil"/>
            </w:tcBorders>
            <w:vAlign w:val="center"/>
          </w:tcPr>
          <w:p w14:paraId="1350EFF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right w:val="nil"/>
            </w:tcBorders>
            <w:vAlign w:val="center"/>
          </w:tcPr>
          <w:p w14:paraId="69EFAF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0.544</w:t>
            </w:r>
          </w:p>
        </w:tc>
        <w:tc>
          <w:tcPr>
            <w:tcW w:w="1813" w:type="dxa"/>
            <w:tcBorders>
              <w:top w:val="nil"/>
              <w:left w:val="nil"/>
              <w:right w:val="nil"/>
            </w:tcBorders>
            <w:vAlign w:val="center"/>
          </w:tcPr>
          <w:p w14:paraId="3969A5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0.789</w:t>
            </w:r>
          </w:p>
        </w:tc>
      </w:tr>
      <w:tr w14:paraId="5BE683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987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B8BAD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TNM stage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FC68B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0.327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AF003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68E41A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8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26235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0.851</w:t>
            </w:r>
          </w:p>
        </w:tc>
        <w:tc>
          <w:tcPr>
            <w:tcW w:w="181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62E5D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0.851</w:t>
            </w:r>
          </w:p>
        </w:tc>
      </w:tr>
    </w:tbl>
    <w:p w14:paraId="6094A78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eastAsia="宋体" w:cs="Times New Roman"/>
          <w:sz w:val="22"/>
          <w:szCs w:val="22"/>
          <w:lang w:bidi="ar"/>
        </w:rPr>
        <w:t xml:space="preserve">Abbreviations: ECOG, Eastern Cooperative Oncology Group; </w:t>
      </w:r>
      <w:r>
        <w:rPr>
          <w:rFonts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 xml:space="preserve">FDR, false discovery rate; </w:t>
      </w:r>
      <w:r>
        <w:rPr>
          <w:rFonts w:ascii="Times New Roman" w:hAnsi="Times New Roman" w:cs="Times New Roman"/>
          <w:sz w:val="22"/>
          <w:szCs w:val="22"/>
        </w:rPr>
        <w:t>OS, overall survival; PFS, progression-free survival; RT, radiotherapy; TNM, tumor node metastasis classification.</w:t>
      </w:r>
    </w:p>
    <w:p w14:paraId="6E9865B7">
      <w:pPr>
        <w:rPr>
          <w:rFonts w:ascii="Times New Roman" w:hAnsi="Times New Roman" w:cs="Times New Roman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66DCA4A">
      <w:pPr>
        <w:rPr>
          <w:sz w:val="22"/>
          <w:szCs w:val="22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Table 5. </w:t>
      </w:r>
      <w:bookmarkStart w:id="0" w:name="_GoBack"/>
      <w:bookmarkEnd w:id="0"/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C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ox regression for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overall survival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among patients receiving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val="en-US" w:eastAsia="zh-CN" w:bidi="ar"/>
        </w:rPr>
        <w:t>ICIs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following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cCR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T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(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n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= 1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81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)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.</w:t>
      </w:r>
    </w:p>
    <w:tbl>
      <w:tblPr>
        <w:tblStyle w:val="5"/>
        <w:tblW w:w="5122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7"/>
        <w:gridCol w:w="2189"/>
        <w:gridCol w:w="932"/>
        <w:gridCol w:w="2196"/>
        <w:gridCol w:w="896"/>
      </w:tblGrid>
      <w:tr w14:paraId="3EA09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1441" w:type="pct"/>
            <w:vMerge w:val="restart"/>
            <w:tcBorders>
              <w:top w:val="single" w:color="auto" w:sz="12" w:space="0"/>
              <w:left w:val="nil"/>
              <w:right w:val="nil"/>
            </w:tcBorders>
            <w:noWrap/>
            <w:vAlign w:val="center"/>
          </w:tcPr>
          <w:p w14:paraId="41DCA20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Characteristics</w:t>
            </w:r>
          </w:p>
        </w:tc>
        <w:tc>
          <w:tcPr>
            <w:tcW w:w="1787" w:type="pct"/>
            <w:gridSpan w:val="2"/>
            <w:tcBorders>
              <w:top w:val="single" w:color="auto" w:sz="12" w:space="0"/>
              <w:left w:val="nil"/>
              <w:right w:val="nil"/>
            </w:tcBorders>
            <w:noWrap/>
            <w:vAlign w:val="center"/>
          </w:tcPr>
          <w:p w14:paraId="17551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Univariate analysis</w:t>
            </w:r>
          </w:p>
        </w:tc>
        <w:tc>
          <w:tcPr>
            <w:tcW w:w="1770" w:type="pct"/>
            <w:gridSpan w:val="2"/>
            <w:tcBorders>
              <w:top w:val="single" w:color="auto" w:sz="12" w:space="0"/>
              <w:left w:val="nil"/>
              <w:right w:val="nil"/>
            </w:tcBorders>
            <w:noWrap/>
            <w:vAlign w:val="center"/>
          </w:tcPr>
          <w:p w14:paraId="79EF3E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Multivariate analysis</w:t>
            </w:r>
          </w:p>
        </w:tc>
      </w:tr>
      <w:tr w14:paraId="7D196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441" w:type="pct"/>
            <w:vMerge w:val="continue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1DAB407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3" w:type="pct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9AD1F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HR (95% CI)</w:t>
            </w:r>
          </w:p>
        </w:tc>
        <w:tc>
          <w:tcPr>
            <w:tcW w:w="533" w:type="pct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06AF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Style w:val="9"/>
                <w:rFonts w:eastAsia="宋体"/>
                <w:lang w:bidi="ar"/>
              </w:rPr>
              <w:t xml:space="preserve">P </w:t>
            </w:r>
            <w:r>
              <w:rPr>
                <w:rStyle w:val="10"/>
                <w:rFonts w:eastAsia="宋体"/>
                <w:lang w:bidi="ar"/>
              </w:rPr>
              <w:t>value</w:t>
            </w:r>
          </w:p>
        </w:tc>
        <w:tc>
          <w:tcPr>
            <w:tcW w:w="1257" w:type="pct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93D83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HR (95% CI)</w:t>
            </w:r>
          </w:p>
        </w:tc>
        <w:tc>
          <w:tcPr>
            <w:tcW w:w="513" w:type="pct"/>
            <w:tcBorders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A5B14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i/>
                <w:iCs/>
                <w:color w:val="000000"/>
                <w:sz w:val="22"/>
                <w:szCs w:val="22"/>
              </w:rPr>
            </w:pPr>
            <w:r>
              <w:rPr>
                <w:rStyle w:val="9"/>
                <w:rFonts w:eastAsia="宋体"/>
                <w:lang w:bidi="ar"/>
              </w:rPr>
              <w:t xml:space="preserve">P </w:t>
            </w:r>
            <w:r>
              <w:rPr>
                <w:rStyle w:val="10"/>
                <w:rFonts w:eastAsia="宋体"/>
                <w:lang w:bidi="ar"/>
              </w:rPr>
              <w:t>value</w:t>
            </w:r>
          </w:p>
        </w:tc>
      </w:tr>
      <w:tr w14:paraId="60C16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441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0B7512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Age (year)</w:t>
            </w:r>
          </w:p>
        </w:tc>
        <w:tc>
          <w:tcPr>
            <w:tcW w:w="125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265483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1.04 (1.00 - 1.08)</w:t>
            </w:r>
          </w:p>
        </w:tc>
        <w:tc>
          <w:tcPr>
            <w:tcW w:w="53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F57D1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0.072</w:t>
            </w:r>
          </w:p>
        </w:tc>
        <w:tc>
          <w:tcPr>
            <w:tcW w:w="1257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479C85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1.02 (0.98 - 1.07)</w:t>
            </w:r>
          </w:p>
        </w:tc>
        <w:tc>
          <w:tcPr>
            <w:tcW w:w="513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6A50A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0.101</w:t>
            </w:r>
          </w:p>
        </w:tc>
      </w:tr>
      <w:tr w14:paraId="2874CE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5108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DB85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938BB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B0DC5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2F295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34B1F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764A67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AE8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DD8C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413CB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EE8F2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9F248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289129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984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0.94 (0.33 - 2.63)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539A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0.902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F0F18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6F49C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B90F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4426F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BMI (per kg/m²)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9CD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1.01 (0.92 - 1.12)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773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0.774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E838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3F04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81D5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9917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NRS2002 score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676D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0.75 (0.46 - 1.21)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3A7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0.234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6AFF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D0EED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33C6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189C8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ECOG PS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B904E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23665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8980D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3D849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8ED1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6411A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CD9C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3C6B8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EBC4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7DCE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51D59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FF0F2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30E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2.01 (1.06 - 3.80)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B74C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0.033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428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2.20 (1.14 - 4.23)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C7A7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0.018</w:t>
            </w:r>
          </w:p>
        </w:tc>
      </w:tr>
      <w:tr w14:paraId="406283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AD1C7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Smoking history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6646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6E7E7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F6888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E7B1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3D5A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9A9F04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9BD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3451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B0152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1E897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E2A6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6DC73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FD76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1.47 (0.73 - 2.99)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3BE3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0.283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D9F4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5E66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15271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E08E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Drinking history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6EB12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909D5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7F53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E32A6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6925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21303D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DDB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EB40E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4B05C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A9115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86CD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EF612D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5A8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0.72 (0.38 - 1.35)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1B36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0.304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58FB2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567D8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492F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7B535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hypertension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ED795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4C344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1EBB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5915B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8C04D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DD8CC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BF45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49436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B3F21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2FD4C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ACB7D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C2BD8E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0D9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0.92 (0.47 - 1.80)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4E7A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0.811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7D019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77C6C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C508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91A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heart disease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C6648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A346D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A9B5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0C12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FC20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379B7A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022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00222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5A434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F77B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FE6A9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B558B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5A4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1.33 (0.52 - 3.39)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1E12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0.547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6C41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83FC9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54B1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C7B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diabetes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0921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66F8A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F277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98DC4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F9EA6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3DAA50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06CF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46E84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952F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9B6BF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883D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6B26C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D9E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1.04 (0.37 - 2.92)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122D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0.937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3647B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14E7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9965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D0D5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Pathological type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42200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1575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D6B56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6E3E8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4022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D5553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Squamous carcinoma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C1B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C1BA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33661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A772C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876E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B7752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Adenocarcinoma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84C9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1.08 (0.57 - 2.02)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72C5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0.819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0A3B7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19D5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7BA26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1F6C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TNM stage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F617D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FFCDD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EE55B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C2EAE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B0115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7E0D4B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E160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47A9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FC8B4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687B5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C865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81BE3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0F5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0.85 (0.45 - 1.61)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0CB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0.624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6145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C76FC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4B40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5F29B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503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0.74 (0.28 - 2.01)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E7F9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0.559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D1334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58B0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ED0BD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922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Tumor location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130A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AEFC6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0628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CB3AB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E526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ACC32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Upper lobe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5CA5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BE856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607C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7A230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40ED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905DF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Middle or lower lobe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1E18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1.83 (1.00 - 3.35)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7F3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0.049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796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1.69 (0.91 - 3.11)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977A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0.094</w:t>
            </w:r>
          </w:p>
        </w:tc>
      </w:tr>
      <w:tr w14:paraId="4ADDB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044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Tumor laterality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568E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7139F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AC99A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AF28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0B1C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A2DA7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Left lung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6E5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53E88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6003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F978A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1CF3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4088B1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Right lung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10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2.39 (1.24 - 4.58)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927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0.009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67574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2.59 (1.34 - 5.03)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3940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0.005</w:t>
            </w:r>
          </w:p>
        </w:tc>
      </w:tr>
      <w:tr w14:paraId="098138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D144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The interval between IO and RT (per day)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7DFD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1.00 (0.99 - 1.01)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428A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0.503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2298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A72E8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FB6F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F3D4E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Total dose (per Gy)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B78E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1.02 (0.95 - 1.09)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92CE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0.649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EF6A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737DE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5A98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DFC9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Dose per fraction (per Gy)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F48B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  <w:t>0.79 (0.13 - 4.83)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2984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0.799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C72E1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890C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1F735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529B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ICIs</w:t>
            </w:r>
          </w:p>
        </w:tc>
        <w:tc>
          <w:tcPr>
            <w:tcW w:w="125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6EA9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87605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43B3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96C9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2582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1441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3B7A70C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PD-1 inhibitors</w:t>
            </w:r>
          </w:p>
        </w:tc>
        <w:tc>
          <w:tcPr>
            <w:tcW w:w="125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33B17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8E6759F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25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7DC0B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Reference</w:t>
            </w:r>
          </w:p>
        </w:tc>
        <w:tc>
          <w:tcPr>
            <w:tcW w:w="51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26612B0">
            <w:pPr>
              <w:jc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5024D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441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4380D9A4">
            <w:pPr>
              <w:widowControl/>
              <w:ind w:firstLine="330" w:firstLineChars="150"/>
              <w:jc w:val="left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PD-L1 inhibitors</w:t>
            </w:r>
          </w:p>
        </w:tc>
        <w:tc>
          <w:tcPr>
            <w:tcW w:w="1253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35A631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0.55 (0.30 - 1.02)</w:t>
            </w:r>
          </w:p>
        </w:tc>
        <w:tc>
          <w:tcPr>
            <w:tcW w:w="533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73E06F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lang w:bidi="ar"/>
              </w:rPr>
              <w:t>0.056</w:t>
            </w:r>
          </w:p>
        </w:tc>
        <w:tc>
          <w:tcPr>
            <w:tcW w:w="1257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12A1A3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0.60 (0.32 - 1.11)</w:t>
            </w:r>
          </w:p>
        </w:tc>
        <w:tc>
          <w:tcPr>
            <w:tcW w:w="513" w:type="pct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0B6718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sz w:val="22"/>
                <w:szCs w:val="22"/>
              </w:rPr>
              <w:t>0.101</w:t>
            </w:r>
          </w:p>
        </w:tc>
      </w:tr>
    </w:tbl>
    <w:p w14:paraId="63C84E1C">
      <w:pPr>
        <w:widowControl/>
        <w:jc w:val="left"/>
        <w:textAlignment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Abbreviations: BMI, </w:t>
      </w:r>
      <w:r>
        <w:rPr>
          <w:rFonts w:hint="eastAsia" w:ascii="Times New Roman" w:hAnsi="Times New Roman" w:cs="Times New Roman"/>
          <w:sz w:val="22"/>
          <w:szCs w:val="22"/>
        </w:rPr>
        <w:t>b</w:t>
      </w:r>
      <w:r>
        <w:rPr>
          <w:rFonts w:ascii="Times New Roman" w:hAnsi="Times New Roman" w:cs="Times New Roman"/>
          <w:sz w:val="22"/>
          <w:szCs w:val="22"/>
        </w:rPr>
        <w:t xml:space="preserve">ody mass index; </w:t>
      </w:r>
      <w:r>
        <w:rPr>
          <w:rFonts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 xml:space="preserve">cCRT, 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>c</w:t>
      </w:r>
      <w:r>
        <w:rPr>
          <w:rFonts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>oncurrent chemoradiotherapy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>;</w:t>
      </w:r>
      <w:r>
        <w:rPr>
          <w:rFonts w:ascii="Times New Roman" w:hAnsi="Times New Roman" w:cs="Times New Roman"/>
          <w:sz w:val="22"/>
          <w:szCs w:val="22"/>
        </w:rPr>
        <w:t xml:space="preserve"> CI, </w:t>
      </w:r>
      <w:r>
        <w:rPr>
          <w:rFonts w:hint="eastAsia" w:ascii="Times New Roman" w:hAnsi="Times New Roman" w:cs="Times New Roman"/>
          <w:sz w:val="22"/>
          <w:szCs w:val="22"/>
        </w:rPr>
        <w:t>c</w:t>
      </w:r>
      <w:r>
        <w:rPr>
          <w:rFonts w:ascii="Times New Roman" w:hAnsi="Times New Roman" w:cs="Times New Roman"/>
          <w:sz w:val="22"/>
          <w:szCs w:val="22"/>
        </w:rPr>
        <w:t>onfidence interval;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ECOG PS, Eastern Cooperative Oncology Group performance status;</w:t>
      </w:r>
      <w:r>
        <w:rPr>
          <w:rFonts w:hint="eastAsia"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HR, </w:t>
      </w:r>
      <w:r>
        <w:rPr>
          <w:rFonts w:hint="eastAsia" w:ascii="Times New Roman" w:hAnsi="Times New Roman" w:cs="Times New Roman"/>
          <w:sz w:val="22"/>
          <w:szCs w:val="22"/>
        </w:rPr>
        <w:t>h</w:t>
      </w:r>
      <w:r>
        <w:rPr>
          <w:rFonts w:ascii="Times New Roman" w:hAnsi="Times New Roman" w:cs="Times New Roman"/>
          <w:sz w:val="22"/>
          <w:szCs w:val="22"/>
        </w:rPr>
        <w:t xml:space="preserve">azard ratio; </w:t>
      </w:r>
      <w:r>
        <w:rPr>
          <w:rFonts w:hint="eastAsia" w:ascii="Times New Roman" w:hAnsi="Times New Roman" w:cs="Times New Roman"/>
          <w:sz w:val="22"/>
          <w:szCs w:val="22"/>
        </w:rPr>
        <w:t>ICIs, i</w:t>
      </w:r>
      <w:r>
        <w:rPr>
          <w:rFonts w:ascii="Times New Roman" w:hAnsi="Times New Roman" w:cs="Times New Roman"/>
          <w:sz w:val="22"/>
          <w:szCs w:val="22"/>
        </w:rPr>
        <w:t>mmune checkpoint inhibitors</w:t>
      </w:r>
      <w:r>
        <w:rPr>
          <w:rFonts w:hint="eastAsia" w:ascii="Times New Roman" w:hAnsi="Times New Roman" w:cs="Times New Roman"/>
          <w:sz w:val="22"/>
          <w:szCs w:val="22"/>
        </w:rPr>
        <w:t xml:space="preserve">; </w:t>
      </w:r>
      <w:r>
        <w:rPr>
          <w:rFonts w:ascii="Times New Roman" w:hAnsi="Times New Roman" w:cs="Times New Roman"/>
          <w:sz w:val="22"/>
          <w:szCs w:val="22"/>
        </w:rPr>
        <w:t xml:space="preserve">IO, </w:t>
      </w:r>
      <w:r>
        <w:rPr>
          <w:rFonts w:hint="eastAsia" w:ascii="Times New Roman" w:hAnsi="Times New Roman" w:cs="Times New Roman"/>
          <w:sz w:val="22"/>
          <w:szCs w:val="22"/>
        </w:rPr>
        <w:t>i</w:t>
      </w:r>
      <w:r>
        <w:rPr>
          <w:rFonts w:ascii="Times New Roman" w:hAnsi="Times New Roman" w:cs="Times New Roman"/>
          <w:sz w:val="22"/>
          <w:szCs w:val="22"/>
        </w:rPr>
        <w:t>mmunotherapy;</w:t>
      </w:r>
      <w:r>
        <w:rPr>
          <w:rFonts w:hint="eastAsia"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NRS2002, </w:t>
      </w:r>
      <w:r>
        <w:rPr>
          <w:rFonts w:hint="eastAsia" w:ascii="Times New Roman" w:hAnsi="Times New Roman" w:cs="Times New Roman"/>
          <w:sz w:val="22"/>
          <w:szCs w:val="22"/>
        </w:rPr>
        <w:t>n</w:t>
      </w:r>
      <w:r>
        <w:rPr>
          <w:rFonts w:ascii="Times New Roman" w:hAnsi="Times New Roman" w:cs="Times New Roman"/>
          <w:sz w:val="22"/>
          <w:szCs w:val="22"/>
        </w:rPr>
        <w:t xml:space="preserve">utritional </w:t>
      </w:r>
      <w:r>
        <w:rPr>
          <w:rFonts w:hint="eastAsia" w:ascii="Times New Roman" w:hAnsi="Times New Roman" w:cs="Times New Roman"/>
          <w:sz w:val="22"/>
          <w:szCs w:val="22"/>
        </w:rPr>
        <w:t>r</w:t>
      </w:r>
      <w:r>
        <w:rPr>
          <w:rFonts w:ascii="Times New Roman" w:hAnsi="Times New Roman" w:cs="Times New Roman"/>
          <w:sz w:val="22"/>
          <w:szCs w:val="22"/>
        </w:rPr>
        <w:t xml:space="preserve">isk </w:t>
      </w:r>
      <w:r>
        <w:rPr>
          <w:rFonts w:hint="eastAsia" w:ascii="Times New Roman" w:hAnsi="Times New Roman" w:cs="Times New Roman"/>
          <w:sz w:val="22"/>
          <w:szCs w:val="22"/>
        </w:rPr>
        <w:t>s</w:t>
      </w:r>
      <w:r>
        <w:rPr>
          <w:rFonts w:ascii="Times New Roman" w:hAnsi="Times New Roman" w:cs="Times New Roman"/>
          <w:sz w:val="22"/>
          <w:szCs w:val="22"/>
        </w:rPr>
        <w:t xml:space="preserve">creening 2002; PD-1, </w:t>
      </w:r>
      <w:r>
        <w:rPr>
          <w:rFonts w:hint="eastAsia" w:ascii="Times New Roman" w:hAnsi="Times New Roman" w:cs="Times New Roman"/>
          <w:sz w:val="22"/>
          <w:szCs w:val="22"/>
        </w:rPr>
        <w:t>programmed cell death protein 1</w:t>
      </w:r>
      <w:r>
        <w:rPr>
          <w:rFonts w:ascii="Times New Roman" w:hAnsi="Times New Roman" w:cs="Times New Roman"/>
          <w:sz w:val="22"/>
          <w:szCs w:val="22"/>
        </w:rPr>
        <w:t>; PD-L1,</w:t>
      </w:r>
      <w:r>
        <w:rPr>
          <w:rFonts w:hint="eastAsia" w:ascii="Times New Roman" w:hAnsi="Times New Roman" w:cs="Times New Roman"/>
          <w:sz w:val="22"/>
          <w:szCs w:val="22"/>
        </w:rPr>
        <w:t xml:space="preserve"> p</w:t>
      </w:r>
      <w:r>
        <w:rPr>
          <w:rFonts w:ascii="Times New Roman" w:hAnsi="Times New Roman" w:cs="Times New Roman"/>
          <w:sz w:val="22"/>
          <w:szCs w:val="22"/>
        </w:rPr>
        <w:t>rogrammed death-ligand 1</w:t>
      </w:r>
      <w:r>
        <w:rPr>
          <w:rFonts w:hint="eastAsia" w:ascii="Times New Roman" w:hAnsi="Times New Roman" w:cs="Times New Roman"/>
          <w:sz w:val="22"/>
          <w:szCs w:val="22"/>
        </w:rPr>
        <w:t xml:space="preserve">; </w:t>
      </w:r>
      <w:r>
        <w:rPr>
          <w:rFonts w:ascii="Times New Roman" w:hAnsi="Times New Roman" w:cs="Times New Roman"/>
          <w:sz w:val="22"/>
          <w:szCs w:val="22"/>
        </w:rPr>
        <w:t xml:space="preserve">RT, </w:t>
      </w:r>
      <w:r>
        <w:rPr>
          <w:rFonts w:hint="eastAsia" w:ascii="Times New Roman" w:hAnsi="Times New Roman" w:cs="Times New Roman"/>
          <w:sz w:val="22"/>
          <w:szCs w:val="22"/>
        </w:rPr>
        <w:t>r</w:t>
      </w:r>
      <w:r>
        <w:rPr>
          <w:rFonts w:ascii="Times New Roman" w:hAnsi="Times New Roman" w:cs="Times New Roman"/>
          <w:sz w:val="22"/>
          <w:szCs w:val="22"/>
        </w:rPr>
        <w:t>adiotherapy</w:t>
      </w:r>
      <w:r>
        <w:rPr>
          <w:rFonts w:hint="eastAsia" w:ascii="Times New Roman" w:hAnsi="Times New Roman" w:cs="Times New Roman"/>
          <w:sz w:val="22"/>
          <w:szCs w:val="22"/>
        </w:rPr>
        <w:t xml:space="preserve">; </w:t>
      </w:r>
      <w:r>
        <w:rPr>
          <w:rFonts w:ascii="Times New Roman" w:hAnsi="Times New Roman" w:cs="Times New Roman"/>
          <w:sz w:val="22"/>
          <w:szCs w:val="22"/>
        </w:rPr>
        <w:t xml:space="preserve">TNM, </w:t>
      </w:r>
      <w:r>
        <w:rPr>
          <w:rFonts w:hint="eastAsia" w:ascii="Times New Roman" w:hAnsi="Times New Roman" w:cs="Times New Roman"/>
          <w:sz w:val="22"/>
          <w:szCs w:val="22"/>
        </w:rPr>
        <w:t>t</w:t>
      </w:r>
      <w:r>
        <w:rPr>
          <w:rFonts w:ascii="Times New Roman" w:hAnsi="Times New Roman" w:cs="Times New Roman"/>
          <w:sz w:val="22"/>
          <w:szCs w:val="22"/>
        </w:rPr>
        <w:t>umor node metastasis classification</w:t>
      </w:r>
      <w:r>
        <w:rPr>
          <w:rFonts w:hint="eastAsia" w:ascii="Times New Roman" w:hAnsi="Times New Roman" w:cs="Times New Roman"/>
          <w:sz w:val="22"/>
          <w:szCs w:val="22"/>
        </w:rPr>
        <w:t>.</w:t>
      </w:r>
    </w:p>
    <w:p w14:paraId="7D53C427">
      <w:pPr>
        <w:rPr>
          <w:rFonts w:ascii="Times New Roman" w:hAnsi="Times New Roman" w:eastAsia="宋体" w:cs="Times New Roman"/>
          <w:b/>
          <w:bCs/>
          <w:color w:val="000000"/>
          <w:kern w:val="0"/>
          <w:sz w:val="24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B8A3C12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Table 6. Baseline characteristics after propensity score matching with standardized mean differences.</w:t>
      </w:r>
    </w:p>
    <w:tbl>
      <w:tblPr>
        <w:tblStyle w:val="5"/>
        <w:tblW w:w="9357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1748"/>
        <w:gridCol w:w="1657"/>
        <w:gridCol w:w="1982"/>
        <w:gridCol w:w="1318"/>
      </w:tblGrid>
      <w:tr w14:paraId="18FDB9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652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055765F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Characteristics</w:t>
            </w:r>
          </w:p>
        </w:tc>
        <w:tc>
          <w:tcPr>
            <w:tcW w:w="1748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center"/>
          </w:tcPr>
          <w:p w14:paraId="603392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Total</w:t>
            </w:r>
          </w:p>
        </w:tc>
        <w:tc>
          <w:tcPr>
            <w:tcW w:w="1657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 w14:paraId="679E4A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PD-1 Inhibitors</w:t>
            </w:r>
          </w:p>
        </w:tc>
        <w:tc>
          <w:tcPr>
            <w:tcW w:w="1982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 w14:paraId="4334F3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PD-L1 Inhibitors</w:t>
            </w:r>
          </w:p>
        </w:tc>
        <w:tc>
          <w:tcPr>
            <w:tcW w:w="1318" w:type="dxa"/>
            <w:tcBorders>
              <w:top w:val="single" w:color="000000" w:sz="12" w:space="0"/>
              <w:left w:val="nil"/>
              <w:bottom w:val="nil"/>
              <w:right w:val="nil"/>
            </w:tcBorders>
            <w:noWrap/>
            <w:vAlign w:val="bottom"/>
          </w:tcPr>
          <w:p w14:paraId="0D43A39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SMD</w:t>
            </w:r>
          </w:p>
        </w:tc>
      </w:tr>
      <w:tr w14:paraId="407A77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vMerge w:val="continue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F16A49D">
            <w:pPr>
              <w:jc w:val="left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BE3D4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(n = 136)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CD89E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(n = 68)</w:t>
            </w:r>
          </w:p>
        </w:tc>
        <w:tc>
          <w:tcPr>
            <w:tcW w:w="1982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929AE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(n = 68)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473A48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65B2F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9970C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Age (year)</w:t>
            </w:r>
          </w:p>
        </w:tc>
        <w:tc>
          <w:tcPr>
            <w:tcW w:w="1748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3129E6C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F653A9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35F220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bottom"/>
          </w:tcPr>
          <w:p w14:paraId="78CF25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14:paraId="6BF4E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80295A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≤ 70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B593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120 (88.2%)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D0506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(88.2%)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E6B85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(88.2%)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02C3B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1F35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7BD8F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&gt; 70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593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(11.8%)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2303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(11.8%)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B3D2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(11.8%)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D91B1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E3FE3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855A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Gender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132A8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BD882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38EAF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EB13D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14:paraId="14434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1CB943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ED13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(7.4%)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991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(7.4%)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C335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(7.4%)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BEFA0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36CB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E4D30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4B9F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126 (92.6%)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E9F99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63 (92.6%)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B7FEE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63 (92.6%)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A46EF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5F28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5E3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BMI (per kg/m²)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C56AE1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212DF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F686B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2AE63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0.101</w:t>
            </w:r>
          </w:p>
        </w:tc>
      </w:tr>
      <w:tr w14:paraId="024DA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867FBD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≤ 18.5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9527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(2.2%)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98C52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(1.5%)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F765E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D44C1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1F0B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FECCC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&gt; 18.5 and ≤ 23.9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BB09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69 (50.7%)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A00D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 (51.5%)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2DE3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34 (50.0%)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FB80E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EDE2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9CA0A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&gt; 23.9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CD8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64 (47.1%)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6D563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(47.1%)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703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(47.1%)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02873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CDE7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8D96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NRS2002 score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B266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(1 - 2)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0D5E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(1 - 2)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DD44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(1 - 2)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0341A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0.062</w:t>
            </w:r>
          </w:p>
        </w:tc>
      </w:tr>
      <w:tr w14:paraId="3344B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C882F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ECOG PS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03B2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36023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CD459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226F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0.059</w:t>
            </w:r>
          </w:p>
        </w:tc>
      </w:tr>
      <w:tr w14:paraId="59D1A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6E677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E8A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70 (51.5%)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A54ED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34 (50.0%)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D54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36 (52.9%)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D555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A27FD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4E9DA8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D203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66 (48.5%)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C110E5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34 (50.0%)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E3E01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(47.1%)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4715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A5A1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623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Smoking history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3825E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BD51E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25C5F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7BBF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0.064</w:t>
            </w:r>
          </w:p>
        </w:tc>
      </w:tr>
      <w:tr w14:paraId="03A5C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9BB5A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4588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42 (30.9%)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08294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 (32.4%)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DC526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 (29.4%)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89AC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57CB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1492E1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CB4B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94 (69.1%)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C813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46 (67.6%)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2FF6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48 (70.6%)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06C2F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A2CC8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F33BC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Drinking history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18E3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D6EA8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9ABBD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2DF57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5FEE4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505130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BC93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81 (59.6%)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F895F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42 (61.8%)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32AB0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 (57.4%)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3E389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90F1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49131B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6A4E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55 (40.4%)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474EE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26 (38.2)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9372A5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 (42.6%)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9E206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7909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438F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hypertension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537EE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CB3B2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51EF7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9A766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0.065</w:t>
            </w:r>
          </w:p>
        </w:tc>
      </w:tr>
      <w:tr w14:paraId="50804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628B70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5AE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96 (70.6%)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EE64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49 (72.1%)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1C3FF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 (69.1%)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E1413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9B64B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653C92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8F34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 (29.4%)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CCF6A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 (27.9%)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6BF2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(30.9%)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5F04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0C63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1D40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heart disease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863EE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3B3BE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99F0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25EF2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</w:tr>
      <w:tr w14:paraId="1C2026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AB2C0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BBA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123 (90.4%)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CCEA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61 (89.7%)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03154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62 (91.2%)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6ADC8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7D55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04E32F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BA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(9.6%)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E5CAE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(10.3%)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00666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(8.8%)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2DF69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9C88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9B3E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History of diabetes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87795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5696ED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DDD3B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5D21AF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0.113</w:t>
            </w:r>
          </w:p>
        </w:tc>
      </w:tr>
      <w:tr w14:paraId="5DD5F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29F6B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300D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126 (92.6%)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8FB6C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62 (91.2%)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2400F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64 (94.1%)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13D2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BBE5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501F2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1A0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(7.4%)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E5B1B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(8.8%)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E1949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(5.9%)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53B5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9085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A0E5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Pathological type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BB40B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CE704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4D5AE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90E69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0.032</w:t>
            </w:r>
          </w:p>
        </w:tc>
      </w:tr>
      <w:tr w14:paraId="18DFB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3E80C7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Squamous carcinoma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7E50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93 (68.4%)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6190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46 (67.6%)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0BE87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 (69.1%)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97B31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09C0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BDF7D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Adenocarcinoma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EAB4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43 (31.6)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C8659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 (32.4%)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435E39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(30.9%)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D50AE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4E0EB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75B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TNM stage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2835AC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C335B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6AEB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DECB4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0.155</w:t>
            </w:r>
          </w:p>
        </w:tc>
      </w:tr>
      <w:tr w14:paraId="04A28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3BAB78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A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0513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59 (43.4%)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2B32CD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 (42.6%)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A77F5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30 (44.1%)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79534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3EA3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D0A946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B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93DC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(44.1%)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4068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(47.1%)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700EB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 (41.2%)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6DFB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2C619B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825611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Ⅲ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C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384D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(12.5%)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E676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(10.3%)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9537C7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(14.7%)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1326A2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7DE98C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262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Tumor location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A2C04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E240E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114B07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A07D622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0.063</w:t>
            </w:r>
          </w:p>
        </w:tc>
      </w:tr>
      <w:tr w14:paraId="266FE0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A07165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Upper lobe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04EE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92 (67.6%)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56AC66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45 (66.2%)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C0B99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 (69.1%)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AF723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AF626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5DE951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Middle or lower lobe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256F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44 (32.4%)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AE2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 (33.8%)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87F91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(30.9%)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6F777F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FFE5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A31E5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Tumor laterality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F2413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143E15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408A76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3D495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0.118</w:t>
            </w:r>
          </w:p>
        </w:tc>
      </w:tr>
      <w:tr w14:paraId="14BE0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FB56F8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Left lung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D10F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62 (45.6%)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C433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33 (48.5%)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7DB8E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 (42.6%)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FF14E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5398A3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EC3D24">
            <w:pPr>
              <w:widowControl/>
              <w:ind w:firstLine="220" w:firstLineChars="100"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Right lung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EC8D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74 (54.4%)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E0355A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 (51.5%)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49D91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 (57.4%)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B769A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A833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26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63F4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The interval between IO and RT (per day)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D85B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83 (70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112)</w:t>
            </w:r>
          </w:p>
        </w:tc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1719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83 (70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-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112)</w:t>
            </w:r>
          </w:p>
        </w:tc>
        <w:tc>
          <w:tcPr>
            <w:tcW w:w="19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6767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80 (68 - 108)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453C00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0.065</w:t>
            </w:r>
          </w:p>
        </w:tc>
      </w:tr>
      <w:tr w14:paraId="35743B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6EFEF07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Total dose (per Gy)</w:t>
            </w:r>
          </w:p>
        </w:tc>
        <w:tc>
          <w:tcPr>
            <w:tcW w:w="1748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C4C2E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(56 - 60)</w:t>
            </w:r>
          </w:p>
        </w:tc>
        <w:tc>
          <w:tcPr>
            <w:tcW w:w="165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DAF46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(56 - 60)</w:t>
            </w:r>
          </w:p>
        </w:tc>
        <w:tc>
          <w:tcPr>
            <w:tcW w:w="198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200661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(60 - 60)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2B20A743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0.039</w:t>
            </w:r>
          </w:p>
        </w:tc>
      </w:tr>
      <w:tr w14:paraId="130CC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65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8663C1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Dose per fraction (per Gy)</w:t>
            </w:r>
          </w:p>
        </w:tc>
        <w:tc>
          <w:tcPr>
            <w:tcW w:w="174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84AF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(2 - 2)</w:t>
            </w:r>
          </w:p>
        </w:tc>
        <w:tc>
          <w:tcPr>
            <w:tcW w:w="165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65B57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(2 - 2)</w:t>
            </w:r>
          </w:p>
        </w:tc>
        <w:tc>
          <w:tcPr>
            <w:tcW w:w="1982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9F9FD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(2 - 2)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bottom"/>
          </w:tcPr>
          <w:p w14:paraId="5A655748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0.064</w:t>
            </w:r>
          </w:p>
        </w:tc>
      </w:tr>
    </w:tbl>
    <w:p w14:paraId="5AD02987">
      <w:pPr>
        <w:rPr>
          <w:rFonts w:ascii="Times New Roman" w:hAnsi="Times New Roman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</w:rPr>
        <w:t xml:space="preserve">Abbreviations: BMI, body mass index; ECOG PS, Eastern Cooperative Oncology Group performance status; IO, immunotherapy; NRS2002, nutritional risk screening 2002; PD-1, programmed cell death protein 1; PD-L1, programmed death-ligand 1; RT, radiotherapy; </w:t>
      </w:r>
      <w:r>
        <w:rPr>
          <w:rFonts w:ascii="Times New Roman" w:hAnsi="Times New Roman" w:cs="Times New Roman"/>
          <w:sz w:val="22"/>
          <w:szCs w:val="22"/>
        </w:rPr>
        <w:t>SMD</w:t>
      </w:r>
      <w:r>
        <w:rPr>
          <w:rFonts w:hint="eastAsia" w:ascii="Times New Roman" w:hAnsi="Times New Roman" w:cs="Times New Roman"/>
          <w:sz w:val="22"/>
          <w:szCs w:val="22"/>
        </w:rPr>
        <w:t>, standardized mean difference; TNM, tumor node metastasis classification.</w:t>
      </w:r>
    </w:p>
    <w:p w14:paraId="7923650D">
      <w:pPr>
        <w:rPr>
          <w:rFonts w:ascii="Times New Roman" w:hAnsi="Times New Roman" w:cs="Times New Roman"/>
          <w:sz w:val="22"/>
          <w:szCs w:val="2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30E2363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 xml:space="preserve"> Table 7. Sensitivity analysis of survival outcomes after propensity score matching.</w:t>
      </w:r>
    </w:p>
    <w:tbl>
      <w:tblPr>
        <w:tblStyle w:val="5"/>
        <w:tblW w:w="8124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3263"/>
        <w:gridCol w:w="2400"/>
        <w:gridCol w:w="1318"/>
      </w:tblGrid>
      <w:tr w14:paraId="26CF93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3A3FE8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Outcome</w:t>
            </w:r>
          </w:p>
        </w:tc>
        <w:tc>
          <w:tcPr>
            <w:tcW w:w="3263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A50D9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Analysis model</w:t>
            </w:r>
          </w:p>
        </w:tc>
        <w:tc>
          <w:tcPr>
            <w:tcW w:w="2400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969841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HR (95% CI)</w:t>
            </w:r>
          </w:p>
        </w:tc>
        <w:tc>
          <w:tcPr>
            <w:tcW w:w="1318" w:type="dxa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2E2C87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</w:tr>
      <w:tr w14:paraId="1E8BC3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B49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PFS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9F7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PSM cohort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93B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0.61 (0.3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9 -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0.96)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89E1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0.033</w:t>
            </w:r>
          </w:p>
        </w:tc>
      </w:tr>
      <w:tr w14:paraId="485E18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43" w:type="dxa"/>
            <w:vMerge w:val="continue"/>
            <w:tcBorders>
              <w:top w:val="nil"/>
              <w:left w:val="nil"/>
              <w:right w:val="nil"/>
            </w:tcBorders>
            <w:vAlign w:val="center"/>
          </w:tcPr>
          <w:p w14:paraId="277C2069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right w:val="nil"/>
            </w:tcBorders>
            <w:vAlign w:val="center"/>
          </w:tcPr>
          <w:p w14:paraId="426572D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PSM cohort with adjustment for residual imbalances</w:t>
            </w:r>
          </w:p>
        </w:tc>
        <w:tc>
          <w:tcPr>
            <w:tcW w:w="2400" w:type="dxa"/>
            <w:tcBorders>
              <w:top w:val="nil"/>
              <w:left w:val="nil"/>
              <w:right w:val="nil"/>
            </w:tcBorders>
            <w:vAlign w:val="center"/>
          </w:tcPr>
          <w:p w14:paraId="01FE12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6 -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318" w:type="dxa"/>
            <w:tcBorders>
              <w:top w:val="nil"/>
              <w:left w:val="nil"/>
              <w:right w:val="nil"/>
            </w:tcBorders>
            <w:vAlign w:val="center"/>
          </w:tcPr>
          <w:p w14:paraId="04B3EB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0.023</w:t>
            </w:r>
          </w:p>
        </w:tc>
      </w:tr>
      <w:tr w14:paraId="4FFD9C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143" w:type="dxa"/>
            <w:vMerge w:val="restart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4B5F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OS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E69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PSM cohort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67AD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0.47 (0.25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-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0.88)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EE2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0.018</w:t>
            </w:r>
          </w:p>
        </w:tc>
      </w:tr>
      <w:tr w14:paraId="1F02C4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143" w:type="dxa"/>
            <w:vMerge w:val="continue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8633798">
            <w:pPr>
              <w:jc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3263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83439E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PSM cohort with adjustment for residual imbalances</w:t>
            </w:r>
          </w:p>
        </w:tc>
        <w:tc>
          <w:tcPr>
            <w:tcW w:w="24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5F03E8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(0.23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- 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1B6262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0.017</w:t>
            </w:r>
          </w:p>
        </w:tc>
      </w:tr>
    </w:tbl>
    <w:p w14:paraId="591C4AAC">
      <w:pPr>
        <w:rPr>
          <w:rFonts w:ascii="Times New Roman" w:hAnsi="Times New Roman" w:eastAsia="宋体" w:cs="Times New Roman"/>
          <w:sz w:val="22"/>
          <w:szCs w:val="22"/>
        </w:rPr>
      </w:pPr>
      <w:r>
        <w:rPr>
          <w:rFonts w:hint="eastAsia" w:ascii="Times New Roman" w:hAnsi="Times New Roman" w:cs="Times New Roman"/>
          <w:sz w:val="22"/>
          <w:szCs w:val="22"/>
        </w:rPr>
        <w:t xml:space="preserve">Abbreviations: </w:t>
      </w:r>
      <w:r>
        <w:rPr>
          <w:rFonts w:ascii="Times New Roman" w:hAnsi="Times New Roman" w:eastAsia="宋体" w:cs="Times New Roman"/>
          <w:sz w:val="22"/>
          <w:szCs w:val="22"/>
        </w:rPr>
        <w:t>CI, confidence interval;</w:t>
      </w:r>
      <w:r>
        <w:rPr>
          <w:rFonts w:hint="eastAsia" w:ascii="Times New Roman" w:hAnsi="Times New Roman" w:eastAsia="宋体" w:cs="Times New Roman"/>
          <w:sz w:val="22"/>
          <w:szCs w:val="22"/>
        </w:rPr>
        <w:t xml:space="preserve"> </w:t>
      </w:r>
      <w:r>
        <w:rPr>
          <w:rFonts w:ascii="Times New Roman" w:hAnsi="Times New Roman" w:eastAsia="宋体" w:cs="Times New Roman"/>
          <w:sz w:val="22"/>
          <w:szCs w:val="22"/>
        </w:rPr>
        <w:t>HR, hazard ratio;</w:t>
      </w:r>
      <w:r>
        <w:rPr>
          <w:rFonts w:hint="eastAsia" w:ascii="Times New Roman" w:hAnsi="Times New Roman" w:eastAsia="宋体" w:cs="Times New Roman"/>
          <w:sz w:val="22"/>
          <w:szCs w:val="22"/>
        </w:rPr>
        <w:t xml:space="preserve"> </w:t>
      </w:r>
      <w:r>
        <w:rPr>
          <w:rFonts w:ascii="Times New Roman" w:hAnsi="Times New Roman" w:eastAsia="宋体" w:cs="Times New Roman"/>
          <w:sz w:val="22"/>
          <w:szCs w:val="22"/>
        </w:rPr>
        <w:t>OS, overall survival; PFS, progression-free survival; PSM, propensity score matching.</w:t>
      </w:r>
    </w:p>
    <w:p w14:paraId="748BD7E8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615BDCB">
      <w:pP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000000"/>
          <w:kern w:val="0"/>
          <w:sz w:val="22"/>
          <w:szCs w:val="22"/>
          <w:lang w:bidi="ar"/>
        </w:rPr>
        <w:t>Supplementary Table 8. Pneumonitis cumulative incidence.</w:t>
      </w:r>
    </w:p>
    <w:tbl>
      <w:tblPr>
        <w:tblStyle w:val="5"/>
        <w:tblpPr w:leftFromText="180" w:rightFromText="180" w:vertAnchor="text" w:horzAnchor="page" w:tblpX="1341" w:tblpY="304"/>
        <w:tblOverlap w:val="never"/>
        <w:tblW w:w="5514" w:type="pct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6"/>
        <w:gridCol w:w="2113"/>
        <w:gridCol w:w="1982"/>
        <w:gridCol w:w="2128"/>
        <w:gridCol w:w="1973"/>
      </w:tblGrid>
      <w:tr w14:paraId="0CCE74FB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</w:trPr>
        <w:tc>
          <w:tcPr>
            <w:tcW w:w="627" w:type="pct"/>
            <w:vMerge w:val="restart"/>
            <w:tcBorders>
              <w:top w:val="single" w:color="auto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EE16149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color w:val="000000"/>
                <w:sz w:val="22"/>
                <w:szCs w:val="22"/>
              </w:rPr>
            </w:pPr>
          </w:p>
          <w:p w14:paraId="34B55C52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Segoe UI" w:cs="Times New Roman"/>
                <w:b/>
                <w:color w:val="000000"/>
                <w:sz w:val="22"/>
                <w:szCs w:val="22"/>
              </w:rPr>
              <w:t xml:space="preserve">Time </w:t>
            </w:r>
          </w:p>
        </w:tc>
        <w:tc>
          <w:tcPr>
            <w:tcW w:w="2184" w:type="pct"/>
            <w:gridSpan w:val="2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4FC4762">
            <w:pPr>
              <w:widowControl/>
              <w:pBdr>
                <w:top w:val="none" w:color="auto" w:sz="0" w:space="1"/>
                <w:left w:val="none" w:color="auto" w:sz="0" w:space="4"/>
                <w:bottom w:val="none" w:color="000000" w:sz="0" w:space="1"/>
                <w:right w:val="none" w:color="auto" w:sz="0" w:space="4"/>
              </w:pBdr>
              <w:snapToGrid w:val="0"/>
              <w:jc w:val="center"/>
              <w:rPr>
                <w:rFonts w:ascii="Times New Roman" w:hAnsi="Times New Roman" w:eastAsia="Segoe UI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Segoe UI" w:cs="Times New Roman"/>
                <w:b/>
                <w:color w:val="0F1115"/>
                <w:sz w:val="22"/>
                <w:szCs w:val="22"/>
                <w:shd w:val="clear" w:color="auto" w:fill="FFFFFF"/>
              </w:rPr>
              <w:t>Grade ≥</w:t>
            </w:r>
            <w:r>
              <w:rPr>
                <w:rFonts w:ascii="Times New Roman" w:hAnsi="Times New Roman" w:eastAsia="宋体" w:cs="Times New Roman"/>
                <w:b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Segoe UI" w:cs="Times New Roman"/>
                <w:b/>
                <w:color w:val="0F1115"/>
                <w:sz w:val="22"/>
                <w:szCs w:val="22"/>
                <w:shd w:val="clear" w:color="auto" w:fill="FFFFFF"/>
              </w:rPr>
              <w:t>2 pneumonitis</w:t>
            </w:r>
          </w:p>
        </w:tc>
        <w:tc>
          <w:tcPr>
            <w:tcW w:w="2187" w:type="pct"/>
            <w:gridSpan w:val="2"/>
            <w:tcBorders>
              <w:top w:val="single" w:color="auto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0C6CB97">
            <w:pPr>
              <w:widowControl/>
              <w:pBdr>
                <w:top w:val="none" w:color="auto" w:sz="0" w:space="1"/>
                <w:left w:val="none" w:color="auto" w:sz="0" w:space="4"/>
                <w:bottom w:val="none" w:color="000000" w:sz="0" w:space="1"/>
                <w:right w:val="none" w:color="auto" w:sz="0" w:space="4"/>
              </w:pBdr>
              <w:snapToGrid w:val="0"/>
              <w:jc w:val="center"/>
              <w:rPr>
                <w:rFonts w:ascii="Times New Roman" w:hAnsi="Times New Roman" w:eastAsia="Segoe UI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Segoe UI" w:cs="Times New Roman"/>
                <w:b/>
                <w:color w:val="0F1115"/>
                <w:sz w:val="22"/>
                <w:szCs w:val="22"/>
                <w:shd w:val="clear" w:color="auto" w:fill="FFFFFF"/>
              </w:rPr>
              <w:t>Grade ≥</w:t>
            </w:r>
            <w:r>
              <w:rPr>
                <w:rFonts w:ascii="Times New Roman" w:hAnsi="Times New Roman" w:eastAsia="宋体" w:cs="Times New Roman"/>
                <w:b/>
                <w:color w:val="0F1115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eastAsia="Segoe UI" w:cs="Times New Roman"/>
                <w:b/>
                <w:color w:val="0F1115"/>
                <w:sz w:val="22"/>
                <w:szCs w:val="22"/>
                <w:shd w:val="clear" w:color="auto" w:fill="FFFFFF"/>
              </w:rPr>
              <w:t>3 pneumonitis</w:t>
            </w:r>
          </w:p>
        </w:tc>
      </w:tr>
      <w:tr w14:paraId="3CE8DC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  <w:tblHeader/>
        </w:trPr>
        <w:tc>
          <w:tcPr>
            <w:tcW w:w="627" w:type="pct"/>
            <w:vMerge w:val="continue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3CAC447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12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4363796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PD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-</w:t>
            </w: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1 inhibitor</w:t>
            </w:r>
          </w:p>
          <w:p w14:paraId="07D31ECA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Event rate, % (95% CI)</w:t>
            </w:r>
          </w:p>
        </w:tc>
        <w:tc>
          <w:tcPr>
            <w:tcW w:w="1057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F4DB72B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PD-L1 inhibitor</w:t>
            </w:r>
          </w:p>
          <w:p w14:paraId="214CD36E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Event rate, % (95% CI)</w:t>
            </w:r>
          </w:p>
        </w:tc>
        <w:tc>
          <w:tcPr>
            <w:tcW w:w="1135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4092543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PD-1 inhibitor</w:t>
            </w:r>
          </w:p>
          <w:p w14:paraId="4D228CDF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Event rate, % (95% CI)</w:t>
            </w:r>
          </w:p>
        </w:tc>
        <w:tc>
          <w:tcPr>
            <w:tcW w:w="1052" w:type="pct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BFC77C0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PD-L1 inhibitor</w:t>
            </w:r>
          </w:p>
          <w:p w14:paraId="4FF1F54C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b/>
                <w:bCs/>
                <w:color w:val="0F1115"/>
                <w:sz w:val="22"/>
                <w:szCs w:val="22"/>
                <w:shd w:val="clear" w:color="auto" w:fill="FFFFFF"/>
              </w:rPr>
              <w:t>Event rate, % (95% CI)</w:t>
            </w:r>
          </w:p>
        </w:tc>
      </w:tr>
      <w:tr w14:paraId="6F02B8A1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52B1A335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3 months</w:t>
            </w:r>
          </w:p>
        </w:tc>
        <w:tc>
          <w:tcPr>
            <w:tcW w:w="112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BE51241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8.7%</w:t>
            </w:r>
          </w:p>
          <w:p w14:paraId="3F9AC0E5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 (2.9%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14.5%)</w:t>
            </w:r>
          </w:p>
        </w:tc>
        <w:tc>
          <w:tcPr>
            <w:tcW w:w="1057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4063C3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3.4%</w:t>
            </w:r>
          </w:p>
          <w:p w14:paraId="3B243C1B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(0.0%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7.1%) </w:t>
            </w:r>
          </w:p>
        </w:tc>
        <w:tc>
          <w:tcPr>
            <w:tcW w:w="1135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D1186D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1.1%</w:t>
            </w:r>
          </w:p>
          <w:p w14:paraId="45D2BE2B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 (0.0%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3.2%)</w:t>
            </w:r>
          </w:p>
        </w:tc>
        <w:tc>
          <w:tcPr>
            <w:tcW w:w="1052" w:type="pc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0D7881D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0.0%</w:t>
            </w:r>
          </w:p>
          <w:p w14:paraId="7E8A88AF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(0.0%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0.0%) </w:t>
            </w:r>
          </w:p>
        </w:tc>
      </w:tr>
      <w:tr w14:paraId="6855737A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065E1B25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6 months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795FB42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32.6%</w:t>
            </w:r>
          </w:p>
          <w:p w14:paraId="23BCC25A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 (23.0%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42.3%)</w:t>
            </w:r>
          </w:p>
        </w:tc>
        <w:tc>
          <w:tcPr>
            <w:tcW w:w="10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F11D95F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34.8%</w:t>
            </w:r>
          </w:p>
          <w:p w14:paraId="78862262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(24.9%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44.8%) </w:t>
            </w:r>
          </w:p>
        </w:tc>
        <w:tc>
          <w:tcPr>
            <w:tcW w:w="11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5F5C134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4.3% </w:t>
            </w:r>
          </w:p>
          <w:p w14:paraId="4A73A961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(0.2%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8.5%)</w:t>
            </w:r>
          </w:p>
        </w:tc>
        <w:tc>
          <w:tcPr>
            <w:tcW w:w="105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603F5F8F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9.0%</w:t>
            </w:r>
          </w:p>
          <w:p w14:paraId="1E7BD548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 (3.0%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15.0%)</w:t>
            </w:r>
          </w:p>
        </w:tc>
      </w:tr>
      <w:tr w14:paraId="0A6FF6E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2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DAFE77E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9 months</w:t>
            </w:r>
          </w:p>
        </w:tc>
        <w:tc>
          <w:tcPr>
            <w:tcW w:w="112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C7E71DE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42.4% </w:t>
            </w:r>
          </w:p>
          <w:p w14:paraId="626B0F61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(32.2%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52.6%)</w:t>
            </w:r>
          </w:p>
        </w:tc>
        <w:tc>
          <w:tcPr>
            <w:tcW w:w="1057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5CED23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41.6%</w:t>
            </w:r>
          </w:p>
          <w:p w14:paraId="62D40520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(31.3%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51.9%) </w:t>
            </w:r>
          </w:p>
        </w:tc>
        <w:tc>
          <w:tcPr>
            <w:tcW w:w="1135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13ADB5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8.7% </w:t>
            </w:r>
          </w:p>
          <w:p w14:paraId="15B8E61F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(2.9%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14.5%)</w:t>
            </w:r>
          </w:p>
        </w:tc>
        <w:tc>
          <w:tcPr>
            <w:tcW w:w="1052" w:type="pct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78C7779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12.4% </w:t>
            </w:r>
          </w:p>
          <w:p w14:paraId="5B15801C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(5.5%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19.2%)</w:t>
            </w:r>
          </w:p>
        </w:tc>
      </w:tr>
      <w:tr w14:paraId="6BC28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3" w:hRule="atLeast"/>
        </w:trPr>
        <w:tc>
          <w:tcPr>
            <w:tcW w:w="62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4EBDC1E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12 months</w:t>
            </w:r>
          </w:p>
        </w:tc>
        <w:tc>
          <w:tcPr>
            <w:tcW w:w="112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DA9CFDE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46.7% </w:t>
            </w:r>
          </w:p>
          <w:p w14:paraId="6AE17849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(36.5%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57.0%)</w:t>
            </w:r>
          </w:p>
        </w:tc>
        <w:tc>
          <w:tcPr>
            <w:tcW w:w="105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2A08078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43.8% </w:t>
            </w:r>
          </w:p>
          <w:p w14:paraId="7F66C0C7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(33.4%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54.2%)</w:t>
            </w:r>
          </w:p>
          <w:p w14:paraId="5F149EA8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13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293CB02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10.9%</w:t>
            </w:r>
          </w:p>
          <w:p w14:paraId="1234F716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(4.5%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17.3%)</w:t>
            </w:r>
          </w:p>
        </w:tc>
        <w:tc>
          <w:tcPr>
            <w:tcW w:w="1052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FFFFFF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7811B0BA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16.9%</w:t>
            </w:r>
          </w:p>
          <w:p w14:paraId="02E1D609">
            <w:pPr>
              <w:widowControl/>
              <w:snapToGrid w:val="0"/>
              <w:jc w:val="center"/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 xml:space="preserve"> (9.0%</w:t>
            </w:r>
            <w:r>
              <w:rPr>
                <w:rFonts w:ascii="Times New Roman" w:hAnsi="Times New Roman" w:eastAsia="宋体" w:cs="Times New Roman"/>
                <w:color w:val="0F1115"/>
                <w:sz w:val="22"/>
                <w:szCs w:val="22"/>
                <w:shd w:val="clear" w:color="auto" w:fill="FFFFFF"/>
              </w:rPr>
              <w:t xml:space="preserve"> - </w:t>
            </w:r>
            <w:r>
              <w:rPr>
                <w:rFonts w:ascii="Times New Roman" w:hAnsi="Times New Roman" w:eastAsia="Segoe UI" w:cs="Times New Roman"/>
                <w:color w:val="0F1115"/>
                <w:sz w:val="22"/>
                <w:szCs w:val="22"/>
                <w:shd w:val="clear" w:color="auto" w:fill="FFFFFF"/>
              </w:rPr>
              <w:t>24.7%)</w:t>
            </w:r>
          </w:p>
        </w:tc>
      </w:tr>
    </w:tbl>
    <w:p w14:paraId="2D721F4C">
      <w:pPr>
        <w:widowControl/>
        <w:jc w:val="left"/>
        <w:textAlignment w:val="center"/>
      </w:pPr>
      <w:r>
        <w:rPr>
          <w:rFonts w:ascii="Times New Roman" w:hAnsi="Times New Roman" w:cs="Times New Roman"/>
          <w:sz w:val="22"/>
          <w:szCs w:val="22"/>
        </w:rPr>
        <w:t xml:space="preserve">Abbreviations: CI, confidence interval; PD-1, </w:t>
      </w:r>
      <w:r>
        <w:rPr>
          <w:rFonts w:hint="eastAsia" w:ascii="Times New Roman" w:hAnsi="Times New Roman" w:cs="Times New Roman"/>
          <w:sz w:val="22"/>
          <w:szCs w:val="22"/>
        </w:rPr>
        <w:t>programmed cell death protein 1</w:t>
      </w:r>
      <w:r>
        <w:rPr>
          <w:rFonts w:ascii="Times New Roman" w:hAnsi="Times New Roman" w:cs="Times New Roman"/>
          <w:sz w:val="22"/>
          <w:szCs w:val="22"/>
        </w:rPr>
        <w:t>; PD-L1, programmed death-ligand 1.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67275802"/>
    </w:sdtPr>
    <w:sdtContent>
      <w:p w14:paraId="22264206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C5BE42F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A63BE7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6C4881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282C7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8B37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5234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65EB72"/>
    <w:multiLevelType w:val="singleLevel"/>
    <w:tmpl w:val="B665EB72"/>
    <w:lvl w:ilvl="0" w:tentative="0">
      <w:start w:val="1"/>
      <w:numFmt w:val="decimal"/>
      <w:suff w:val="space"/>
      <w:lvlText w:val="(%1)"/>
      <w:lvlJc w:val="left"/>
    </w:lvl>
  </w:abstractNum>
  <w:abstractNum w:abstractNumId="1">
    <w:nsid w:val="1E4BDAC1"/>
    <w:multiLevelType w:val="singleLevel"/>
    <w:tmpl w:val="1E4BDAC1"/>
    <w:lvl w:ilvl="0" w:tentative="0">
      <w:start w:val="1"/>
      <w:numFmt w:val="upperLetter"/>
      <w:suff w:val="space"/>
      <w:lvlText w:val="%1."/>
      <w:lvlJc w:val="left"/>
    </w:lvl>
  </w:abstractNum>
  <w:abstractNum w:abstractNumId="2">
    <w:nsid w:val="7043F031"/>
    <w:multiLevelType w:val="singleLevel"/>
    <w:tmpl w:val="7043F031"/>
    <w:lvl w:ilvl="0" w:tentative="0">
      <w:start w:val="1"/>
      <w:numFmt w:val="decimal"/>
      <w:suff w:val="space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8AD"/>
    <w:rsid w:val="000912B9"/>
    <w:rsid w:val="00141529"/>
    <w:rsid w:val="001A591E"/>
    <w:rsid w:val="00245E86"/>
    <w:rsid w:val="00275309"/>
    <w:rsid w:val="002F47B9"/>
    <w:rsid w:val="003256B0"/>
    <w:rsid w:val="003F07A3"/>
    <w:rsid w:val="004F40C8"/>
    <w:rsid w:val="005218AD"/>
    <w:rsid w:val="00526F03"/>
    <w:rsid w:val="006E1FEA"/>
    <w:rsid w:val="006F66B3"/>
    <w:rsid w:val="007142BA"/>
    <w:rsid w:val="007E3A22"/>
    <w:rsid w:val="0081338E"/>
    <w:rsid w:val="00843FF1"/>
    <w:rsid w:val="00A129ED"/>
    <w:rsid w:val="00AE4E5E"/>
    <w:rsid w:val="00C30215"/>
    <w:rsid w:val="00C66373"/>
    <w:rsid w:val="00D401DE"/>
    <w:rsid w:val="00D7307D"/>
    <w:rsid w:val="00DB6B18"/>
    <w:rsid w:val="00DD3EB5"/>
    <w:rsid w:val="00E3674A"/>
    <w:rsid w:val="00F03F4B"/>
    <w:rsid w:val="00F83E51"/>
    <w:rsid w:val="013C7BF3"/>
    <w:rsid w:val="02ED231C"/>
    <w:rsid w:val="0D570D57"/>
    <w:rsid w:val="0DBA548B"/>
    <w:rsid w:val="10667503"/>
    <w:rsid w:val="119D6F55"/>
    <w:rsid w:val="122338FE"/>
    <w:rsid w:val="14D64C58"/>
    <w:rsid w:val="14D805E6"/>
    <w:rsid w:val="159D5775"/>
    <w:rsid w:val="17F82F15"/>
    <w:rsid w:val="1C0F6CA1"/>
    <w:rsid w:val="1C3E1334"/>
    <w:rsid w:val="1EE75CB3"/>
    <w:rsid w:val="20863AF3"/>
    <w:rsid w:val="22DA70EA"/>
    <w:rsid w:val="245476D1"/>
    <w:rsid w:val="249D12EE"/>
    <w:rsid w:val="26B11081"/>
    <w:rsid w:val="277779A0"/>
    <w:rsid w:val="28ED0F28"/>
    <w:rsid w:val="293E7836"/>
    <w:rsid w:val="2C324A12"/>
    <w:rsid w:val="2F5F06F8"/>
    <w:rsid w:val="32D61E6F"/>
    <w:rsid w:val="34735BC7"/>
    <w:rsid w:val="3660301F"/>
    <w:rsid w:val="379924CE"/>
    <w:rsid w:val="39442C00"/>
    <w:rsid w:val="3D081D0B"/>
    <w:rsid w:val="3F685873"/>
    <w:rsid w:val="40A86BF9"/>
    <w:rsid w:val="428B6A9C"/>
    <w:rsid w:val="446B0722"/>
    <w:rsid w:val="44782D86"/>
    <w:rsid w:val="45CB7B41"/>
    <w:rsid w:val="45D16192"/>
    <w:rsid w:val="49BA174B"/>
    <w:rsid w:val="4AC00FE3"/>
    <w:rsid w:val="4D307F16"/>
    <w:rsid w:val="4E944866"/>
    <w:rsid w:val="55C3710D"/>
    <w:rsid w:val="58006EC2"/>
    <w:rsid w:val="5914133B"/>
    <w:rsid w:val="59C32F1F"/>
    <w:rsid w:val="5A0A227A"/>
    <w:rsid w:val="5ABF4E13"/>
    <w:rsid w:val="5C814A76"/>
    <w:rsid w:val="63AF562F"/>
    <w:rsid w:val="69034BB7"/>
    <w:rsid w:val="6BF84629"/>
    <w:rsid w:val="6C27488D"/>
    <w:rsid w:val="6DA305C4"/>
    <w:rsid w:val="6EDE51E6"/>
    <w:rsid w:val="720418A3"/>
    <w:rsid w:val="726E73F3"/>
    <w:rsid w:val="73B9644B"/>
    <w:rsid w:val="74674BBF"/>
    <w:rsid w:val="77CD4BBB"/>
    <w:rsid w:val="7C473E71"/>
    <w:rsid w:val="7F9B7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21"/>
    <w:basedOn w:val="7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  <w:style w:type="character" w:customStyle="1" w:styleId="10">
    <w:name w:val="font1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7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119</Words>
  <Characters>766</Characters>
  <Lines>799</Lines>
  <Paragraphs>569</Paragraphs>
  <TotalTime>0</TotalTime>
  <ScaleCrop>false</ScaleCrop>
  <LinksUpToDate>false</LinksUpToDate>
  <CharactersWithSpaces>871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2025-10-27T10:25:00Z</dcterms:created>
  <dc:creator>刘晓丽</dc:creator>
  <cp:lastModifiedBy>Archer</cp:lastModifiedBy>
  <dcterms:modified xsi:type="dcterms:W3CDTF">2026-08-12T09:16:25Z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eyJoZGlkIjoiYzk2MjY0MDYzM2FjYTk2ZWMwZDNlNzg3YjNhODE1ZjMiLCJ1c2VySWQiOiI4MDYxOTYwNjMifQ==</vt:lpwstr>
  </property>
  <property fmtid="{D5CDD505-2E9C-101B-9397-08002B2CF9AE}" pid="4" name="ICV">
    <vt:lpwstr>2D70EC612EC54D069AFF659D18ABFACE_12</vt:lpwstr>
  </property>
</Properties>
</file>