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4870C">
      <w:pPr>
        <w:snapToGrid w:val="0"/>
        <w:spacing w:before="50" w:after="50"/>
        <w:rPr>
          <w:rFonts w:hint="default" w:ascii="Times New Roman" w:hAnsi="Times New Roman" w:eastAsia="宋体" w:cs="Times New Roman"/>
          <w:b/>
          <w:bCs/>
          <w:kern w:val="0"/>
          <w:sz w:val="22"/>
          <w:szCs w:val="22"/>
          <w14:ligatures w14:val="none"/>
        </w:rPr>
      </w:pPr>
      <w:bookmarkStart w:id="0" w:name="_GoBack"/>
      <w:bookmarkEnd w:id="0"/>
      <w:r>
        <w:rPr>
          <w:rFonts w:hint="default" w:ascii="Times New Roman" w:hAnsi="Times New Roman" w:eastAsia="宋体" w:cs="Times New Roman"/>
          <w:b/>
          <w:bCs/>
          <w:kern w:val="0"/>
          <w:sz w:val="22"/>
          <w:szCs w:val="22"/>
          <w14:ligatures w14:val="none"/>
        </w:rPr>
        <w:t>Supplementary material</w:t>
      </w:r>
    </w:p>
    <w:p w14:paraId="266F2648">
      <w:pPr>
        <w:snapToGrid w:val="0"/>
        <w:spacing w:before="50" w:after="50"/>
        <w:rPr>
          <w:rFonts w:hint="default" w:ascii="Times New Roman" w:hAnsi="Times New Roman" w:eastAsia="宋体" w:cs="Times New Roman"/>
          <w:b/>
          <w:bCs/>
          <w:kern w:val="0"/>
          <w:sz w:val="22"/>
          <w:szCs w:val="22"/>
          <w14:ligatures w14:val="none"/>
        </w:rPr>
      </w:pPr>
      <w:r>
        <w:rPr>
          <w:rFonts w:hint="default" w:ascii="Times New Roman" w:hAnsi="Times New Roman" w:eastAsia="宋体" w:cs="Times New Roman"/>
          <w:b/>
          <w:bCs/>
          <w:kern w:val="0"/>
          <w:sz w:val="22"/>
          <w:szCs w:val="22"/>
          <w14:ligatures w14:val="none"/>
        </w:rPr>
        <w:t xml:space="preserve">Figure S1. </w:t>
      </w:r>
    </w:p>
    <w:p w14:paraId="4A39C561">
      <w:pPr>
        <w:snapToGrid w:val="0"/>
        <w:spacing w:before="50" w:after="50"/>
        <w:rPr>
          <w:rFonts w:hint="eastAsia" w:ascii="Times New Roman" w:hAnsi="Times New Roman" w:eastAsia="宋体" w:cs="Times New Roman"/>
          <w:b/>
          <w:bCs/>
          <w:kern w:val="0"/>
          <w:sz w:val="22"/>
          <w:szCs w:val="22"/>
          <w:lang w:eastAsia="zh-CN"/>
          <w14:ligatures w14:val="none"/>
        </w:rPr>
      </w:pPr>
      <w:r>
        <w:rPr>
          <w:rFonts w:hint="eastAsia" w:ascii="Times New Roman" w:hAnsi="Times New Roman" w:eastAsia="宋体" w:cs="Times New Roman"/>
          <w:b/>
          <w:bCs/>
          <w:kern w:val="0"/>
          <w:sz w:val="22"/>
          <w:szCs w:val="22"/>
          <w:lang w:eastAsia="zh-CN"/>
          <w14:ligatures w14:val="none"/>
        </w:rPr>
        <w:drawing>
          <wp:inline distT="0" distB="0" distL="114300" distR="114300">
            <wp:extent cx="5266690" cy="2962910"/>
            <wp:effectExtent l="0" t="0" r="3810" b="8890"/>
            <wp:docPr id="1" name="图片 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pic:cNvPicPr>
                      <a:picLocks noChangeAspect="1"/>
                    </pic:cNvPicPr>
                  </pic:nvPicPr>
                  <pic:blipFill>
                    <a:blip r:embed="rId4"/>
                    <a:stretch>
                      <a:fillRect/>
                    </a:stretch>
                  </pic:blipFill>
                  <pic:spPr>
                    <a:xfrm>
                      <a:off x="0" y="0"/>
                      <a:ext cx="5266690" cy="2962910"/>
                    </a:xfrm>
                    <a:prstGeom prst="rect">
                      <a:avLst/>
                    </a:prstGeom>
                  </pic:spPr>
                </pic:pic>
              </a:graphicData>
            </a:graphic>
          </wp:inline>
        </w:drawing>
      </w:r>
    </w:p>
    <w:p w14:paraId="2B425CA4">
      <w:pPr>
        <w:snapToGrid w:val="0"/>
        <w:spacing w:before="50" w:after="50"/>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 xml:space="preserve">(A) Expression of neutrophil extracellular trap (NET)-associated genes detected in our proteomic profiling. </w:t>
      </w:r>
    </w:p>
    <w:p w14:paraId="1EE3EFCE">
      <w:pPr>
        <w:snapToGrid w:val="0"/>
        <w:spacing w:before="50" w:after="50"/>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(B) Global CellChat signaling weight heatmap illustrating the overall strength of ligand–receptor interactions among all major cell types in the colorectal cancer microenvironment.</w:t>
      </w:r>
    </w:p>
    <w:p w14:paraId="64854B40">
      <w:pPr>
        <w:snapToGrid w:val="0"/>
        <w:spacing w:before="50" w:after="50"/>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w:t>
      </w:r>
      <w:r>
        <w:rPr>
          <w:rFonts w:hint="default" w:ascii="Times New Roman" w:hAnsi="Times New Roman" w:eastAsia="宋体" w:cs="Times New Roman"/>
          <w:kern w:val="0"/>
          <w:sz w:val="22"/>
          <w:szCs w:val="22"/>
          <w:lang w:val="en-US" w:eastAsia="zh-CN"/>
          <w14:ligatures w14:val="none"/>
        </w:rPr>
        <w:t>C</w:t>
      </w:r>
      <w:r>
        <w:rPr>
          <w:rFonts w:hint="default" w:ascii="Times New Roman" w:hAnsi="Times New Roman" w:eastAsia="宋体" w:cs="Times New Roman"/>
          <w:kern w:val="0"/>
          <w:sz w:val="22"/>
          <w:szCs w:val="22"/>
          <w14:ligatures w14:val="none"/>
        </w:rPr>
        <w:t>) Hierarchical visualization of MK (midkine) signaling across all cell types, showing the organization and relative contribution of different sender–receiver cell pairs within the MDK signaling network.</w:t>
      </w:r>
    </w:p>
    <w:p w14:paraId="78997756">
      <w:pPr>
        <w:snapToGrid w:val="0"/>
        <w:spacing w:before="50" w:after="50"/>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w:t>
      </w:r>
      <w:r>
        <w:rPr>
          <w:rFonts w:hint="default" w:ascii="Times New Roman" w:hAnsi="Times New Roman" w:eastAsia="宋体" w:cs="Times New Roman"/>
          <w:kern w:val="0"/>
          <w:sz w:val="22"/>
          <w:szCs w:val="22"/>
          <w:lang w:val="en-US" w:eastAsia="zh-CN"/>
          <w14:ligatures w14:val="none"/>
        </w:rPr>
        <w:t>D</w:t>
      </w:r>
      <w:r>
        <w:rPr>
          <w:rFonts w:hint="default" w:ascii="Times New Roman" w:hAnsi="Times New Roman" w:eastAsia="宋体" w:cs="Times New Roman"/>
          <w:kern w:val="0"/>
          <w:sz w:val="22"/>
          <w:szCs w:val="22"/>
          <w14:ligatures w14:val="none"/>
        </w:rPr>
        <w:t>) Chord diagram depicting group-wise MK signaling interactions, illustrating the directional communication patterns between malignant cells and stromal or immune compartments mediated by MDK.</w:t>
      </w:r>
    </w:p>
    <w:p w14:paraId="14C61A65">
      <w:pPr>
        <w:snapToGrid w:val="0"/>
        <w:spacing w:before="50" w:after="50"/>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lang w:val="en-US" w:eastAsia="zh-CN"/>
          <w14:ligatures w14:val="none"/>
        </w:rPr>
        <w:t>(E)</w:t>
      </w:r>
      <w:r>
        <w:rPr>
          <w:rFonts w:hint="default" w:ascii="Times New Roman" w:hAnsi="Times New Roman" w:eastAsia="宋体" w:cs="Times New Roman"/>
          <w:kern w:val="0"/>
          <w:sz w:val="22"/>
          <w:szCs w:val="22"/>
          <w14:ligatures w14:val="none"/>
        </w:rPr>
        <w:t>MDK protein expression in tumor and adjacent normal tissues from the CPTAC proteomic dataset.</w:t>
      </w:r>
    </w:p>
    <w:p w14:paraId="71F5FC54">
      <w:pPr>
        <w:pStyle w:val="5"/>
        <w:snapToGrid w:val="0"/>
        <w:spacing w:before="50" w:beforeAutospacing="0" w:after="50" w:afterAutospacing="0"/>
        <w:rPr>
          <w:rFonts w:hint="default" w:ascii="Times New Roman" w:hAnsi="Times New Roman" w:eastAsia="宋体" w:cs="Times New Roman"/>
          <w:kern w:val="0"/>
          <w:sz w:val="22"/>
          <w:szCs w:val="22"/>
          <w:lang w:val="en-US" w:eastAsia="zh-CN"/>
          <w14:ligatures w14:val="none"/>
        </w:rPr>
      </w:pPr>
      <w:r>
        <w:rPr>
          <w:rFonts w:hint="default" w:ascii="Times New Roman" w:hAnsi="Times New Roman" w:eastAsia="宋体" w:cs="Times New Roman"/>
          <w:kern w:val="0"/>
          <w:sz w:val="22"/>
          <w:szCs w:val="22"/>
          <w:lang w:val="en-US" w:eastAsia="zh-CN"/>
          <w14:ligatures w14:val="none"/>
        </w:rPr>
        <w:t>(F)</w:t>
      </w:r>
      <w:r>
        <w:rPr>
          <w:rFonts w:hint="default" w:ascii="Times New Roman" w:hAnsi="Times New Roman" w:cs="Times New Roman" w:eastAsiaTheme="minorEastAsia"/>
          <w:sz w:val="22"/>
          <w:szCs w:val="22"/>
        </w:rPr>
        <w:t>Independent validation of MDK expression specificity across cell types in a separate single-cell cohort comprising 62 CRC patients.</w:t>
      </w:r>
    </w:p>
    <w:p w14:paraId="1FFEC5D5">
      <w:pPr>
        <w:snapToGrid w:val="0"/>
        <w:spacing w:before="50" w:after="50"/>
        <w:rPr>
          <w:rFonts w:hint="default" w:ascii="Times New Roman" w:hAnsi="Times New Roman" w:eastAsia="宋体" w:cs="Times New Roman"/>
          <w:kern w:val="0"/>
          <w:sz w:val="22"/>
          <w:szCs w:val="22"/>
          <w14:ligatures w14:val="none"/>
        </w:rPr>
      </w:pPr>
      <w:r>
        <w:rPr>
          <w:rFonts w:hint="default" w:ascii="Times New Roman" w:hAnsi="Times New Roman" w:eastAsia="宋体" w:cs="Times New Roman"/>
          <w:kern w:val="0"/>
          <w:sz w:val="22"/>
          <w:szCs w:val="22"/>
          <w14:ligatures w14:val="none"/>
        </w:rPr>
        <w:t>(</w:t>
      </w:r>
      <w:r>
        <w:rPr>
          <w:rFonts w:hint="default" w:ascii="Times New Roman" w:hAnsi="Times New Roman" w:eastAsia="宋体" w:cs="Times New Roman"/>
          <w:kern w:val="0"/>
          <w:sz w:val="22"/>
          <w:szCs w:val="22"/>
          <w:lang w:val="en-US" w:eastAsia="zh-CN"/>
          <w14:ligatures w14:val="none"/>
        </w:rPr>
        <w:t>G</w:t>
      </w:r>
      <w:r>
        <w:rPr>
          <w:rFonts w:hint="default" w:ascii="Times New Roman" w:hAnsi="Times New Roman" w:eastAsia="宋体" w:cs="Times New Roman"/>
          <w:kern w:val="0"/>
          <w:sz w:val="22"/>
          <w:szCs w:val="22"/>
          <w14:ligatures w14:val="none"/>
        </w:rPr>
        <w:t>) Proportional distribution of CAF subtypes in two stage tumor samples (pT1 and pT2) from the independent validation cohort, showing the relative abundance of distinct CAF populations prior to advanced tumor progression.</w:t>
      </w:r>
    </w:p>
    <w:p w14:paraId="0DF48B85">
      <w:pPr>
        <w:snapToGrid w:val="0"/>
        <w:spacing w:before="50" w:after="50"/>
        <w:rPr>
          <w:rFonts w:hint="default" w:ascii="Times New Roman" w:hAnsi="Times New Roman" w:eastAsia="宋体" w:cs="Times New Roman"/>
          <w:kern w:val="0"/>
          <w:sz w:val="22"/>
          <w:szCs w:val="22"/>
          <w14:ligatures w14:val="none"/>
        </w:rPr>
      </w:pPr>
    </w:p>
    <w:p w14:paraId="0F52FBF9">
      <w:pPr>
        <w:snapToGrid w:val="0"/>
        <w:spacing w:before="50" w:after="50"/>
        <w:rPr>
          <w:rFonts w:hint="default" w:ascii="Times New Roman" w:hAnsi="Times New Roman" w:eastAsia="宋体" w:cs="Times New Roman"/>
          <w:b/>
          <w:bCs/>
          <w:kern w:val="0"/>
          <w:sz w:val="22"/>
          <w:szCs w:val="22"/>
          <w14:ligatures w14:val="none"/>
        </w:rPr>
      </w:pPr>
      <w:r>
        <w:rPr>
          <w:rFonts w:hint="default" w:ascii="Times New Roman" w:hAnsi="Times New Roman" w:eastAsia="宋体" w:cs="Times New Roman"/>
          <w:b/>
          <w:bCs/>
          <w:kern w:val="0"/>
          <w:sz w:val="22"/>
          <w:szCs w:val="22"/>
          <w14:ligatures w14:val="none"/>
        </w:rPr>
        <w:t>Figure S</w:t>
      </w:r>
      <w:r>
        <w:rPr>
          <w:rFonts w:hint="eastAsia" w:ascii="Times New Roman" w:hAnsi="Times New Roman" w:eastAsia="宋体" w:cs="Times New Roman"/>
          <w:b/>
          <w:bCs/>
          <w:kern w:val="0"/>
          <w:sz w:val="22"/>
          <w:szCs w:val="22"/>
          <w:lang w:val="en-US" w:eastAsia="zh-CN"/>
          <w14:ligatures w14:val="none"/>
        </w:rPr>
        <w:t>2</w:t>
      </w:r>
      <w:r>
        <w:rPr>
          <w:rFonts w:hint="default" w:ascii="Times New Roman" w:hAnsi="Times New Roman" w:eastAsia="宋体" w:cs="Times New Roman"/>
          <w:b/>
          <w:bCs/>
          <w:kern w:val="0"/>
          <w:sz w:val="22"/>
          <w:szCs w:val="22"/>
          <w14:ligatures w14:val="none"/>
        </w:rPr>
        <w:t xml:space="preserve">. </w:t>
      </w:r>
    </w:p>
    <w:p w14:paraId="39E84702">
      <w:pPr>
        <w:snapToGrid w:val="0"/>
        <w:spacing w:before="50" w:after="50"/>
        <w:rPr>
          <w:rFonts w:hint="eastAsia" w:ascii="Times New Roman" w:hAnsi="Times New Roman" w:eastAsia="宋体" w:cs="Times New Roman"/>
          <w:b/>
          <w:bCs/>
          <w:kern w:val="0"/>
          <w:sz w:val="22"/>
          <w:szCs w:val="22"/>
          <w:lang w:eastAsia="zh-CN"/>
          <w14:ligatures w14:val="none"/>
        </w:rPr>
      </w:pPr>
      <w:r>
        <w:rPr>
          <w:rFonts w:hint="eastAsia" w:ascii="Times New Roman" w:hAnsi="Times New Roman" w:eastAsia="宋体" w:cs="Times New Roman"/>
          <w:b/>
          <w:bCs/>
          <w:kern w:val="0"/>
          <w:sz w:val="22"/>
          <w:szCs w:val="22"/>
          <w:lang w:val="en-US" w:eastAsia="zh-CN"/>
          <w14:ligatures w14:val="none"/>
        </w:rPr>
        <w:t xml:space="preserve">           </w:t>
      </w:r>
      <w:r>
        <w:rPr>
          <w:rFonts w:hint="eastAsia" w:ascii="Times New Roman" w:hAnsi="Times New Roman" w:eastAsia="宋体" w:cs="Times New Roman"/>
          <w:b/>
          <w:bCs/>
          <w:kern w:val="0"/>
          <w:sz w:val="22"/>
          <w:szCs w:val="22"/>
          <w:lang w:eastAsia="zh-CN"/>
          <w14:ligatures w14:val="none"/>
        </w:rPr>
        <w:drawing>
          <wp:inline distT="0" distB="0" distL="114300" distR="114300">
            <wp:extent cx="3008630" cy="2400935"/>
            <wp:effectExtent l="0" t="0" r="1270" b="8890"/>
            <wp:docPr id="2" name="图片 2" descr="Supplementary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 2"/>
                    <pic:cNvPicPr>
                      <a:picLocks noChangeAspect="1"/>
                    </pic:cNvPicPr>
                  </pic:nvPicPr>
                  <pic:blipFill>
                    <a:blip r:embed="rId5"/>
                    <a:srcRect l="21082" t="9702" r="21710" b="9144"/>
                    <a:stretch>
                      <a:fillRect/>
                    </a:stretch>
                  </pic:blipFill>
                  <pic:spPr>
                    <a:xfrm>
                      <a:off x="0" y="0"/>
                      <a:ext cx="3008630" cy="2400935"/>
                    </a:xfrm>
                    <a:prstGeom prst="rect">
                      <a:avLst/>
                    </a:prstGeom>
                  </pic:spPr>
                </pic:pic>
              </a:graphicData>
            </a:graphic>
          </wp:inline>
        </w:drawing>
      </w:r>
    </w:p>
    <w:p w14:paraId="7DCFC6F8">
      <w:pPr>
        <w:snapToGrid w:val="0"/>
        <w:spacing w:before="50" w:after="50"/>
        <w:rPr>
          <w:rFonts w:hint="default" w:ascii="Times New Roman" w:hAnsi="Times New Roman" w:eastAsia="宋体" w:cs="Times New Roman"/>
          <w:kern w:val="0"/>
          <w:sz w:val="22"/>
          <w:szCs w:val="22"/>
          <w:lang w:val="en-US" w:eastAsia="zh-CN"/>
          <w14:ligatures w14:val="none"/>
        </w:rPr>
      </w:pPr>
    </w:p>
    <w:p w14:paraId="680A45A5">
      <w:pPr>
        <w:rPr>
          <w:rFonts w:hint="default" w:ascii="Times New Roman" w:hAnsi="Times New Roman" w:cs="Times New Roman"/>
          <w:sz w:val="22"/>
          <w:szCs w:val="22"/>
        </w:rPr>
      </w:pPr>
      <w:r>
        <w:rPr>
          <w:rFonts w:hint="default" w:ascii="Times New Roman" w:hAnsi="Times New Roman" w:cs="Times New Roman"/>
          <w:sz w:val="22"/>
          <w:szCs w:val="22"/>
        </w:rPr>
        <w:t>Supplementary Figure S2. Principal component analysis quality assessment of the GSE289499 bulk RNA-sequencing cohort.</w:t>
      </w:r>
    </w:p>
    <w:p w14:paraId="454ECF27">
      <w:pPr>
        <w:rPr>
          <w:rFonts w:hint="eastAsia"/>
        </w:rPr>
      </w:pPr>
    </w:p>
    <w:p w14:paraId="2AB902A7">
      <w:pPr>
        <w:snapToGrid w:val="0"/>
        <w:spacing w:before="50" w:after="50"/>
        <w:rPr>
          <w:rFonts w:hint="eastAsia" w:ascii="Times New Roman" w:hAnsi="Times New Roman" w:eastAsia="宋体" w:cs="Times New Roman"/>
          <w:b/>
          <w:bCs/>
          <w:kern w:val="0"/>
          <w:sz w:val="22"/>
          <w:szCs w:val="22"/>
          <w:lang w:eastAsia="zh-CN"/>
          <w14:ligatures w14:val="none"/>
        </w:rPr>
      </w:pPr>
      <w:r>
        <w:rPr>
          <w:rFonts w:hint="default" w:ascii="Times New Roman" w:hAnsi="Times New Roman" w:eastAsia="宋体" w:cs="Times New Roman"/>
          <w:b/>
          <w:bCs/>
          <w:kern w:val="0"/>
          <w:sz w:val="22"/>
          <w:szCs w:val="22"/>
          <w14:ligatures w14:val="none"/>
        </w:rPr>
        <w:t>Figure S</w:t>
      </w:r>
      <w:r>
        <w:rPr>
          <w:rFonts w:hint="eastAsia" w:ascii="Times New Roman" w:hAnsi="Times New Roman" w:eastAsia="宋体" w:cs="Times New Roman"/>
          <w:b/>
          <w:bCs/>
          <w:kern w:val="0"/>
          <w:sz w:val="22"/>
          <w:szCs w:val="22"/>
          <w:lang w:val="en-US" w:eastAsia="zh-CN"/>
          <w14:ligatures w14:val="none"/>
        </w:rPr>
        <w:t>3</w:t>
      </w:r>
      <w:r>
        <w:rPr>
          <w:rFonts w:hint="default" w:ascii="Times New Roman" w:hAnsi="Times New Roman" w:eastAsia="宋体" w:cs="Times New Roman"/>
          <w:b/>
          <w:bCs/>
          <w:kern w:val="0"/>
          <w:sz w:val="22"/>
          <w:szCs w:val="22"/>
          <w14:ligatures w14:val="none"/>
        </w:rPr>
        <w:t xml:space="preserve">. </w:t>
      </w:r>
      <w:r>
        <w:rPr>
          <w:rFonts w:hint="eastAsia" w:ascii="Times New Roman" w:hAnsi="Times New Roman" w:eastAsia="宋体" w:cs="Times New Roman"/>
          <w:b/>
          <w:bCs/>
          <w:kern w:val="0"/>
          <w:sz w:val="22"/>
          <w:szCs w:val="22"/>
          <w:lang w:eastAsia="zh-CN"/>
          <w14:ligatures w14:val="none"/>
        </w:rPr>
        <w:drawing>
          <wp:inline distT="0" distB="0" distL="114300" distR="114300">
            <wp:extent cx="5259070" cy="2958465"/>
            <wp:effectExtent l="0" t="0" r="8255" b="3810"/>
            <wp:docPr id="3" name="图片 3" descr="Supplementary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ry Figure 3"/>
                    <pic:cNvPicPr>
                      <a:picLocks noChangeAspect="1"/>
                    </pic:cNvPicPr>
                  </pic:nvPicPr>
                  <pic:blipFill>
                    <a:blip r:embed="rId6"/>
                    <a:stretch>
                      <a:fillRect/>
                    </a:stretch>
                  </pic:blipFill>
                  <pic:spPr>
                    <a:xfrm>
                      <a:off x="0" y="0"/>
                      <a:ext cx="5259070" cy="2958465"/>
                    </a:xfrm>
                    <a:prstGeom prst="rect">
                      <a:avLst/>
                    </a:prstGeom>
                  </pic:spPr>
                </pic:pic>
              </a:graphicData>
            </a:graphic>
          </wp:inline>
        </w:drawing>
      </w:r>
    </w:p>
    <w:p w14:paraId="5788BAFD">
      <w:pPr>
        <w:rPr>
          <w:rFonts w:hint="default" w:ascii="Times New Roman" w:hAnsi="Times New Roman" w:cs="Times New Roman"/>
          <w:sz w:val="22"/>
          <w:szCs w:val="22"/>
        </w:rPr>
      </w:pPr>
      <w:r>
        <w:rPr>
          <w:rFonts w:hint="default" w:ascii="Times New Roman" w:hAnsi="Times New Roman" w:cs="Times New Roman"/>
          <w:sz w:val="22"/>
          <w:szCs w:val="22"/>
        </w:rPr>
        <w:t>Independent Monocle 2 trajectory reconstruction of CAF states in the discovery and validation cohorts.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D45385"/>
    <w:rsid w:val="10FD712B"/>
    <w:rsid w:val="11151987"/>
    <w:rsid w:val="18E47538"/>
    <w:rsid w:val="1AD45385"/>
    <w:rsid w:val="220777FE"/>
    <w:rsid w:val="22E206D2"/>
    <w:rsid w:val="26272B27"/>
    <w:rsid w:val="2E08224D"/>
    <w:rsid w:val="374629DE"/>
    <w:rsid w:val="384005B2"/>
    <w:rsid w:val="6B742CDB"/>
    <w:rsid w:val="7658033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kern w:val="2"/>
      <w:sz w:val="24"/>
      <w:szCs w:val="24"/>
      <w:lang w:val="en-US" w:eastAsia="zh-CN" w:bidi="ar-SA"/>
      <w14:ligatures w14:val="standardContextual"/>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paragraph" w:customStyle="1" w:styleId="5">
    <w:name w:val="p4"/>
    <w:basedOn w:val="1"/>
    <w:qFormat/>
    <w:uiPriority w:val="0"/>
    <w:pPr>
      <w:spacing w:before="100" w:beforeAutospacing="1" w:after="100" w:afterAutospacing="1"/>
    </w:pPr>
    <w:rPr>
      <w:rFonts w:ascii="Times New Roman" w:hAnsi="Times New Roman" w:eastAsia="Times New Roman" w:cs="Times New Roman"/>
      <w:kern w:val="0"/>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187</Words>
  <Characters>1233</Characters>
  <Lines>0</Lines>
  <Paragraphs>0</Paragraphs>
  <TotalTime>1</TotalTime>
  <ScaleCrop>false</ScaleCrop>
  <LinksUpToDate>false</LinksUpToDate>
  <CharactersWithSpaces>1422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2026-05-17T15:54:00Z</dcterms:created>
  <dc:creator>郝顺</dc:creator>
  <cp:lastModifiedBy>木樨</cp:lastModifiedBy>
  <dcterms:modified xsi:type="dcterms:W3CDTF">2026-07-23T10:06:17Z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A6AF3B6EDB664A38A8F669F05DF539C1_13</vt:lpwstr>
  </property>
  <property fmtid="{D5CDD505-2E9C-101B-9397-08002B2CF9AE}" pid="4" name="KSOTemplateDocerSaveRecord">
    <vt:lpwstr>eyJoZGlkIjoiNGVkM2M3ODliOWIwM2RlYzBiNWIxOGRkNTUxZDhkNDIiLCJ1c2VySWQiOiI0MjA3NTc5ODcifQ==</vt:lpwstr>
  </property>
</Properties>
</file>