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78DFF">
      <w:pPr>
        <w:rPr>
          <w:rFonts w:ascii="宋体" w:hAnsi="宋体" w:eastAsia="宋体" w:cs="宋体"/>
          <w:sz w:val="24"/>
          <w:szCs w:val="24"/>
        </w:rPr>
      </w:pPr>
    </w:p>
    <w:p w14:paraId="030F37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We adopted two grouping strategies for postoperative adjuvant treatment to balance clinical granularity and statistical stability. The four-category grouping (no adjuvant therapy, radiotherapy alone, chemotherapy alone, concurrent chemoradiotherapy) was set as the primary analysis, which strictly distinguished different clinical treatment regimens and maximized clinical information without merging heterogeneous treatment modalities.</w:t>
      </w:r>
    </w:p>
    <w:p w14:paraId="4F7901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As sensitivity analysis, we further constructed a three-category grouping scheme, in which radiotherapy alone and concurrent chemoradiotherapy were combined into an “any radiotherapy” group. This combination had two rationales: First, both subgroups received radiotherapy as core local treatment, and their survival hazard estimates showed consistent directional trends; Second, merging radiotherapy-related subgroups increased sample size within the radiotherapy arm, improving statistical power to detect survival differences associated with radiotherapy-based strategies.</w:t>
      </w:r>
    </w:p>
    <w:p w14:paraId="248646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Comparing results from four-category and three-category models enabled us to evaluate whether conclusions were sensitive to different grouping definitions of radiotherapy regimens. Consistent findings across both grouping approaches would strongly support the robustness of our conclusions regarding adjuvant treatment.</w:t>
      </w:r>
    </w:p>
    <w:p w14:paraId="4E55FA7B">
      <w:pPr>
        <w:spacing w:line="360" w:lineRule="auto"/>
        <w:rPr>
          <w:rFonts w:hint="default" w:ascii="Times New Roman" w:hAnsi="Times New Roman" w:eastAsia="宋体" w:cs="Times New Roman"/>
          <w:sz w:val="24"/>
          <w:szCs w:val="24"/>
        </w:rPr>
      </w:pPr>
    </w:p>
    <w:p w14:paraId="4E25E0B2">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Postoperative adjuvant treatment strategy was categorized into four mutually exclusive groups according to the actual treatment received: (1) no adjuvant therapy; (2) radiotherapy alone (radiotherapy administered without concurrent or sequential chemotherapy); (3) chemotherapy alone (chemotherapy administered without radiotherapy); (4) concurrent chemoradiotherapy (simultaneous administration of radiotherapy and chemotherapy). A four-level categorical factor variable was constructed, with patients receiving no adjuvant therapy set as the reference group. This mutually exclusive grouping avoids collinearity and interpretational bias caused by overlapping binary exposure indicators (e.g., separate binary variables for “receiving radiotherapy” and “receiving chemotherapy”), and enables direct comparison of survival outcomes across distinct clinical treatment regimens.</w:t>
      </w:r>
    </w:p>
    <w:p w14:paraId="4B0AD653">
      <w:pPr>
        <w:spacing w:line="36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 </w:t>
      </w:r>
    </w:p>
    <w:p w14:paraId="695075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rPr>
        <w:t>1. Main multivariate Cox proportional hazards regression model (four mutually exclusive treatment groups)</w:t>
      </w:r>
    </w:p>
    <w:p w14:paraId="59C6CB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Multivariate Cox proportional hazards regression was performed to identify independent prognostic factors for overall survival among 788 patients with cervical cancer. Postoperative adjuvant therapy was defined as four mutually exclusive categories: no adjuvant therapy, radiotherapy alone, chemotherapy alone, and concurrent chemoradiotherapy, with no adjuvant therapy designated as the reference group. The covariates included tumor volume (TV), pathological grade (gPG), lymphovascular space invasion (LVSI), vaginal invasion (gVI), endogenic growth pattern (gEOE), nerve invasion (gN), and treatment group.</w:t>
      </w:r>
    </w:p>
    <w:p w14:paraId="0F4F0B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The concordance index of the model was 0.728, indicating good discriminative ability. The global likelihood ratio test, Wald test and Log-rank score test all showed P &lt; 0.001, confirming overall statistical significance. Continuous tumor volume (HR=1.006, 95%CI 1.002–1.010, P=0.005), positive LVSI (HR=1.976, 95%CI 1.378–2.835, P&lt;0.001), positive vaginal invasion (HR=1.758, 95%CI 1.252–2.467, P=0.001), and positive lymph node metastasis (gLNM1, HR=2.929, 95%CI 2.011–4.264, P&lt;0.001) were identified as independent adverse prognostic factors for overall survival. Pathological grade, endogenic growth pattern and nerve invasion exhibited no significant independent prognostic association (all P&gt;0.05).</w:t>
      </w:r>
    </w:p>
    <w:p w14:paraId="0EB327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Compared with patients without adjuvant therapy, radiotherapy alone (HR=0.851, 95%CI 0.492–1.473, P=0.564), chemotherapy alone (HR=2.190, 95%CI 0.640–7.493, P=0.212), and concurrent chemoradiotherapy (HR=0.725, 95%CI 0.413–1.274, P=0.264) were not independently associated with overall survival.</w:t>
      </w:r>
    </w:p>
    <w:p w14:paraId="5FCF52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The proportional hazards (PH) assumption was assessed using Schoenfeld residuals. The global test suggested no overall violation of the PH assumption (P=0.299). However, pathological grade violated the PH assumption (P=0.028).</w:t>
      </w:r>
    </w:p>
    <w:p w14:paraId="419BE8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4B4C8D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3341B617">
      <w:pPr>
        <w:keepNext w:val="0"/>
        <w:keepLines w:val="0"/>
        <w:widowControl/>
        <w:suppressLineNumbers w:val="0"/>
        <w:jc w:val="both"/>
        <w:rPr>
          <w:rStyle w:val="8"/>
          <w:rFonts w:hint="default" w:ascii="Times New Roman" w:hAnsi="Times New Roman" w:eastAsia="宋体" w:cs="Times New Roman"/>
          <w:kern w:val="0"/>
          <w:sz w:val="24"/>
          <w:szCs w:val="24"/>
          <w:lang w:val="en-US" w:eastAsia="zh-CN" w:bidi="ar"/>
        </w:rPr>
      </w:pPr>
    </w:p>
    <w:p w14:paraId="6FC03D01">
      <w:pPr>
        <w:keepNext w:val="0"/>
        <w:keepLines w:val="0"/>
        <w:widowControl/>
        <w:suppressLineNumbers w:val="0"/>
        <w:jc w:val="center"/>
        <w:rPr>
          <w:rStyle w:val="8"/>
          <w:rFonts w:hint="default" w:ascii="Times New Roman" w:hAnsi="Times New Roman" w:eastAsia="宋体" w:cs="Times New Roman"/>
          <w:b w:val="0"/>
          <w:bCs/>
          <w:kern w:val="0"/>
          <w:sz w:val="24"/>
          <w:szCs w:val="24"/>
          <w:lang w:val="en-US" w:eastAsia="zh-CN" w:bidi="ar"/>
        </w:rPr>
      </w:pPr>
      <w:r>
        <w:rPr>
          <w:rFonts w:hint="default" w:ascii="Times New Roman" w:hAnsi="Times New Roman" w:eastAsia="宋体" w:cs="Times New Roman"/>
          <w:sz w:val="24"/>
          <w:szCs w:val="24"/>
        </w:rPr>
        <w:t>Supplementary</w:t>
      </w:r>
      <w:r>
        <w:rPr>
          <w:rFonts w:hint="eastAsia" w:ascii="Times New Roman" w:hAnsi="Times New Roman" w:eastAsia="宋体" w:cs="Times New Roman"/>
          <w:sz w:val="24"/>
          <w:szCs w:val="24"/>
          <w:lang w:val="en-US" w:eastAsia="zh-CN"/>
        </w:rPr>
        <w:t xml:space="preserve"> </w:t>
      </w:r>
      <w:r>
        <w:rPr>
          <w:rStyle w:val="8"/>
          <w:rFonts w:hint="default" w:ascii="Times New Roman" w:hAnsi="Times New Roman" w:eastAsia="宋体" w:cs="Times New Roman"/>
          <w:b w:val="0"/>
          <w:bCs/>
          <w:kern w:val="0"/>
          <w:sz w:val="24"/>
          <w:szCs w:val="24"/>
          <w:lang w:val="en-US" w:eastAsia="zh-CN" w:bidi="ar"/>
        </w:rPr>
        <w:t>Table1. Multivariate Cox proportional hazards regression analysis for overall survival based on four mutually exclusive postoperative adjuvant treatment groups</w:t>
      </w:r>
    </w:p>
    <w:p w14:paraId="4DCF6A21">
      <w:pPr>
        <w:keepNext w:val="0"/>
        <w:keepLines w:val="0"/>
        <w:widowControl/>
        <w:suppressLineNumbers w:val="0"/>
        <w:jc w:val="left"/>
        <w:rPr>
          <w:rStyle w:val="8"/>
          <w:rFonts w:hint="default" w:ascii="Times New Roman" w:hAnsi="Times New Roman" w:eastAsia="宋体" w:cs="Times New Roman"/>
          <w:kern w:val="0"/>
          <w:sz w:val="24"/>
          <w:szCs w:val="24"/>
          <w:lang w:val="en-US" w:eastAsia="zh-CN" w:bidi="ar"/>
        </w:rPr>
      </w:pPr>
    </w:p>
    <w:tbl>
      <w:tblPr>
        <w:tblStyle w:val="6"/>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552"/>
        <w:gridCol w:w="961"/>
        <w:gridCol w:w="1439"/>
        <w:gridCol w:w="1575"/>
        <w:gridCol w:w="1016"/>
      </w:tblGrid>
      <w:tr w14:paraId="4AC56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7" w:hRule="atLeast"/>
          <w:tblHeader/>
          <w:jc w:val="center"/>
        </w:trPr>
        <w:tc>
          <w:tcPr>
            <w:tcW w:w="2078" w:type="pct"/>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71804255">
            <w:pPr>
              <w:keepNext w:val="0"/>
              <w:keepLines w:val="0"/>
              <w:widowControl/>
              <w:suppressLineNumbers w:val="0"/>
              <w:jc w:val="left"/>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Variable</w:t>
            </w:r>
          </w:p>
        </w:tc>
        <w:tc>
          <w:tcPr>
            <w:tcW w:w="562" w:type="pct"/>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6292CDF4">
            <w:pPr>
              <w:keepNext w:val="0"/>
              <w:keepLines w:val="0"/>
              <w:widowControl/>
              <w:suppressLineNumbers w:val="0"/>
              <w:jc w:val="left"/>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n</w:t>
            </w:r>
          </w:p>
        </w:tc>
        <w:tc>
          <w:tcPr>
            <w:tcW w:w="842" w:type="pct"/>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3B0E008E">
            <w:pPr>
              <w:keepNext w:val="0"/>
              <w:keepLines w:val="0"/>
              <w:widowControl/>
              <w:suppressLineNumbers w:val="0"/>
              <w:jc w:val="left"/>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exp(coef) HR</w:t>
            </w:r>
          </w:p>
        </w:tc>
        <w:tc>
          <w:tcPr>
            <w:tcW w:w="921" w:type="pct"/>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4BA31B42">
            <w:pPr>
              <w:keepNext w:val="0"/>
              <w:keepLines w:val="0"/>
              <w:widowControl/>
              <w:suppressLineNumbers w:val="0"/>
              <w:jc w:val="left"/>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95% CI</w:t>
            </w:r>
          </w:p>
        </w:tc>
        <w:tc>
          <w:tcPr>
            <w:tcW w:w="594" w:type="pct"/>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5E5C44D2">
            <w:pPr>
              <w:keepNext w:val="0"/>
              <w:keepLines w:val="0"/>
              <w:widowControl/>
              <w:suppressLineNumbers w:val="0"/>
              <w:jc w:val="left"/>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p</w:t>
            </w:r>
          </w:p>
        </w:tc>
      </w:tr>
      <w:tr w14:paraId="40F69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078" w:type="pct"/>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28D48FF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TV (continuous)</w:t>
            </w:r>
          </w:p>
        </w:tc>
        <w:tc>
          <w:tcPr>
            <w:tcW w:w="562" w:type="pct"/>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4F3F709A">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788</w:t>
            </w:r>
          </w:p>
        </w:tc>
        <w:tc>
          <w:tcPr>
            <w:tcW w:w="842" w:type="pct"/>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1A6C9363">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1.006</w:t>
            </w:r>
          </w:p>
        </w:tc>
        <w:tc>
          <w:tcPr>
            <w:tcW w:w="921" w:type="pct"/>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6EB82F4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1.002–1.010</w:t>
            </w:r>
          </w:p>
        </w:tc>
        <w:tc>
          <w:tcPr>
            <w:tcW w:w="594" w:type="pct"/>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656DF545">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0.005</w:t>
            </w:r>
          </w:p>
        </w:tc>
      </w:tr>
      <w:tr w14:paraId="12F94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078" w:type="pct"/>
            <w:tcBorders>
              <w:top w:val="nil"/>
              <w:left w:val="nil"/>
              <w:bottom w:val="nil"/>
              <w:right w:val="nil"/>
            </w:tcBorders>
            <w:shd w:val="clear" w:color="auto" w:fill="auto"/>
            <w:noWrap w:val="0"/>
            <w:tcMar>
              <w:top w:w="120" w:type="dxa"/>
              <w:left w:w="120" w:type="dxa"/>
              <w:bottom w:w="120" w:type="dxa"/>
              <w:right w:w="120" w:type="dxa"/>
            </w:tcMar>
            <w:vAlign w:val="center"/>
          </w:tcPr>
          <w:p w14:paraId="2D80074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gPG (Grade Ⅲ : Grade Ⅰ–Ⅱ)</w:t>
            </w:r>
          </w:p>
        </w:tc>
        <w:tc>
          <w:tcPr>
            <w:tcW w:w="562" w:type="pct"/>
            <w:tcBorders>
              <w:top w:val="nil"/>
              <w:left w:val="nil"/>
              <w:bottom w:val="nil"/>
              <w:right w:val="nil"/>
            </w:tcBorders>
            <w:shd w:val="clear" w:color="auto" w:fill="auto"/>
            <w:noWrap w:val="0"/>
            <w:tcMar>
              <w:top w:w="120" w:type="dxa"/>
              <w:left w:w="120" w:type="dxa"/>
              <w:bottom w:w="120" w:type="dxa"/>
              <w:right w:w="120" w:type="dxa"/>
            </w:tcMar>
            <w:vAlign w:val="center"/>
          </w:tcPr>
          <w:p w14:paraId="762CC54A">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465 : 323</w:t>
            </w:r>
          </w:p>
        </w:tc>
        <w:tc>
          <w:tcPr>
            <w:tcW w:w="842" w:type="pct"/>
            <w:tcBorders>
              <w:top w:val="nil"/>
              <w:left w:val="nil"/>
              <w:bottom w:val="nil"/>
              <w:right w:val="nil"/>
            </w:tcBorders>
            <w:shd w:val="clear" w:color="auto" w:fill="auto"/>
            <w:noWrap w:val="0"/>
            <w:tcMar>
              <w:top w:w="120" w:type="dxa"/>
              <w:left w:w="120" w:type="dxa"/>
              <w:bottom w:w="120" w:type="dxa"/>
              <w:right w:w="120" w:type="dxa"/>
            </w:tcMar>
            <w:vAlign w:val="center"/>
          </w:tcPr>
          <w:p w14:paraId="139F451A">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1.277</w:t>
            </w:r>
          </w:p>
        </w:tc>
        <w:tc>
          <w:tcPr>
            <w:tcW w:w="921" w:type="pct"/>
            <w:tcBorders>
              <w:top w:val="nil"/>
              <w:left w:val="nil"/>
              <w:bottom w:val="nil"/>
              <w:right w:val="nil"/>
            </w:tcBorders>
            <w:shd w:val="clear" w:color="auto" w:fill="auto"/>
            <w:noWrap w:val="0"/>
            <w:tcMar>
              <w:top w:w="120" w:type="dxa"/>
              <w:left w:w="120" w:type="dxa"/>
              <w:bottom w:w="120" w:type="dxa"/>
              <w:right w:w="120" w:type="dxa"/>
            </w:tcMar>
            <w:vAlign w:val="center"/>
          </w:tcPr>
          <w:p w14:paraId="25218AFD">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0.908–1.795</w:t>
            </w:r>
          </w:p>
        </w:tc>
        <w:tc>
          <w:tcPr>
            <w:tcW w:w="594" w:type="pct"/>
            <w:tcBorders>
              <w:top w:val="nil"/>
              <w:left w:val="nil"/>
              <w:bottom w:val="nil"/>
              <w:right w:val="nil"/>
            </w:tcBorders>
            <w:shd w:val="clear" w:color="auto" w:fill="auto"/>
            <w:noWrap w:val="0"/>
            <w:tcMar>
              <w:top w:w="120" w:type="dxa"/>
              <w:left w:w="120" w:type="dxa"/>
              <w:bottom w:w="120" w:type="dxa"/>
              <w:right w:w="120" w:type="dxa"/>
            </w:tcMar>
            <w:vAlign w:val="center"/>
          </w:tcPr>
          <w:p w14:paraId="104D172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0.160</w:t>
            </w:r>
          </w:p>
        </w:tc>
      </w:tr>
      <w:tr w14:paraId="4A378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2078" w:type="pct"/>
            <w:tcBorders>
              <w:top w:val="nil"/>
              <w:left w:val="nil"/>
              <w:bottom w:val="nil"/>
              <w:right w:val="nil"/>
            </w:tcBorders>
            <w:shd w:val="clear" w:color="auto" w:fill="auto"/>
            <w:noWrap w:val="0"/>
            <w:tcMar>
              <w:top w:w="120" w:type="dxa"/>
              <w:left w:w="120" w:type="dxa"/>
              <w:bottom w:w="120" w:type="dxa"/>
              <w:right w:w="120" w:type="dxa"/>
            </w:tcMar>
            <w:vAlign w:val="center"/>
          </w:tcPr>
          <w:p w14:paraId="6E03FBF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LVSI (positive : negative)</w:t>
            </w:r>
          </w:p>
        </w:tc>
        <w:tc>
          <w:tcPr>
            <w:tcW w:w="562" w:type="pct"/>
            <w:tcBorders>
              <w:top w:val="nil"/>
              <w:left w:val="nil"/>
              <w:bottom w:val="nil"/>
              <w:right w:val="nil"/>
            </w:tcBorders>
            <w:shd w:val="clear" w:color="auto" w:fill="auto"/>
            <w:noWrap w:val="0"/>
            <w:tcMar>
              <w:top w:w="120" w:type="dxa"/>
              <w:left w:w="120" w:type="dxa"/>
              <w:bottom w:w="120" w:type="dxa"/>
              <w:right w:w="120" w:type="dxa"/>
            </w:tcMar>
            <w:vAlign w:val="center"/>
          </w:tcPr>
          <w:p w14:paraId="080B2DA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241 : 547</w:t>
            </w:r>
          </w:p>
        </w:tc>
        <w:tc>
          <w:tcPr>
            <w:tcW w:w="842" w:type="pct"/>
            <w:tcBorders>
              <w:top w:val="nil"/>
              <w:left w:val="nil"/>
              <w:bottom w:val="nil"/>
              <w:right w:val="nil"/>
            </w:tcBorders>
            <w:shd w:val="clear" w:color="auto" w:fill="auto"/>
            <w:noWrap w:val="0"/>
            <w:tcMar>
              <w:top w:w="120" w:type="dxa"/>
              <w:left w:w="120" w:type="dxa"/>
              <w:bottom w:w="120" w:type="dxa"/>
              <w:right w:w="120" w:type="dxa"/>
            </w:tcMar>
            <w:vAlign w:val="center"/>
          </w:tcPr>
          <w:p w14:paraId="03136F9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1.976</w:t>
            </w:r>
          </w:p>
        </w:tc>
        <w:tc>
          <w:tcPr>
            <w:tcW w:w="921" w:type="pct"/>
            <w:tcBorders>
              <w:top w:val="nil"/>
              <w:left w:val="nil"/>
              <w:bottom w:val="nil"/>
              <w:right w:val="nil"/>
            </w:tcBorders>
            <w:shd w:val="clear" w:color="auto" w:fill="auto"/>
            <w:noWrap w:val="0"/>
            <w:tcMar>
              <w:top w:w="120" w:type="dxa"/>
              <w:left w:w="120" w:type="dxa"/>
              <w:bottom w:w="120" w:type="dxa"/>
              <w:right w:w="120" w:type="dxa"/>
            </w:tcMar>
            <w:vAlign w:val="center"/>
          </w:tcPr>
          <w:p w14:paraId="550BF165">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1.378–2.835</w:t>
            </w:r>
          </w:p>
        </w:tc>
        <w:tc>
          <w:tcPr>
            <w:tcW w:w="594" w:type="pct"/>
            <w:tcBorders>
              <w:top w:val="nil"/>
              <w:left w:val="nil"/>
              <w:bottom w:val="nil"/>
              <w:right w:val="nil"/>
            </w:tcBorders>
            <w:shd w:val="clear" w:color="auto" w:fill="auto"/>
            <w:noWrap w:val="0"/>
            <w:tcMar>
              <w:top w:w="120" w:type="dxa"/>
              <w:left w:w="120" w:type="dxa"/>
              <w:bottom w:w="120" w:type="dxa"/>
              <w:right w:w="120" w:type="dxa"/>
            </w:tcMar>
            <w:vAlign w:val="center"/>
          </w:tcPr>
          <w:p w14:paraId="27A63CAD">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&lt;0.001</w:t>
            </w:r>
          </w:p>
        </w:tc>
      </w:tr>
      <w:tr w14:paraId="6C67A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078" w:type="pct"/>
            <w:tcBorders>
              <w:top w:val="nil"/>
              <w:left w:val="nil"/>
              <w:bottom w:val="nil"/>
              <w:right w:val="nil"/>
            </w:tcBorders>
            <w:shd w:val="clear" w:color="auto" w:fill="auto"/>
            <w:noWrap w:val="0"/>
            <w:tcMar>
              <w:top w:w="120" w:type="dxa"/>
              <w:left w:w="120" w:type="dxa"/>
              <w:bottom w:w="120" w:type="dxa"/>
              <w:right w:w="120" w:type="dxa"/>
            </w:tcMar>
            <w:vAlign w:val="center"/>
          </w:tcPr>
          <w:p w14:paraId="0DE66534">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gVI (positive : negative)</w:t>
            </w:r>
          </w:p>
        </w:tc>
        <w:tc>
          <w:tcPr>
            <w:tcW w:w="562" w:type="pct"/>
            <w:tcBorders>
              <w:top w:val="nil"/>
              <w:left w:val="nil"/>
              <w:bottom w:val="nil"/>
              <w:right w:val="nil"/>
            </w:tcBorders>
            <w:shd w:val="clear" w:color="auto" w:fill="auto"/>
            <w:noWrap w:val="0"/>
            <w:tcMar>
              <w:top w:w="120" w:type="dxa"/>
              <w:left w:w="120" w:type="dxa"/>
              <w:bottom w:w="120" w:type="dxa"/>
              <w:right w:w="120" w:type="dxa"/>
            </w:tcMar>
            <w:vAlign w:val="center"/>
          </w:tcPr>
          <w:p w14:paraId="0A6992F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250 : 538</w:t>
            </w:r>
          </w:p>
        </w:tc>
        <w:tc>
          <w:tcPr>
            <w:tcW w:w="842" w:type="pct"/>
            <w:tcBorders>
              <w:top w:val="nil"/>
              <w:left w:val="nil"/>
              <w:bottom w:val="nil"/>
              <w:right w:val="nil"/>
            </w:tcBorders>
            <w:shd w:val="clear" w:color="auto" w:fill="auto"/>
            <w:noWrap w:val="0"/>
            <w:tcMar>
              <w:top w:w="120" w:type="dxa"/>
              <w:left w:w="120" w:type="dxa"/>
              <w:bottom w:w="120" w:type="dxa"/>
              <w:right w:w="120" w:type="dxa"/>
            </w:tcMar>
            <w:vAlign w:val="center"/>
          </w:tcPr>
          <w:p w14:paraId="081E4A4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1.758</w:t>
            </w:r>
          </w:p>
        </w:tc>
        <w:tc>
          <w:tcPr>
            <w:tcW w:w="921" w:type="pct"/>
            <w:tcBorders>
              <w:top w:val="nil"/>
              <w:left w:val="nil"/>
              <w:bottom w:val="nil"/>
              <w:right w:val="nil"/>
            </w:tcBorders>
            <w:shd w:val="clear" w:color="auto" w:fill="auto"/>
            <w:noWrap w:val="0"/>
            <w:tcMar>
              <w:top w:w="120" w:type="dxa"/>
              <w:left w:w="120" w:type="dxa"/>
              <w:bottom w:w="120" w:type="dxa"/>
              <w:right w:w="120" w:type="dxa"/>
            </w:tcMar>
            <w:vAlign w:val="center"/>
          </w:tcPr>
          <w:p w14:paraId="214572DF">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1.252–2.467</w:t>
            </w:r>
          </w:p>
        </w:tc>
        <w:tc>
          <w:tcPr>
            <w:tcW w:w="594" w:type="pct"/>
            <w:tcBorders>
              <w:top w:val="nil"/>
              <w:left w:val="nil"/>
              <w:bottom w:val="nil"/>
              <w:right w:val="nil"/>
            </w:tcBorders>
            <w:shd w:val="clear" w:color="auto" w:fill="auto"/>
            <w:noWrap w:val="0"/>
            <w:tcMar>
              <w:top w:w="120" w:type="dxa"/>
              <w:left w:w="120" w:type="dxa"/>
              <w:bottom w:w="120" w:type="dxa"/>
              <w:right w:w="120" w:type="dxa"/>
            </w:tcMar>
            <w:vAlign w:val="center"/>
          </w:tcPr>
          <w:p w14:paraId="5B0B744F">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0.001</w:t>
            </w:r>
          </w:p>
        </w:tc>
      </w:tr>
      <w:tr w14:paraId="5DCA0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078" w:type="pct"/>
            <w:tcBorders>
              <w:top w:val="nil"/>
              <w:left w:val="nil"/>
              <w:bottom w:val="nil"/>
              <w:right w:val="nil"/>
            </w:tcBorders>
            <w:shd w:val="clear" w:color="auto" w:fill="auto"/>
            <w:noWrap w:val="0"/>
            <w:tcMar>
              <w:top w:w="120" w:type="dxa"/>
              <w:left w:w="120" w:type="dxa"/>
              <w:bottom w:w="120" w:type="dxa"/>
              <w:right w:w="120" w:type="dxa"/>
            </w:tcMar>
            <w:vAlign w:val="center"/>
          </w:tcPr>
          <w:p w14:paraId="780CAB5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gLNM1 (positive : negative)</w:t>
            </w:r>
          </w:p>
        </w:tc>
        <w:tc>
          <w:tcPr>
            <w:tcW w:w="562" w:type="pct"/>
            <w:tcBorders>
              <w:top w:val="nil"/>
              <w:left w:val="nil"/>
              <w:bottom w:val="nil"/>
              <w:right w:val="nil"/>
            </w:tcBorders>
            <w:shd w:val="clear" w:color="auto" w:fill="auto"/>
            <w:noWrap w:val="0"/>
            <w:tcMar>
              <w:top w:w="120" w:type="dxa"/>
              <w:left w:w="120" w:type="dxa"/>
              <w:bottom w:w="120" w:type="dxa"/>
              <w:right w:w="120" w:type="dxa"/>
            </w:tcMar>
            <w:vAlign w:val="center"/>
          </w:tcPr>
          <w:p w14:paraId="7849FD5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235 : 553</w:t>
            </w:r>
          </w:p>
        </w:tc>
        <w:tc>
          <w:tcPr>
            <w:tcW w:w="842" w:type="pct"/>
            <w:tcBorders>
              <w:top w:val="nil"/>
              <w:left w:val="nil"/>
              <w:bottom w:val="nil"/>
              <w:right w:val="nil"/>
            </w:tcBorders>
            <w:shd w:val="clear" w:color="auto" w:fill="auto"/>
            <w:noWrap w:val="0"/>
            <w:tcMar>
              <w:top w:w="120" w:type="dxa"/>
              <w:left w:w="120" w:type="dxa"/>
              <w:bottom w:w="120" w:type="dxa"/>
              <w:right w:w="120" w:type="dxa"/>
            </w:tcMar>
            <w:vAlign w:val="center"/>
          </w:tcPr>
          <w:p w14:paraId="0059567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2.929</w:t>
            </w:r>
          </w:p>
        </w:tc>
        <w:tc>
          <w:tcPr>
            <w:tcW w:w="921" w:type="pct"/>
            <w:tcBorders>
              <w:top w:val="nil"/>
              <w:left w:val="nil"/>
              <w:bottom w:val="nil"/>
              <w:right w:val="nil"/>
            </w:tcBorders>
            <w:shd w:val="clear" w:color="auto" w:fill="auto"/>
            <w:noWrap w:val="0"/>
            <w:tcMar>
              <w:top w:w="120" w:type="dxa"/>
              <w:left w:w="120" w:type="dxa"/>
              <w:bottom w:w="120" w:type="dxa"/>
              <w:right w:w="120" w:type="dxa"/>
            </w:tcMar>
            <w:vAlign w:val="center"/>
          </w:tcPr>
          <w:p w14:paraId="5011B5E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2.011–4.264</w:t>
            </w:r>
          </w:p>
        </w:tc>
        <w:tc>
          <w:tcPr>
            <w:tcW w:w="594" w:type="pct"/>
            <w:tcBorders>
              <w:top w:val="nil"/>
              <w:left w:val="nil"/>
              <w:bottom w:val="nil"/>
              <w:right w:val="nil"/>
            </w:tcBorders>
            <w:shd w:val="clear" w:color="auto" w:fill="auto"/>
            <w:noWrap w:val="0"/>
            <w:tcMar>
              <w:top w:w="120" w:type="dxa"/>
              <w:left w:w="120" w:type="dxa"/>
              <w:bottom w:w="120" w:type="dxa"/>
              <w:right w:w="120" w:type="dxa"/>
            </w:tcMar>
            <w:vAlign w:val="center"/>
          </w:tcPr>
          <w:p w14:paraId="29CB1B9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&lt;0.001</w:t>
            </w:r>
          </w:p>
        </w:tc>
      </w:tr>
      <w:tr w14:paraId="2A7A9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078" w:type="pct"/>
            <w:tcBorders>
              <w:top w:val="nil"/>
              <w:left w:val="nil"/>
              <w:bottom w:val="nil"/>
              <w:right w:val="nil"/>
            </w:tcBorders>
            <w:shd w:val="clear" w:color="auto" w:fill="auto"/>
            <w:noWrap w:val="0"/>
            <w:tcMar>
              <w:top w:w="120" w:type="dxa"/>
              <w:left w:w="120" w:type="dxa"/>
              <w:bottom w:w="120" w:type="dxa"/>
              <w:right w:w="120" w:type="dxa"/>
            </w:tcMar>
            <w:vAlign w:val="center"/>
          </w:tcPr>
          <w:p w14:paraId="535F9C77">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gEOE (endogenic : exogenic)</w:t>
            </w:r>
          </w:p>
        </w:tc>
        <w:tc>
          <w:tcPr>
            <w:tcW w:w="562" w:type="pct"/>
            <w:tcBorders>
              <w:top w:val="nil"/>
              <w:left w:val="nil"/>
              <w:bottom w:val="nil"/>
              <w:right w:val="nil"/>
            </w:tcBorders>
            <w:shd w:val="clear" w:color="auto" w:fill="auto"/>
            <w:noWrap w:val="0"/>
            <w:tcMar>
              <w:top w:w="120" w:type="dxa"/>
              <w:left w:w="120" w:type="dxa"/>
              <w:bottom w:w="120" w:type="dxa"/>
              <w:right w:w="120" w:type="dxa"/>
            </w:tcMar>
            <w:vAlign w:val="center"/>
          </w:tcPr>
          <w:p w14:paraId="12C9431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711 : 77</w:t>
            </w:r>
          </w:p>
        </w:tc>
        <w:tc>
          <w:tcPr>
            <w:tcW w:w="842" w:type="pct"/>
            <w:tcBorders>
              <w:top w:val="nil"/>
              <w:left w:val="nil"/>
              <w:bottom w:val="nil"/>
              <w:right w:val="nil"/>
            </w:tcBorders>
            <w:shd w:val="clear" w:color="auto" w:fill="auto"/>
            <w:noWrap w:val="0"/>
            <w:tcMar>
              <w:top w:w="120" w:type="dxa"/>
              <w:left w:w="120" w:type="dxa"/>
              <w:bottom w:w="120" w:type="dxa"/>
              <w:right w:w="120" w:type="dxa"/>
            </w:tcMar>
            <w:vAlign w:val="center"/>
          </w:tcPr>
          <w:p w14:paraId="329C6D6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1.771</w:t>
            </w:r>
          </w:p>
        </w:tc>
        <w:tc>
          <w:tcPr>
            <w:tcW w:w="921" w:type="pct"/>
            <w:tcBorders>
              <w:top w:val="nil"/>
              <w:left w:val="nil"/>
              <w:bottom w:val="nil"/>
              <w:right w:val="nil"/>
            </w:tcBorders>
            <w:shd w:val="clear" w:color="auto" w:fill="auto"/>
            <w:noWrap w:val="0"/>
            <w:tcMar>
              <w:top w:w="120" w:type="dxa"/>
              <w:left w:w="120" w:type="dxa"/>
              <w:bottom w:w="120" w:type="dxa"/>
              <w:right w:w="120" w:type="dxa"/>
            </w:tcMar>
            <w:vAlign w:val="center"/>
          </w:tcPr>
          <w:p w14:paraId="56AAA584">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0.816–3.842</w:t>
            </w:r>
          </w:p>
        </w:tc>
        <w:tc>
          <w:tcPr>
            <w:tcW w:w="594" w:type="pct"/>
            <w:tcBorders>
              <w:top w:val="nil"/>
              <w:left w:val="nil"/>
              <w:bottom w:val="nil"/>
              <w:right w:val="nil"/>
            </w:tcBorders>
            <w:shd w:val="clear" w:color="auto" w:fill="auto"/>
            <w:noWrap w:val="0"/>
            <w:tcMar>
              <w:top w:w="120" w:type="dxa"/>
              <w:left w:w="120" w:type="dxa"/>
              <w:bottom w:w="120" w:type="dxa"/>
              <w:right w:w="120" w:type="dxa"/>
            </w:tcMar>
            <w:vAlign w:val="center"/>
          </w:tcPr>
          <w:p w14:paraId="6A46F87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0.148</w:t>
            </w:r>
          </w:p>
        </w:tc>
      </w:tr>
      <w:tr w14:paraId="675A5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078" w:type="pct"/>
            <w:tcBorders>
              <w:top w:val="nil"/>
              <w:left w:val="nil"/>
              <w:bottom w:val="nil"/>
              <w:right w:val="nil"/>
            </w:tcBorders>
            <w:shd w:val="clear" w:color="auto" w:fill="auto"/>
            <w:noWrap w:val="0"/>
            <w:tcMar>
              <w:top w:w="120" w:type="dxa"/>
              <w:left w:w="120" w:type="dxa"/>
              <w:bottom w:w="120" w:type="dxa"/>
              <w:right w:w="120" w:type="dxa"/>
            </w:tcMar>
            <w:vAlign w:val="center"/>
          </w:tcPr>
          <w:p w14:paraId="5C7EFD5F">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gN (positive : negative)</w:t>
            </w:r>
          </w:p>
        </w:tc>
        <w:tc>
          <w:tcPr>
            <w:tcW w:w="562" w:type="pct"/>
            <w:tcBorders>
              <w:top w:val="nil"/>
              <w:left w:val="nil"/>
              <w:bottom w:val="nil"/>
              <w:right w:val="nil"/>
            </w:tcBorders>
            <w:shd w:val="clear" w:color="auto" w:fill="auto"/>
            <w:noWrap w:val="0"/>
            <w:tcMar>
              <w:top w:w="120" w:type="dxa"/>
              <w:left w:w="120" w:type="dxa"/>
              <w:bottom w:w="120" w:type="dxa"/>
              <w:right w:w="120" w:type="dxa"/>
            </w:tcMar>
            <w:vAlign w:val="center"/>
          </w:tcPr>
          <w:p w14:paraId="6B9EEE9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41 : 747</w:t>
            </w:r>
          </w:p>
        </w:tc>
        <w:tc>
          <w:tcPr>
            <w:tcW w:w="842" w:type="pct"/>
            <w:tcBorders>
              <w:top w:val="nil"/>
              <w:left w:val="nil"/>
              <w:bottom w:val="nil"/>
              <w:right w:val="nil"/>
            </w:tcBorders>
            <w:shd w:val="clear" w:color="auto" w:fill="auto"/>
            <w:noWrap w:val="0"/>
            <w:tcMar>
              <w:top w:w="120" w:type="dxa"/>
              <w:left w:w="120" w:type="dxa"/>
              <w:bottom w:w="120" w:type="dxa"/>
              <w:right w:w="120" w:type="dxa"/>
            </w:tcMar>
            <w:vAlign w:val="center"/>
          </w:tcPr>
          <w:p w14:paraId="3954C07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1.358</w:t>
            </w:r>
          </w:p>
        </w:tc>
        <w:tc>
          <w:tcPr>
            <w:tcW w:w="921" w:type="pct"/>
            <w:tcBorders>
              <w:top w:val="nil"/>
              <w:left w:val="nil"/>
              <w:bottom w:val="nil"/>
              <w:right w:val="nil"/>
            </w:tcBorders>
            <w:shd w:val="clear" w:color="auto" w:fill="auto"/>
            <w:noWrap w:val="0"/>
            <w:tcMar>
              <w:top w:w="120" w:type="dxa"/>
              <w:left w:w="120" w:type="dxa"/>
              <w:bottom w:w="120" w:type="dxa"/>
              <w:right w:w="120" w:type="dxa"/>
            </w:tcMar>
            <w:vAlign w:val="center"/>
          </w:tcPr>
          <w:p w14:paraId="3ACA146F">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0.735–2.511</w:t>
            </w:r>
          </w:p>
        </w:tc>
        <w:tc>
          <w:tcPr>
            <w:tcW w:w="594" w:type="pct"/>
            <w:tcBorders>
              <w:top w:val="nil"/>
              <w:left w:val="nil"/>
              <w:bottom w:val="nil"/>
              <w:right w:val="nil"/>
            </w:tcBorders>
            <w:shd w:val="clear" w:color="auto" w:fill="auto"/>
            <w:noWrap w:val="0"/>
            <w:tcMar>
              <w:top w:w="120" w:type="dxa"/>
              <w:left w:w="120" w:type="dxa"/>
              <w:bottom w:w="120" w:type="dxa"/>
              <w:right w:w="120" w:type="dxa"/>
            </w:tcMar>
            <w:vAlign w:val="center"/>
          </w:tcPr>
          <w:p w14:paraId="76134FAF">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0.329</w:t>
            </w:r>
          </w:p>
        </w:tc>
      </w:tr>
      <w:tr w14:paraId="6270D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078" w:type="pct"/>
            <w:tcBorders>
              <w:top w:val="nil"/>
              <w:left w:val="nil"/>
              <w:bottom w:val="nil"/>
              <w:right w:val="nil"/>
            </w:tcBorders>
            <w:shd w:val="clear" w:color="auto" w:fill="auto"/>
            <w:noWrap w:val="0"/>
            <w:tcMar>
              <w:top w:w="120" w:type="dxa"/>
              <w:left w:w="120" w:type="dxa"/>
              <w:bottom w:w="120" w:type="dxa"/>
              <w:right w:w="120" w:type="dxa"/>
            </w:tcMar>
            <w:vAlign w:val="center"/>
          </w:tcPr>
          <w:p w14:paraId="2E16EB3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Radiotherapy alone (vs No adjuvant therapy)</w:t>
            </w:r>
          </w:p>
        </w:tc>
        <w:tc>
          <w:tcPr>
            <w:tcW w:w="562" w:type="pct"/>
            <w:tcBorders>
              <w:top w:val="nil"/>
              <w:left w:val="nil"/>
              <w:bottom w:val="nil"/>
              <w:right w:val="nil"/>
            </w:tcBorders>
            <w:shd w:val="clear" w:color="auto" w:fill="auto"/>
            <w:noWrap w:val="0"/>
            <w:tcMar>
              <w:top w:w="120" w:type="dxa"/>
              <w:left w:w="120" w:type="dxa"/>
              <w:bottom w:w="120" w:type="dxa"/>
              <w:right w:w="120" w:type="dxa"/>
            </w:tcMar>
            <w:vAlign w:val="center"/>
          </w:tcPr>
          <w:p w14:paraId="74DFF247">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123 : 272</w:t>
            </w:r>
          </w:p>
        </w:tc>
        <w:tc>
          <w:tcPr>
            <w:tcW w:w="842" w:type="pct"/>
            <w:tcBorders>
              <w:top w:val="nil"/>
              <w:left w:val="nil"/>
              <w:bottom w:val="nil"/>
              <w:right w:val="nil"/>
            </w:tcBorders>
            <w:shd w:val="clear" w:color="auto" w:fill="auto"/>
            <w:noWrap w:val="0"/>
            <w:tcMar>
              <w:top w:w="120" w:type="dxa"/>
              <w:left w:w="120" w:type="dxa"/>
              <w:bottom w:w="120" w:type="dxa"/>
              <w:right w:w="120" w:type="dxa"/>
            </w:tcMar>
            <w:vAlign w:val="center"/>
          </w:tcPr>
          <w:p w14:paraId="69EE45E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0.851</w:t>
            </w:r>
          </w:p>
        </w:tc>
        <w:tc>
          <w:tcPr>
            <w:tcW w:w="921" w:type="pct"/>
            <w:tcBorders>
              <w:top w:val="nil"/>
              <w:left w:val="nil"/>
              <w:bottom w:val="nil"/>
              <w:right w:val="nil"/>
            </w:tcBorders>
            <w:shd w:val="clear" w:color="auto" w:fill="auto"/>
            <w:noWrap w:val="0"/>
            <w:tcMar>
              <w:top w:w="120" w:type="dxa"/>
              <w:left w:w="120" w:type="dxa"/>
              <w:bottom w:w="120" w:type="dxa"/>
              <w:right w:w="120" w:type="dxa"/>
            </w:tcMar>
            <w:vAlign w:val="center"/>
          </w:tcPr>
          <w:p w14:paraId="4993A543">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0.492–1.473</w:t>
            </w:r>
          </w:p>
        </w:tc>
        <w:tc>
          <w:tcPr>
            <w:tcW w:w="594" w:type="pct"/>
            <w:tcBorders>
              <w:top w:val="nil"/>
              <w:left w:val="nil"/>
              <w:bottom w:val="nil"/>
              <w:right w:val="nil"/>
            </w:tcBorders>
            <w:shd w:val="clear" w:color="auto" w:fill="auto"/>
            <w:noWrap w:val="0"/>
            <w:tcMar>
              <w:top w:w="120" w:type="dxa"/>
              <w:left w:w="120" w:type="dxa"/>
              <w:bottom w:w="120" w:type="dxa"/>
              <w:right w:w="120" w:type="dxa"/>
            </w:tcMar>
            <w:vAlign w:val="center"/>
          </w:tcPr>
          <w:p w14:paraId="674F9B0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0.564</w:t>
            </w:r>
          </w:p>
        </w:tc>
      </w:tr>
      <w:tr w14:paraId="78C8A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2078" w:type="pct"/>
            <w:tcBorders>
              <w:top w:val="nil"/>
              <w:left w:val="nil"/>
              <w:bottom w:val="nil"/>
              <w:right w:val="nil"/>
            </w:tcBorders>
            <w:shd w:val="clear" w:color="auto" w:fill="auto"/>
            <w:noWrap w:val="0"/>
            <w:tcMar>
              <w:top w:w="120" w:type="dxa"/>
              <w:left w:w="120" w:type="dxa"/>
              <w:bottom w:w="120" w:type="dxa"/>
              <w:right w:w="120" w:type="dxa"/>
            </w:tcMar>
            <w:vAlign w:val="center"/>
          </w:tcPr>
          <w:p w14:paraId="2EFFC7C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Chemotherapy alone (vs No adjuvant therapy)</w:t>
            </w:r>
          </w:p>
        </w:tc>
        <w:tc>
          <w:tcPr>
            <w:tcW w:w="562" w:type="pct"/>
            <w:tcBorders>
              <w:top w:val="nil"/>
              <w:left w:val="nil"/>
              <w:bottom w:val="nil"/>
              <w:right w:val="nil"/>
            </w:tcBorders>
            <w:shd w:val="clear" w:color="auto" w:fill="auto"/>
            <w:noWrap w:val="0"/>
            <w:tcMar>
              <w:top w:w="120" w:type="dxa"/>
              <w:left w:w="120" w:type="dxa"/>
              <w:bottom w:w="120" w:type="dxa"/>
              <w:right w:w="120" w:type="dxa"/>
            </w:tcMar>
            <w:vAlign w:val="center"/>
          </w:tcPr>
          <w:p w14:paraId="45A6ED6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98 : 272</w:t>
            </w:r>
          </w:p>
        </w:tc>
        <w:tc>
          <w:tcPr>
            <w:tcW w:w="842" w:type="pct"/>
            <w:tcBorders>
              <w:top w:val="nil"/>
              <w:left w:val="nil"/>
              <w:bottom w:val="nil"/>
              <w:right w:val="nil"/>
            </w:tcBorders>
            <w:shd w:val="clear" w:color="auto" w:fill="auto"/>
            <w:noWrap w:val="0"/>
            <w:tcMar>
              <w:top w:w="120" w:type="dxa"/>
              <w:left w:w="120" w:type="dxa"/>
              <w:bottom w:w="120" w:type="dxa"/>
              <w:right w:w="120" w:type="dxa"/>
            </w:tcMar>
            <w:vAlign w:val="center"/>
          </w:tcPr>
          <w:p w14:paraId="09E0568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2.190</w:t>
            </w:r>
          </w:p>
        </w:tc>
        <w:tc>
          <w:tcPr>
            <w:tcW w:w="921" w:type="pct"/>
            <w:tcBorders>
              <w:top w:val="nil"/>
              <w:left w:val="nil"/>
              <w:bottom w:val="nil"/>
              <w:right w:val="nil"/>
            </w:tcBorders>
            <w:shd w:val="clear" w:color="auto" w:fill="auto"/>
            <w:noWrap w:val="0"/>
            <w:tcMar>
              <w:top w:w="120" w:type="dxa"/>
              <w:left w:w="120" w:type="dxa"/>
              <w:bottom w:w="120" w:type="dxa"/>
              <w:right w:w="120" w:type="dxa"/>
            </w:tcMar>
            <w:vAlign w:val="center"/>
          </w:tcPr>
          <w:p w14:paraId="05F2B92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0.640–7.493</w:t>
            </w:r>
          </w:p>
        </w:tc>
        <w:tc>
          <w:tcPr>
            <w:tcW w:w="594" w:type="pct"/>
            <w:tcBorders>
              <w:top w:val="nil"/>
              <w:left w:val="nil"/>
              <w:bottom w:val="nil"/>
              <w:right w:val="nil"/>
            </w:tcBorders>
            <w:shd w:val="clear" w:color="auto" w:fill="auto"/>
            <w:noWrap w:val="0"/>
            <w:tcMar>
              <w:top w:w="120" w:type="dxa"/>
              <w:left w:w="120" w:type="dxa"/>
              <w:bottom w:w="120" w:type="dxa"/>
              <w:right w:w="120" w:type="dxa"/>
            </w:tcMar>
            <w:vAlign w:val="center"/>
          </w:tcPr>
          <w:p w14:paraId="4F85837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0.212</w:t>
            </w:r>
          </w:p>
        </w:tc>
      </w:tr>
      <w:tr w14:paraId="13CEC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2078" w:type="pct"/>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708E137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Concurrent chemoradiotherapy (vs No adjuvant therapy)</w:t>
            </w:r>
          </w:p>
        </w:tc>
        <w:tc>
          <w:tcPr>
            <w:tcW w:w="562" w:type="pct"/>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7290819F">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295 : 272</w:t>
            </w:r>
          </w:p>
        </w:tc>
        <w:tc>
          <w:tcPr>
            <w:tcW w:w="842" w:type="pct"/>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18881167">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0.725</w:t>
            </w:r>
          </w:p>
        </w:tc>
        <w:tc>
          <w:tcPr>
            <w:tcW w:w="921" w:type="pct"/>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369125EF">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0.413–1.274</w:t>
            </w:r>
          </w:p>
        </w:tc>
        <w:tc>
          <w:tcPr>
            <w:tcW w:w="594" w:type="pct"/>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310C6CAA">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0.264</w:t>
            </w:r>
          </w:p>
        </w:tc>
      </w:tr>
    </w:tbl>
    <w:p w14:paraId="30571449">
      <w:pPr>
        <w:keepNext w:val="0"/>
        <w:keepLines w:val="0"/>
        <w:widowControl/>
        <w:suppressLineNumbers w:val="0"/>
        <w:jc w:val="both"/>
        <w:rPr>
          <w:rStyle w:val="8"/>
          <w:rFonts w:hint="default" w:ascii="Times New Roman" w:hAnsi="Times New Roman" w:eastAsia="宋体" w:cs="Times New Roman"/>
          <w:kern w:val="0"/>
          <w:sz w:val="24"/>
          <w:szCs w:val="24"/>
          <w:lang w:val="en-US" w:eastAsia="zh-CN" w:bidi="ar"/>
        </w:rPr>
      </w:pPr>
    </w:p>
    <w:p w14:paraId="6B557AE3">
      <w:pPr>
        <w:keepNext w:val="0"/>
        <w:keepLines w:val="0"/>
        <w:widowControl/>
        <w:suppressLineNumbers w:val="0"/>
        <w:jc w:val="both"/>
        <w:rPr>
          <w:rStyle w:val="8"/>
          <w:rFonts w:hint="default" w:ascii="Times New Roman" w:hAnsi="Times New Roman" w:eastAsia="宋体" w:cs="Times New Roman"/>
          <w:kern w:val="0"/>
          <w:sz w:val="18"/>
          <w:szCs w:val="18"/>
          <w:lang w:val="en-US" w:eastAsia="zh-CN" w:bidi="ar"/>
        </w:rPr>
      </w:pPr>
      <w:r>
        <w:rPr>
          <w:rStyle w:val="8"/>
          <w:rFonts w:hint="default" w:ascii="Times New Roman" w:hAnsi="Times New Roman" w:eastAsia="宋体" w:cs="Times New Roman"/>
          <w:color w:val="1F2329"/>
          <w:sz w:val="18"/>
          <w:szCs w:val="18"/>
        </w:rPr>
        <w:t>Footnote.</w:t>
      </w:r>
      <w:r>
        <w:rPr>
          <w:rFonts w:hint="default" w:ascii="Times New Roman" w:hAnsi="Times New Roman" w:eastAsia="宋体" w:cs="Times New Roman"/>
          <w:sz w:val="18"/>
          <w:szCs w:val="18"/>
        </w:rPr>
        <w:t xml:space="preserve"> Multivariate Cox proportional hazards regression model (n=788, events=141). Treatment was modeled as a four-level mutually exclusive factor with no adjuvant therapy (n=272) as the reference. Concordance = 0.728 (se = 0.022) is the overall model discrimination index, identical across all variables because they are jointly adjusted in one multivariate model. HR, hazard ratio; CI, confidence interval; LVSI, lymphovascular space invasion.</w:t>
      </w:r>
    </w:p>
    <w:p w14:paraId="381B2EE8">
      <w:pPr>
        <w:keepNext w:val="0"/>
        <w:keepLines w:val="0"/>
        <w:widowControl/>
        <w:suppressLineNumbers w:val="0"/>
        <w:jc w:val="center"/>
        <w:rPr>
          <w:rStyle w:val="8"/>
          <w:rFonts w:hint="default" w:ascii="Times New Roman" w:hAnsi="Times New Roman" w:eastAsia="宋体" w:cs="Times New Roman"/>
          <w:kern w:val="0"/>
          <w:sz w:val="24"/>
          <w:szCs w:val="24"/>
          <w:lang w:val="en-US" w:eastAsia="zh-CN" w:bidi="ar"/>
        </w:rPr>
      </w:pPr>
    </w:p>
    <w:p w14:paraId="399789B9">
      <w:pPr>
        <w:keepNext w:val="0"/>
        <w:keepLines w:val="0"/>
        <w:widowControl/>
        <w:suppressLineNumbers w:val="0"/>
        <w:jc w:val="center"/>
        <w:rPr>
          <w:rStyle w:val="8"/>
          <w:rFonts w:hint="default" w:ascii="Times New Roman" w:hAnsi="Times New Roman" w:eastAsia="宋体" w:cs="Times New Roman"/>
          <w:kern w:val="0"/>
          <w:sz w:val="24"/>
          <w:szCs w:val="24"/>
          <w:lang w:val="en-US" w:eastAsia="zh-CN" w:bidi="ar"/>
        </w:rPr>
      </w:pPr>
    </w:p>
    <w:p w14:paraId="5B803EF0">
      <w:pPr>
        <w:keepNext w:val="0"/>
        <w:keepLines w:val="0"/>
        <w:widowControl/>
        <w:suppressLineNumbers w:val="0"/>
        <w:jc w:val="center"/>
        <w:rPr>
          <w:rStyle w:val="8"/>
          <w:rFonts w:hint="default" w:ascii="Times New Roman" w:hAnsi="Times New Roman" w:eastAsia="宋体" w:cs="Times New Roman"/>
          <w:kern w:val="0"/>
          <w:sz w:val="24"/>
          <w:szCs w:val="24"/>
          <w:lang w:val="en-US" w:eastAsia="zh-CN" w:bidi="ar"/>
        </w:rPr>
      </w:pPr>
    </w:p>
    <w:p w14:paraId="64ED1E10">
      <w:pPr>
        <w:keepNext w:val="0"/>
        <w:keepLines w:val="0"/>
        <w:widowControl/>
        <w:suppressLineNumbers w:val="0"/>
        <w:jc w:val="center"/>
        <w:rPr>
          <w:rStyle w:val="8"/>
          <w:rFonts w:hint="default" w:ascii="Times New Roman" w:hAnsi="Times New Roman" w:eastAsia="宋体" w:cs="Times New Roman"/>
          <w:kern w:val="0"/>
          <w:sz w:val="24"/>
          <w:szCs w:val="24"/>
          <w:lang w:val="en-US" w:eastAsia="zh-CN" w:bidi="ar"/>
        </w:rPr>
      </w:pPr>
    </w:p>
    <w:p w14:paraId="1F16EDE2">
      <w:pPr>
        <w:keepNext w:val="0"/>
        <w:keepLines w:val="0"/>
        <w:widowControl/>
        <w:suppressLineNumbers w:val="0"/>
        <w:jc w:val="center"/>
        <w:rPr>
          <w:rStyle w:val="8"/>
          <w:rFonts w:hint="default" w:ascii="Times New Roman" w:hAnsi="Times New Roman" w:eastAsia="宋体" w:cs="Times New Roman"/>
          <w:kern w:val="0"/>
          <w:sz w:val="24"/>
          <w:szCs w:val="24"/>
          <w:lang w:val="en-US" w:eastAsia="zh-CN" w:bidi="ar"/>
        </w:rPr>
      </w:pPr>
    </w:p>
    <w:p w14:paraId="553E93EE">
      <w:pPr>
        <w:keepNext w:val="0"/>
        <w:keepLines w:val="0"/>
        <w:widowControl/>
        <w:suppressLineNumbers w:val="0"/>
        <w:jc w:val="center"/>
        <w:rPr>
          <w:rStyle w:val="8"/>
          <w:rFonts w:hint="default" w:ascii="Times New Roman" w:hAnsi="Times New Roman" w:eastAsia="宋体" w:cs="Times New Roman"/>
          <w:kern w:val="0"/>
          <w:sz w:val="24"/>
          <w:szCs w:val="24"/>
          <w:lang w:val="en-US" w:eastAsia="zh-CN" w:bidi="ar"/>
        </w:rPr>
      </w:pPr>
    </w:p>
    <w:p w14:paraId="04A43437">
      <w:pPr>
        <w:keepNext w:val="0"/>
        <w:keepLines w:val="0"/>
        <w:widowControl/>
        <w:suppressLineNumbers w:val="0"/>
        <w:jc w:val="center"/>
        <w:rPr>
          <w:rStyle w:val="8"/>
          <w:rFonts w:hint="default" w:ascii="Times New Roman" w:hAnsi="Times New Roman" w:eastAsia="宋体" w:cs="Times New Roman"/>
          <w:kern w:val="0"/>
          <w:sz w:val="24"/>
          <w:szCs w:val="24"/>
          <w:lang w:val="en-US" w:eastAsia="zh-CN" w:bidi="ar"/>
        </w:rPr>
      </w:pPr>
    </w:p>
    <w:p w14:paraId="25A7D2BF">
      <w:pPr>
        <w:keepNext w:val="0"/>
        <w:keepLines w:val="0"/>
        <w:widowControl/>
        <w:suppressLineNumbers w:val="0"/>
        <w:jc w:val="center"/>
        <w:rPr>
          <w:rStyle w:val="8"/>
          <w:rFonts w:hint="default" w:ascii="Times New Roman" w:hAnsi="Times New Roman" w:eastAsia="宋体" w:cs="Times New Roman"/>
          <w:kern w:val="0"/>
          <w:sz w:val="24"/>
          <w:szCs w:val="24"/>
          <w:lang w:val="en-US" w:eastAsia="zh-CN" w:bidi="ar"/>
        </w:rPr>
      </w:pPr>
    </w:p>
    <w:p w14:paraId="51F2FE66">
      <w:pPr>
        <w:keepNext w:val="0"/>
        <w:keepLines w:val="0"/>
        <w:widowControl/>
        <w:suppressLineNumbers w:val="0"/>
        <w:jc w:val="center"/>
        <w:rPr>
          <w:rStyle w:val="8"/>
          <w:rFonts w:hint="default" w:ascii="Times New Roman" w:hAnsi="Times New Roman" w:eastAsia="宋体" w:cs="Times New Roman"/>
          <w:kern w:val="0"/>
          <w:sz w:val="24"/>
          <w:szCs w:val="24"/>
          <w:lang w:val="en-US" w:eastAsia="zh-CN" w:bidi="ar"/>
        </w:rPr>
      </w:pPr>
    </w:p>
    <w:p w14:paraId="65E6A180">
      <w:pPr>
        <w:keepNext w:val="0"/>
        <w:keepLines w:val="0"/>
        <w:widowControl/>
        <w:suppressLineNumbers w:val="0"/>
        <w:jc w:val="center"/>
        <w:rPr>
          <w:rStyle w:val="8"/>
          <w:rFonts w:hint="default" w:ascii="Times New Roman" w:hAnsi="Times New Roman" w:eastAsia="宋体" w:cs="Times New Roman"/>
          <w:kern w:val="0"/>
          <w:sz w:val="24"/>
          <w:szCs w:val="24"/>
          <w:lang w:val="en-US" w:eastAsia="zh-CN" w:bidi="ar"/>
        </w:rPr>
      </w:pPr>
    </w:p>
    <w:p w14:paraId="5ED02A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Times New Roman" w:hAnsi="Times New Roman" w:eastAsia="宋体" w:cs="Times New Roman"/>
          <w:color w:val="000000"/>
          <w:kern w:val="0"/>
          <w:sz w:val="24"/>
          <w:szCs w:val="24"/>
          <w:lang w:val="en-US" w:eastAsia="zh-CN" w:bidi="ar"/>
        </w:rPr>
      </w:pPr>
    </w:p>
    <w:p w14:paraId="08A3C810">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outlineLvl w:val="1"/>
        <w:rPr>
          <w:rFonts w:hint="default" w:ascii="Times New Roman" w:hAnsi="Times New Roman" w:cs="Times New Roman"/>
          <w:b w:val="0"/>
          <w:bCs w:val="0"/>
          <w:color w:val="000000"/>
          <w:sz w:val="24"/>
          <w:szCs w:val="24"/>
        </w:rPr>
      </w:pPr>
      <w:r>
        <w:rPr>
          <w:rFonts w:hint="eastAsia" w:ascii="Times New Roman" w:hAnsi="Times New Roman" w:cs="Times New Roman"/>
          <w:b w:val="0"/>
          <w:bCs w:val="0"/>
          <w:color w:val="000000"/>
          <w:sz w:val="24"/>
          <w:szCs w:val="24"/>
          <w:lang w:val="en-US" w:eastAsia="zh-CN"/>
        </w:rPr>
        <w:t>2.</w:t>
      </w:r>
      <w:r>
        <w:rPr>
          <w:rFonts w:hint="default" w:ascii="Times New Roman" w:hAnsi="Times New Roman" w:cs="Times New Roman"/>
          <w:b w:val="0"/>
          <w:bCs w:val="0"/>
          <w:color w:val="000000"/>
          <w:sz w:val="24"/>
          <w:szCs w:val="24"/>
        </w:rPr>
        <w:t>Sensitivity analysis: combined radiotherapy group (three-category treatment grouping)</w:t>
      </w:r>
    </w:p>
    <w:p w14:paraId="6124FE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Multivariate Cox proportional hazards regression was performed to identify independent prognostic factors for overall survival among 788 patients with cervical cancer. Postoperative adjuvant therapy was defined as three mutually exclusive categories: no adjuvant therapy, chemotherapy alone, and radiotherapy-containing therapy (radiotherapy alone plus concurrent chemoradiotherapy), with no adjuvant therapy designated as the reference group. The covariates included tumor volume (TV), pathological grade (gPG), lymphovascular space invasion (LVSI), vaginal invasion (gVI), lymph node metastasis (gLNM1), endogenic growth pattern (gEOE), nerve invasion (gN), and treatment group.</w:t>
      </w:r>
    </w:p>
    <w:p w14:paraId="0197A0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The concordance index of the model was 0.727, indicating good discriminative ability. The global likelihood ratio test, Wald test, and log-rank score test all showed P &lt; 0.001, confirming overall statistical significance. Continuous tumor volume (HR=1.006, 95%CI 1.002–1.010, P=0.006), positive LVSI (HR=1.953, 95%CI 1.363–2.798, P&lt;0.001), positive vaginal invasion (HR=1.774, 95%CI 1.265–2.488, P=0.001), and positive lymph node metastasis (HR=2.846, 95%CI 1.966–4.118, P&lt;0.001) were identified as independent adverse prognostic factors for overall survival. Pathological grade, endogenic growth pattern, and nerve invasion exhibited no significant independent prognostic association (all P&gt;0.05).</w:t>
      </w:r>
    </w:p>
    <w:p w14:paraId="4E3320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Compared with patients receiving no adjuvant therapy, chemotherapy alone (HR=2.203, 95%CI 0.644–7.537, P=0.208) and radiotherapy-containing therapy (HR=0.791, 95%CI 0.468–1.337, P=0.381) were not independently associated with overall survival. Notably, even after pooling radiotherapy alone and concurrent chemoradiotherapy into a single radiotherapy-containing group, no significant survival benefit was observed relative to no adjuvant therapy.</w:t>
      </w:r>
    </w:p>
    <w:p w14:paraId="641169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4D9517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3301C6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00BCD1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61760546">
      <w:pPr>
        <w:widowControl w:val="0"/>
        <w:numPr>
          <w:ilvl w:val="0"/>
          <w:numId w:val="0"/>
        </w:numPr>
        <w:jc w:val="both"/>
        <w:rPr>
          <w:rFonts w:hint="default"/>
        </w:rPr>
      </w:pPr>
    </w:p>
    <w:p w14:paraId="440046C2">
      <w:p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Supplementary</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Table 2 Sensitivity analysis: multivariate Cox regression with combined radiotherapy group (three-category treatment)</w:t>
      </w:r>
    </w:p>
    <w:p w14:paraId="0C961ACF">
      <w:pPr>
        <w:spacing w:line="360" w:lineRule="auto"/>
        <w:jc w:val="center"/>
        <w:rPr>
          <w:rFonts w:hint="default" w:ascii="Times New Roman" w:hAnsi="Times New Roman" w:eastAsia="宋体" w:cs="Times New Roman"/>
          <w:sz w:val="24"/>
          <w:szCs w:val="2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469"/>
        <w:gridCol w:w="924"/>
        <w:gridCol w:w="1259"/>
        <w:gridCol w:w="1144"/>
        <w:gridCol w:w="750"/>
      </w:tblGrid>
      <w:tr w14:paraId="66F0A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36914FCA">
            <w:pPr>
              <w:keepNext w:val="0"/>
              <w:keepLines w:val="0"/>
              <w:widowControl/>
              <w:suppressLineNumbers w:val="0"/>
              <w:jc w:val="left"/>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Variable</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78AFC29F">
            <w:pPr>
              <w:keepNext w:val="0"/>
              <w:keepLines w:val="0"/>
              <w:widowControl/>
              <w:suppressLineNumbers w:val="0"/>
              <w:jc w:val="left"/>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n</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1E650885">
            <w:pPr>
              <w:keepNext w:val="0"/>
              <w:keepLines w:val="0"/>
              <w:widowControl/>
              <w:suppressLineNumbers w:val="0"/>
              <w:jc w:val="left"/>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exp(coef) HR</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5653751E">
            <w:pPr>
              <w:keepNext w:val="0"/>
              <w:keepLines w:val="0"/>
              <w:widowControl/>
              <w:suppressLineNumbers w:val="0"/>
              <w:jc w:val="left"/>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95% CI</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159BA98C">
            <w:pPr>
              <w:keepNext w:val="0"/>
              <w:keepLines w:val="0"/>
              <w:widowControl/>
              <w:suppressLineNumbers w:val="0"/>
              <w:jc w:val="left"/>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p</w:t>
            </w:r>
          </w:p>
        </w:tc>
      </w:tr>
      <w:tr w14:paraId="4C57A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09AF548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TV (continuous)</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185D2AF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788</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03484AF1">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1.006</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3C9093EB">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1.002–1.010</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4C777FDB">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0.006</w:t>
            </w:r>
          </w:p>
        </w:tc>
      </w:tr>
      <w:tr w14:paraId="10C50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058A017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gPG (Grade Ⅲ : Grade Ⅰ–Ⅱ)</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6C06629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465 : 323</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610C1603">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1.267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135F9DDF">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0.902–1.781</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F93E254">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0.172</w:t>
            </w:r>
          </w:p>
        </w:tc>
      </w:tr>
      <w:tr w14:paraId="2EDDE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4B9942C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LVSI (positive : negative)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3B39EF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241 : 547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E1D61E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1.953</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57F49F1A">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1.363–2.798</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8216BDB">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&lt;0.001</w:t>
            </w:r>
          </w:p>
        </w:tc>
      </w:tr>
      <w:tr w14:paraId="16CDF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3E3DF597">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gVI (positive : negative)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7549794">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250 : 538</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94EECFA">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1.774</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43B4CAF7">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1.265–2.488</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9A92F9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0.001</w:t>
            </w:r>
          </w:p>
        </w:tc>
      </w:tr>
      <w:tr w14:paraId="1E6FE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7A2AFCA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gLNM1 (positive : negative)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414DAC1F">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235 : 553</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96C5BA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2.846</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9FA504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1.966–4.118</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B2D2305">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&lt;0.001</w:t>
            </w:r>
          </w:p>
        </w:tc>
      </w:tr>
      <w:tr w14:paraId="5FAD8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0CDE784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gEOE (endogenic : exogenic)</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3782A2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711 : 77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59AA2C1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1.779</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B24A4D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0.820–3.862</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7BAE12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0.145</w:t>
            </w:r>
          </w:p>
        </w:tc>
      </w:tr>
      <w:tr w14:paraId="22C6D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4B31816A">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gN (positive : negative)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1936EEC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41 : 747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BA1337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1.370</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D58A10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0.742–2.531</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618E2D0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0.314</w:t>
            </w:r>
          </w:p>
        </w:tc>
      </w:tr>
      <w:tr w14:paraId="5967D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78054CEB">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Chemotherapy alone (vs No adjuvant therapy)</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C06AAE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98 : 272</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A3780A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2.203</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423C1B4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0.644–7.537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9B7CB83">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0.208</w:t>
            </w:r>
          </w:p>
        </w:tc>
      </w:tr>
      <w:tr w14:paraId="69144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1B3E688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Radiotherapy-containing therapy (vs No adjuvant therapy)</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3C58857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418 : 272</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5B59284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0.791</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1E6D05F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0.468–1.337</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4C563E5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0.381</w:t>
            </w:r>
          </w:p>
        </w:tc>
      </w:tr>
    </w:tbl>
    <w:p w14:paraId="0F4B90A0">
      <w:pPr>
        <w:spacing w:line="360" w:lineRule="auto"/>
        <w:rPr>
          <w:rFonts w:hint="default" w:ascii="Times New Roman" w:hAnsi="Times New Roman" w:eastAsia="宋体" w:cs="Times New Roman"/>
          <w:sz w:val="18"/>
          <w:szCs w:val="18"/>
        </w:rPr>
      </w:pPr>
      <w:r>
        <w:rPr>
          <w:rStyle w:val="8"/>
          <w:rFonts w:hint="default" w:ascii="Times New Roman" w:hAnsi="Times New Roman" w:eastAsia="宋体" w:cs="Times New Roman"/>
          <w:color w:val="1F2329"/>
          <w:sz w:val="18"/>
          <w:szCs w:val="18"/>
        </w:rPr>
        <w:t>Footnote.</w:t>
      </w:r>
      <w:r>
        <w:rPr>
          <w:rFonts w:hint="default" w:ascii="Times New Roman" w:hAnsi="Times New Roman" w:eastAsia="宋体" w:cs="Times New Roman"/>
          <w:sz w:val="18"/>
          <w:szCs w:val="18"/>
        </w:rPr>
        <w:t xml:space="preserve"> Multivariate Cox proportional hazards regression model (n=788, events=141). Postoperative adjuvant therapy was categorized into three mutually exclusive groups: no adjuvant therapy (reference, n=272), chemotherapy alone (n=98), and radiotherapy-containing therapy (radiotherapy alone plus concurrent chemoradiotherapy, n=418). For binary variables, n is presented as positive : negative cases. HR, hazard ratio; CI, confidence interval; LVSI, lymphovascular space invasion.</w:t>
      </w:r>
    </w:p>
    <w:p w14:paraId="76DF737E">
      <w:pPr>
        <w:spacing w:line="360" w:lineRule="auto"/>
        <w:rPr>
          <w:rFonts w:hint="default" w:ascii="Times New Roman" w:hAnsi="Times New Roman" w:eastAsia="宋体" w:cs="Times New Roman"/>
          <w:sz w:val="18"/>
          <w:szCs w:val="18"/>
        </w:rPr>
      </w:pPr>
    </w:p>
    <w:p w14:paraId="7C87EC95">
      <w:pPr>
        <w:spacing w:line="360" w:lineRule="auto"/>
        <w:rPr>
          <w:rFonts w:hint="default" w:ascii="Times New Roman" w:hAnsi="Times New Roman" w:eastAsia="宋体" w:cs="Times New Roman"/>
          <w:sz w:val="18"/>
          <w:szCs w:val="18"/>
        </w:rPr>
      </w:pPr>
    </w:p>
    <w:p w14:paraId="332B2025">
      <w:pPr>
        <w:spacing w:line="360" w:lineRule="auto"/>
        <w:rPr>
          <w:rFonts w:hint="default" w:ascii="Times New Roman" w:hAnsi="Times New Roman" w:eastAsia="宋体" w:cs="Times New Roman"/>
          <w:sz w:val="18"/>
          <w:szCs w:val="18"/>
        </w:rPr>
      </w:pPr>
    </w:p>
    <w:p w14:paraId="30778172">
      <w:pPr>
        <w:spacing w:line="360" w:lineRule="auto"/>
        <w:rPr>
          <w:rFonts w:hint="default" w:ascii="Times New Roman" w:hAnsi="Times New Roman" w:eastAsia="宋体" w:cs="Times New Roman"/>
          <w:sz w:val="18"/>
          <w:szCs w:val="18"/>
        </w:rPr>
      </w:pPr>
    </w:p>
    <w:p w14:paraId="56617C5A">
      <w:pPr>
        <w:spacing w:line="360" w:lineRule="auto"/>
        <w:rPr>
          <w:rFonts w:hint="default" w:ascii="Times New Roman" w:hAnsi="Times New Roman" w:eastAsia="宋体" w:cs="Times New Roman"/>
          <w:sz w:val="18"/>
          <w:szCs w:val="18"/>
        </w:rPr>
      </w:pPr>
    </w:p>
    <w:p w14:paraId="25CB36C7">
      <w:pPr>
        <w:spacing w:line="360" w:lineRule="auto"/>
        <w:rPr>
          <w:rFonts w:hint="default" w:ascii="Times New Roman" w:hAnsi="Times New Roman" w:eastAsia="宋体" w:cs="Times New Roman"/>
          <w:sz w:val="18"/>
          <w:szCs w:val="18"/>
        </w:rPr>
      </w:pPr>
    </w:p>
    <w:p w14:paraId="16832B37">
      <w:pPr>
        <w:spacing w:line="360" w:lineRule="auto"/>
        <w:rPr>
          <w:rFonts w:hint="default" w:ascii="Times New Roman" w:hAnsi="Times New Roman" w:eastAsia="宋体" w:cs="Times New Roman"/>
          <w:sz w:val="18"/>
          <w:szCs w:val="18"/>
        </w:rPr>
      </w:pPr>
    </w:p>
    <w:p w14:paraId="27290D16">
      <w:pPr>
        <w:spacing w:line="360" w:lineRule="auto"/>
        <w:rPr>
          <w:rFonts w:hint="default" w:ascii="Times New Roman" w:hAnsi="Times New Roman" w:eastAsia="宋体" w:cs="Times New Roman"/>
          <w:sz w:val="18"/>
          <w:szCs w:val="18"/>
        </w:rPr>
      </w:pPr>
    </w:p>
    <w:p w14:paraId="71322093">
      <w:pPr>
        <w:spacing w:line="360" w:lineRule="auto"/>
        <w:rPr>
          <w:rFonts w:hint="default" w:ascii="Times New Roman" w:hAnsi="Times New Roman" w:eastAsia="宋体" w:cs="Times New Roman"/>
          <w:sz w:val="18"/>
          <w:szCs w:val="18"/>
          <w:lang w:val="en-US" w:eastAsia="zh-CN"/>
        </w:rPr>
      </w:pPr>
    </w:p>
    <w:p w14:paraId="0C0F96A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Chars="0" w:right="0" w:rightChars="0"/>
        <w:jc w:val="left"/>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3.</w:t>
      </w:r>
      <w:r>
        <w:rPr>
          <w:rFonts w:hint="default" w:ascii="Times New Roman" w:hAnsi="Times New Roman" w:eastAsia="宋体" w:cs="Times New Roman"/>
          <w:sz w:val="24"/>
          <w:szCs w:val="24"/>
        </w:rPr>
        <w:t>Verification of Proportional Hazards Assumption Using Schoenfeld Residual Tests</w:t>
      </w:r>
    </w:p>
    <w:p w14:paraId="6F3AC84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Chars="0" w:right="0" w:rightChars="0" w:firstLine="720" w:firstLineChars="300"/>
        <w:jc w:val="left"/>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The proportional hazards assumption of both multivariate Cox regression models was assessed using Schoenfeld residual tests. In the four-category adjuvant treatment model, the global test indicated no overall violation of the proportional hazards assumption (P=0.299). At the individual covariate level, all variables satisfied the proportional hazards assumption (all P&gt;0.05) except pathological grade (gPG, P=0.028). Similarly, in the three-category adjuvant treatment model, the global Schoenfeld test confirmed that the overall model met the proportional hazards assumption (P=0.236), and pathological grade was again the only covariate that significantly deviated from the assumption (P=0.027). The treatment group factor did not violate the proportional hazards assumption in either model (four-category: P=0.619; three-category: P=0.441).</w:t>
      </w:r>
    </w:p>
    <w:p w14:paraId="45F51A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Given that the global tests were non-significant and only one covariate (pathological grade) showed marginal deviation, the proportional hazards assumption was considered acceptable for both models, and the primary conclusions remained robust.</w:t>
      </w:r>
    </w:p>
    <w:p w14:paraId="145BEE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1AA518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2637E8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51BBC6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52B2BB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48F53F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721C65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08B20F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610FAA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3B2BDB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04853D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78D1F3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4DC941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2DACB3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120700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1F2329"/>
          <w:kern w:val="0"/>
          <w:sz w:val="24"/>
          <w:szCs w:val="24"/>
          <w:lang w:val="en-US" w:eastAsia="zh-CN" w:bidi="ar"/>
        </w:rPr>
      </w:pPr>
    </w:p>
    <w:p w14:paraId="00DB4551">
      <w:pPr>
        <w:widowControl w:val="0"/>
        <w:numPr>
          <w:ilvl w:val="0"/>
          <w:numId w:val="0"/>
        </w:num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Supplementary</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Table </w:t>
      </w: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 Schoenfeld residual test for proportional hazards assumption in multivariate Cox regression models</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168"/>
        <w:gridCol w:w="2387"/>
        <w:gridCol w:w="645"/>
        <w:gridCol w:w="2701"/>
        <w:gridCol w:w="645"/>
      </w:tblGrid>
      <w:tr w14:paraId="57E16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1591B51D">
            <w:pPr>
              <w:keepNext w:val="0"/>
              <w:keepLines w:val="0"/>
              <w:widowControl/>
              <w:suppressLineNumbers w:val="0"/>
              <w:spacing w:line="360" w:lineRule="auto"/>
              <w:jc w:val="center"/>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Variable</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169E44D3">
            <w:pPr>
              <w:keepNext w:val="0"/>
              <w:keepLines w:val="0"/>
              <w:widowControl/>
              <w:suppressLineNumbers w:val="0"/>
              <w:spacing w:line="360" w:lineRule="auto"/>
              <w:jc w:val="center"/>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Main model (4-category treatment)</w:t>
            </w:r>
            <w:r>
              <w:rPr>
                <w:rFonts w:hint="eastAsia" w:ascii="Times New Roman" w:hAnsi="Times New Roman" w:eastAsia="宋体" w:cs="Times New Roman"/>
                <w:b w:val="0"/>
                <w:bCs w:val="0"/>
                <w:kern w:val="0"/>
                <w:sz w:val="18"/>
                <w:szCs w:val="18"/>
                <w:lang w:val="en-US" w:eastAsia="zh-CN" w:bidi="ar"/>
              </w:rPr>
              <w:t xml:space="preserve">  </w:t>
            </w:r>
            <w:r>
              <w:rPr>
                <w:rFonts w:hint="default" w:ascii="Times New Roman" w:hAnsi="Times New Roman" w:eastAsia="宋体" w:cs="Times New Roman"/>
                <w:b w:val="0"/>
                <w:bCs w:val="0"/>
                <w:kern w:val="0"/>
                <w:sz w:val="18"/>
                <w:szCs w:val="18"/>
                <w:lang w:val="en-US" w:eastAsia="zh-CN" w:bidi="ar"/>
              </w:rPr>
              <w:t>χ²</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6D98EDF8">
            <w:pPr>
              <w:spacing w:line="360" w:lineRule="auto"/>
              <w:jc w:val="center"/>
              <w:rPr>
                <w:rFonts w:hint="eastAsia" w:ascii="Times New Roman" w:hAnsi="Times New Roman" w:eastAsia="宋体" w:cs="Times New Roman"/>
                <w:b w:val="0"/>
                <w:bCs w:val="0"/>
                <w:sz w:val="18"/>
                <w:szCs w:val="18"/>
                <w:lang w:val="en-US" w:eastAsia="zh-CN"/>
              </w:rPr>
            </w:pPr>
            <w:r>
              <w:rPr>
                <w:rFonts w:hint="eastAsia" w:ascii="Times New Roman" w:hAnsi="Times New Roman" w:cs="Times New Roman"/>
                <w:b w:val="0"/>
                <w:bCs w:val="0"/>
                <w:sz w:val="18"/>
                <w:szCs w:val="18"/>
                <w:lang w:val="en-US" w:eastAsia="zh-CN"/>
              </w:rPr>
              <w:t>P</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6E45A5BE">
            <w:pPr>
              <w:keepNext w:val="0"/>
              <w:keepLines w:val="0"/>
              <w:widowControl/>
              <w:suppressLineNumbers w:val="0"/>
              <w:spacing w:line="360" w:lineRule="auto"/>
              <w:jc w:val="center"/>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Sensitivity model (3-category treatment)</w:t>
            </w:r>
            <w:r>
              <w:rPr>
                <w:rFonts w:hint="eastAsia" w:ascii="Times New Roman" w:hAnsi="Times New Roman" w:eastAsia="宋体" w:cs="Times New Roman"/>
                <w:b w:val="0"/>
                <w:bCs w:val="0"/>
                <w:kern w:val="0"/>
                <w:sz w:val="18"/>
                <w:szCs w:val="18"/>
                <w:lang w:val="en-US" w:eastAsia="zh-CN" w:bidi="ar"/>
              </w:rPr>
              <w:t xml:space="preserve">   </w:t>
            </w:r>
            <w:r>
              <w:rPr>
                <w:rFonts w:hint="default" w:ascii="Times New Roman" w:hAnsi="Times New Roman" w:eastAsia="宋体" w:cs="Times New Roman"/>
                <w:b w:val="0"/>
                <w:bCs w:val="0"/>
                <w:kern w:val="0"/>
                <w:sz w:val="18"/>
                <w:szCs w:val="18"/>
                <w:lang w:val="en-US" w:eastAsia="zh-CN" w:bidi="ar"/>
              </w:rPr>
              <w:t>χ²</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65F2E681">
            <w:pPr>
              <w:spacing w:line="360" w:lineRule="auto"/>
              <w:jc w:val="center"/>
              <w:rPr>
                <w:rFonts w:hint="eastAsia" w:ascii="Times New Roman" w:hAnsi="Times New Roman" w:eastAsia="宋体" w:cs="Times New Roman"/>
                <w:b w:val="0"/>
                <w:bCs w:val="0"/>
                <w:sz w:val="18"/>
                <w:szCs w:val="18"/>
                <w:lang w:val="en-US" w:eastAsia="zh-CN"/>
              </w:rPr>
            </w:pPr>
            <w:r>
              <w:rPr>
                <w:rFonts w:hint="eastAsia" w:ascii="Times New Roman" w:hAnsi="Times New Roman" w:cs="Times New Roman"/>
                <w:b w:val="0"/>
                <w:bCs w:val="0"/>
                <w:sz w:val="18"/>
                <w:szCs w:val="18"/>
                <w:lang w:val="en-US" w:eastAsia="zh-CN"/>
              </w:rPr>
              <w:t>P</w:t>
            </w:r>
          </w:p>
        </w:tc>
      </w:tr>
      <w:tr w14:paraId="7DC2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71373EA9">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Tumor volume (TV)</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2872186D">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0.364</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45644E07">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0.547</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41B4A214">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0.470</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2880C65D">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0.493</w:t>
            </w:r>
          </w:p>
        </w:tc>
      </w:tr>
      <w:tr w14:paraId="2ECEF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6CE46061">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Pathological grade (gPG)</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537611FB">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4.844</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6B4D4AC0">
            <w:pPr>
              <w:keepNext w:val="0"/>
              <w:keepLines w:val="0"/>
              <w:widowControl/>
              <w:suppressLineNumbers w:val="0"/>
              <w:spacing w:line="360" w:lineRule="auto"/>
              <w:jc w:val="center"/>
              <w:rPr>
                <w:rFonts w:hint="default" w:ascii="Times New Roman" w:hAnsi="Times New Roman" w:cs="Times New Roman"/>
                <w:sz w:val="18"/>
                <w:szCs w:val="18"/>
              </w:rPr>
            </w:pPr>
            <w:r>
              <w:rPr>
                <w:rStyle w:val="8"/>
                <w:rFonts w:hint="default" w:ascii="Times New Roman" w:hAnsi="Times New Roman" w:eastAsia="宋体" w:cs="Times New Roman"/>
                <w:kern w:val="0"/>
                <w:sz w:val="18"/>
                <w:szCs w:val="18"/>
                <w:lang w:val="en-US" w:eastAsia="zh-CN" w:bidi="ar"/>
              </w:rPr>
              <w:t>0.028</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5DFB3BA">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4.869</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B923839">
            <w:pPr>
              <w:keepNext w:val="0"/>
              <w:keepLines w:val="0"/>
              <w:widowControl/>
              <w:suppressLineNumbers w:val="0"/>
              <w:spacing w:line="360" w:lineRule="auto"/>
              <w:jc w:val="center"/>
              <w:rPr>
                <w:rFonts w:hint="default" w:ascii="Times New Roman" w:hAnsi="Times New Roman" w:cs="Times New Roman"/>
                <w:sz w:val="18"/>
                <w:szCs w:val="18"/>
              </w:rPr>
            </w:pPr>
            <w:r>
              <w:rPr>
                <w:rStyle w:val="8"/>
                <w:rFonts w:hint="default" w:ascii="Times New Roman" w:hAnsi="Times New Roman" w:eastAsia="宋体" w:cs="Times New Roman"/>
                <w:kern w:val="0"/>
                <w:sz w:val="18"/>
                <w:szCs w:val="18"/>
                <w:lang w:val="en-US" w:eastAsia="zh-CN" w:bidi="ar"/>
              </w:rPr>
              <w:t>0.027</w:t>
            </w:r>
          </w:p>
        </w:tc>
      </w:tr>
      <w:tr w14:paraId="3FF52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0AB6E2BD">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LVSI</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FBD53B2">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0.498</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47E194E1">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0.480</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5C477762">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0.467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6D936620">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0.494</w:t>
            </w:r>
          </w:p>
        </w:tc>
      </w:tr>
      <w:tr w14:paraId="021CC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596FAA9B">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Vaginal invasion (gVI)</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148EFDCA">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1.677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7B36080">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0.195</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4DD6120">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1.627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E3CA4B6">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0.202</w:t>
            </w:r>
          </w:p>
        </w:tc>
      </w:tr>
      <w:tr w14:paraId="15D9A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7B6988CE">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Lymph node metastasis (gLNM1)</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79215AD">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0.003</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5853552">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0.958</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3C1D069">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0.006</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A0655B7">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0.939</w:t>
            </w:r>
          </w:p>
        </w:tc>
      </w:tr>
      <w:tr w14:paraId="479DA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4C9044F1">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Endogenic growth pattern (gEOE)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195893AB">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0.555</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77F374C">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0.456</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58F27F4C">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0.570</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FABEC71">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0.450</w:t>
            </w:r>
          </w:p>
        </w:tc>
      </w:tr>
      <w:tr w14:paraId="24738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4043FACE">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Nerve invasion (gN)</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1B834847">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0.376</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4449B5C">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0.540</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9073461">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0.384</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4AFB374C">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0.535</w:t>
            </w:r>
          </w:p>
        </w:tc>
      </w:tr>
      <w:tr w14:paraId="0BACA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31A314EA">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Treatment group</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5154BEBA">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1.784 (df=3)</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16DD4E8">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0.619</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7544DDB">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1.637 (df=2)</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5C21F4C">
            <w:pPr>
              <w:keepNext w:val="0"/>
              <w:keepLines w:val="0"/>
              <w:widowControl/>
              <w:suppressLineNumbers w:val="0"/>
              <w:spacing w:line="360" w:lineRule="auto"/>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0.441</w:t>
            </w:r>
          </w:p>
        </w:tc>
      </w:tr>
      <w:tr w14:paraId="05A63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0B691C0D">
            <w:pPr>
              <w:keepNext w:val="0"/>
              <w:keepLines w:val="0"/>
              <w:widowControl/>
              <w:suppressLineNumbers w:val="0"/>
              <w:spacing w:line="360" w:lineRule="auto"/>
              <w:jc w:val="center"/>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GLOBAL</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51C59216">
            <w:pPr>
              <w:keepNext w:val="0"/>
              <w:keepLines w:val="0"/>
              <w:widowControl/>
              <w:suppressLineNumbers w:val="0"/>
              <w:spacing w:line="360" w:lineRule="auto"/>
              <w:jc w:val="center"/>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11.797 (df=10)</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69FF4DE0">
            <w:pPr>
              <w:keepNext w:val="0"/>
              <w:keepLines w:val="0"/>
              <w:widowControl/>
              <w:suppressLineNumbers w:val="0"/>
              <w:spacing w:line="360" w:lineRule="auto"/>
              <w:jc w:val="center"/>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0.299</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64AEFE68">
            <w:pPr>
              <w:keepNext w:val="0"/>
              <w:keepLines w:val="0"/>
              <w:widowControl/>
              <w:suppressLineNumbers w:val="0"/>
              <w:spacing w:line="360" w:lineRule="auto"/>
              <w:jc w:val="center"/>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11.610 (df=9)</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45E079D9">
            <w:pPr>
              <w:keepNext w:val="0"/>
              <w:keepLines w:val="0"/>
              <w:widowControl/>
              <w:suppressLineNumbers w:val="0"/>
              <w:spacing w:line="360" w:lineRule="auto"/>
              <w:jc w:val="center"/>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0.236</w:t>
            </w:r>
          </w:p>
        </w:tc>
      </w:tr>
    </w:tbl>
    <w:p w14:paraId="2EA423FD">
      <w:pPr>
        <w:widowControl w:val="0"/>
        <w:numPr>
          <w:ilvl w:val="0"/>
          <w:numId w:val="0"/>
        </w:numPr>
        <w:spacing w:line="360" w:lineRule="auto"/>
        <w:jc w:val="both"/>
        <w:rPr>
          <w:rFonts w:hint="default" w:ascii="Times New Roman" w:hAnsi="Times New Roman" w:eastAsia="宋体" w:cs="Times New Roman"/>
          <w:sz w:val="18"/>
          <w:szCs w:val="18"/>
        </w:rPr>
      </w:pPr>
      <w:r>
        <w:rPr>
          <w:rStyle w:val="8"/>
          <w:rFonts w:hint="default" w:ascii="Times New Roman" w:hAnsi="Times New Roman" w:eastAsia="宋体" w:cs="Times New Roman"/>
          <w:b w:val="0"/>
          <w:bCs/>
          <w:color w:val="1F2329"/>
          <w:sz w:val="18"/>
          <w:szCs w:val="18"/>
        </w:rPr>
        <w:t>Footnote.</w:t>
      </w:r>
      <w:r>
        <w:rPr>
          <w:rFonts w:hint="default" w:ascii="Times New Roman" w:hAnsi="Times New Roman" w:eastAsia="宋体" w:cs="Times New Roman"/>
          <w:sz w:val="18"/>
          <w:szCs w:val="18"/>
        </w:rPr>
        <w:t xml:space="preserve"> The proportional hazards (PH) assumption was evaluated using Schoenfeld residual tests. Satisfied: P &gt; 0.05; Violated: P &lt; 0.05. The four-category treatment model included no adjuvant therapy, radiotherapy alone, chemotherapy alone, and concurrent chemoradiotherapy (treatment factor df = 3, global df = 10). The three-category treatment model included no adjuvant therapy, chemotherapy alone, and radiotherapy-containing therapy (treatment factor df = 2, global df = 9).</w:t>
      </w:r>
    </w:p>
    <w:p w14:paraId="7B4B85CE">
      <w:pPr>
        <w:widowControl w:val="0"/>
        <w:numPr>
          <w:ilvl w:val="0"/>
          <w:numId w:val="0"/>
        </w:numPr>
        <w:spacing w:line="360" w:lineRule="auto"/>
        <w:jc w:val="both"/>
        <w:rPr>
          <w:rFonts w:ascii="宋体" w:hAnsi="宋体" w:eastAsia="宋体" w:cs="宋体"/>
          <w:sz w:val="24"/>
          <w:szCs w:val="24"/>
        </w:rPr>
      </w:pPr>
    </w:p>
    <w:p w14:paraId="69298A7D">
      <w:pPr>
        <w:widowControl w:val="0"/>
        <w:numPr>
          <w:ilvl w:val="0"/>
          <w:numId w:val="0"/>
        </w:numPr>
        <w:spacing w:line="360" w:lineRule="auto"/>
        <w:jc w:val="both"/>
        <w:rPr>
          <w:rFonts w:hint="default" w:ascii="宋体" w:hAnsi="宋体" w:eastAsia="宋体" w:cs="宋体"/>
          <w:sz w:val="24"/>
          <w:szCs w:val="24"/>
        </w:rPr>
      </w:pPr>
    </w:p>
    <w:p w14:paraId="1B075E2F">
      <w:pPr>
        <w:widowControl w:val="0"/>
        <w:numPr>
          <w:ilvl w:val="0"/>
          <w:numId w:val="0"/>
        </w:numPr>
        <w:spacing w:line="360" w:lineRule="auto"/>
        <w:jc w:val="both"/>
        <w:rPr>
          <w:rFonts w:hint="default" w:ascii="宋体" w:hAnsi="宋体" w:eastAsia="宋体" w:cs="宋体"/>
          <w:sz w:val="24"/>
          <w:szCs w:val="24"/>
        </w:rPr>
      </w:pPr>
    </w:p>
    <w:p w14:paraId="4461D680">
      <w:pPr>
        <w:widowControl w:val="0"/>
        <w:numPr>
          <w:ilvl w:val="0"/>
          <w:numId w:val="0"/>
        </w:numPr>
        <w:spacing w:line="360" w:lineRule="auto"/>
        <w:jc w:val="both"/>
        <w:rPr>
          <w:rFonts w:hint="default" w:ascii="宋体" w:hAnsi="宋体" w:eastAsia="宋体" w:cs="宋体"/>
          <w:sz w:val="24"/>
          <w:szCs w:val="24"/>
        </w:rPr>
      </w:pPr>
    </w:p>
    <w:p w14:paraId="2DD9A3E6">
      <w:pPr>
        <w:widowControl w:val="0"/>
        <w:numPr>
          <w:ilvl w:val="0"/>
          <w:numId w:val="1"/>
        </w:numPr>
        <w:spacing w:line="360" w:lineRule="auto"/>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Sensitivity Analysis: Stratified Cox Regression Model Stratified by Pathological Grade</w:t>
      </w:r>
    </w:p>
    <w:p w14:paraId="622772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Times New Roman" w:hAnsi="Times New Roman" w:cs="Times New Roman"/>
          <w:color w:val="1F2329"/>
          <w:sz w:val="24"/>
          <w:szCs w:val="24"/>
        </w:rPr>
      </w:pP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color w:val="1F2329"/>
          <w:kern w:val="0"/>
          <w:sz w:val="24"/>
          <w:szCs w:val="24"/>
          <w:lang w:val="en-US" w:eastAsia="zh-CN" w:bidi="ar"/>
        </w:rPr>
        <w:t>As pathological grade violated the proportional hazards assumption in the primary multivariate Cox model, a sensitivity analysis using a stratified Cox model was performed, with pathological grade as the stratification variable and the remaining covariates unchanged. The concordance index was 0.714, and the global likelihood ratio test, Wald test, and log-rank score test all confirmed overall statistical significance (all P&lt;0.001).</w:t>
      </w:r>
    </w:p>
    <w:p w14:paraId="57E337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Consistent with the primary model, continuous tumor volume (HR=1.006, 95%CI 1.002–1.010, P=0.007), positive lymphovascular space invasion (HR=1.961, 95%CI 1.367–2.813, P&lt;0.001), positive vaginal invasion (HR=1.753, 95%CI 1.249–2.462, P=0.001), and positive lymph node metastasis (HR=2.938, 95%CI 2.016–4.283, P&lt;0.001) remained independent adverse prognostic factors for overall survival. Endogenic growth pattern and nerve invasion showed no significant independent association (all P&gt;0.05).</w:t>
      </w:r>
    </w:p>
    <w:p w14:paraId="4668BC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Compared with patients receiving no adjuvant therapy, radiotherapy alone (HR=0.844, 95%CI 0.487–1.461, P=0.544), chemotherapy alone (HR=2.158, 95%CI 0.631–7.387, P=0.220), and concurrent chemoradiotherapy (HR=0.723, 95%CI 0.411–1.271, P=0.260) were not independently associated with overall survival. The results of the stratified Cox model were highly consistent with those of the primary multivariate model, confirming the robustness of the study findings.</w:t>
      </w:r>
    </w:p>
    <w:p w14:paraId="5D7572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5250B3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23674C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43A280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3E993A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007959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3ABD26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3838B3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498D56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300"/>
        <w:jc w:val="left"/>
        <w:rPr>
          <w:rFonts w:hint="default" w:ascii="Times New Roman" w:hAnsi="Times New Roman" w:eastAsia="宋体" w:cs="Times New Roman"/>
          <w:color w:val="1F2329"/>
          <w:kern w:val="0"/>
          <w:sz w:val="24"/>
          <w:szCs w:val="24"/>
          <w:lang w:val="en-US" w:eastAsia="zh-CN" w:bidi="ar"/>
        </w:rPr>
      </w:pPr>
    </w:p>
    <w:p w14:paraId="52FAD32A">
      <w:pPr>
        <w:widowControl w:val="0"/>
        <w:numPr>
          <w:ilvl w:val="0"/>
          <w:numId w:val="0"/>
        </w:numPr>
        <w:spacing w:line="360" w:lineRule="auto"/>
        <w:jc w:val="center"/>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sz w:val="24"/>
          <w:szCs w:val="24"/>
        </w:rPr>
        <w:t>Supplementary</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Table </w:t>
      </w: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 Stratified Cox proportional hazards regression analysis for overall survival (stratified by pathological grade)</w:t>
      </w:r>
    </w:p>
    <w:tbl>
      <w:tblPr>
        <w:tblStyle w:val="6"/>
        <w:tblpPr w:leftFromText="180" w:rightFromText="180" w:vertAnchor="text" w:horzAnchor="page" w:tblpXSpec="center" w:tblpY="934"/>
        <w:tblOverlap w:val="neve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421"/>
        <w:gridCol w:w="942"/>
        <w:gridCol w:w="1253"/>
        <w:gridCol w:w="1166"/>
        <w:gridCol w:w="764"/>
      </w:tblGrid>
      <w:tr w14:paraId="25A15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jc w:val="center"/>
        </w:trPr>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444AA35B">
            <w:pPr>
              <w:keepNext w:val="0"/>
              <w:keepLines w:val="0"/>
              <w:widowControl/>
              <w:suppressLineNumbers w:val="0"/>
              <w:jc w:val="left"/>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Variable</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20485B1F">
            <w:pPr>
              <w:keepNext w:val="0"/>
              <w:keepLines w:val="0"/>
              <w:widowControl/>
              <w:suppressLineNumbers w:val="0"/>
              <w:jc w:val="left"/>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n</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76125F86">
            <w:pPr>
              <w:keepNext w:val="0"/>
              <w:keepLines w:val="0"/>
              <w:widowControl/>
              <w:suppressLineNumbers w:val="0"/>
              <w:jc w:val="left"/>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exp(coef) HR</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44B19371">
            <w:pPr>
              <w:keepNext w:val="0"/>
              <w:keepLines w:val="0"/>
              <w:widowControl/>
              <w:suppressLineNumbers w:val="0"/>
              <w:jc w:val="left"/>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95% CI</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1207BD08">
            <w:pPr>
              <w:keepNext w:val="0"/>
              <w:keepLines w:val="0"/>
              <w:widowControl/>
              <w:suppressLineNumbers w:val="0"/>
              <w:jc w:val="left"/>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p</w:t>
            </w:r>
          </w:p>
        </w:tc>
      </w:tr>
      <w:tr w14:paraId="14214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2E639DEA">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TV (continuous)</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49FB6B7B">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788</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78EB858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1.006</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514BA05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1.002–1.010</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6D73996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0.007</w:t>
            </w:r>
          </w:p>
        </w:tc>
      </w:tr>
      <w:tr w14:paraId="62DBC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Borders>
              <w:top w:val="nil"/>
              <w:left w:val="nil"/>
              <w:bottom w:val="nil"/>
              <w:right w:val="nil"/>
            </w:tcBorders>
            <w:shd w:val="clear" w:color="auto" w:fill="auto"/>
            <w:noWrap w:val="0"/>
            <w:tcMar>
              <w:top w:w="120" w:type="dxa"/>
              <w:left w:w="120" w:type="dxa"/>
              <w:bottom w:w="120" w:type="dxa"/>
              <w:right w:w="120" w:type="dxa"/>
            </w:tcMar>
            <w:vAlign w:val="center"/>
          </w:tcPr>
          <w:p w14:paraId="4B914AF3">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LVSI (positive : negative)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D58CE1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241 : 547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2878E9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1.961</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8DD7B3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1.367–2.813</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B1EF725">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&lt;0.001</w:t>
            </w:r>
          </w:p>
        </w:tc>
      </w:tr>
      <w:tr w14:paraId="40D0D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Borders>
              <w:top w:val="nil"/>
              <w:left w:val="nil"/>
              <w:bottom w:val="nil"/>
              <w:right w:val="nil"/>
            </w:tcBorders>
            <w:shd w:val="clear" w:color="auto" w:fill="auto"/>
            <w:noWrap w:val="0"/>
            <w:tcMar>
              <w:top w:w="120" w:type="dxa"/>
              <w:left w:w="120" w:type="dxa"/>
              <w:bottom w:w="120" w:type="dxa"/>
              <w:right w:w="120" w:type="dxa"/>
            </w:tcMar>
            <w:vAlign w:val="center"/>
          </w:tcPr>
          <w:p w14:paraId="5D2DAE71">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gVI (positive : negative)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F6C098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250 : 538</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42D3297">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1.753</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145896D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1.249–2.462</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23523F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0.001</w:t>
            </w:r>
          </w:p>
        </w:tc>
      </w:tr>
      <w:tr w14:paraId="3DDA5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Borders>
              <w:top w:val="nil"/>
              <w:left w:val="nil"/>
              <w:bottom w:val="nil"/>
              <w:right w:val="nil"/>
            </w:tcBorders>
            <w:shd w:val="clear" w:color="auto" w:fill="auto"/>
            <w:noWrap w:val="0"/>
            <w:tcMar>
              <w:top w:w="120" w:type="dxa"/>
              <w:left w:w="120" w:type="dxa"/>
              <w:bottom w:w="120" w:type="dxa"/>
              <w:right w:w="120" w:type="dxa"/>
            </w:tcMar>
            <w:vAlign w:val="center"/>
          </w:tcPr>
          <w:p w14:paraId="17CA6D21">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gLNM1 (positive : negative)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55B5050F">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235 : 553</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D9D172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2.938</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38E6F11">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2.016–4.283</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AEF5745">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&lt;0.001</w:t>
            </w:r>
          </w:p>
        </w:tc>
      </w:tr>
      <w:tr w14:paraId="3ADD6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Borders>
              <w:top w:val="nil"/>
              <w:left w:val="nil"/>
              <w:bottom w:val="nil"/>
              <w:right w:val="nil"/>
            </w:tcBorders>
            <w:shd w:val="clear" w:color="auto" w:fill="auto"/>
            <w:noWrap w:val="0"/>
            <w:tcMar>
              <w:top w:w="120" w:type="dxa"/>
              <w:left w:w="120" w:type="dxa"/>
              <w:bottom w:w="120" w:type="dxa"/>
              <w:right w:w="120" w:type="dxa"/>
            </w:tcMar>
            <w:vAlign w:val="center"/>
          </w:tcPr>
          <w:p w14:paraId="6AD6569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gEOE (endogenic : exogenic)</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6DC15C2A">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711 : 77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1FFDA71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1.759</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02C7707">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0.811–3.816</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8606E94">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0.153</w:t>
            </w:r>
          </w:p>
        </w:tc>
      </w:tr>
      <w:tr w14:paraId="21BA3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Borders>
              <w:top w:val="nil"/>
              <w:left w:val="nil"/>
              <w:bottom w:val="nil"/>
              <w:right w:val="nil"/>
            </w:tcBorders>
            <w:shd w:val="clear" w:color="auto" w:fill="auto"/>
            <w:noWrap w:val="0"/>
            <w:tcMar>
              <w:top w:w="120" w:type="dxa"/>
              <w:left w:w="120" w:type="dxa"/>
              <w:bottom w:w="120" w:type="dxa"/>
              <w:right w:w="120" w:type="dxa"/>
            </w:tcMar>
            <w:vAlign w:val="center"/>
          </w:tcPr>
          <w:p w14:paraId="18F56C1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gN (positive : negative)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4E66D4CB">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41 : 747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69FEDA6A">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1.345</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5D7AAB9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0.726–2.489</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5EC4C85">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0.346</w:t>
            </w:r>
          </w:p>
        </w:tc>
      </w:tr>
      <w:tr w14:paraId="00283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Borders>
              <w:top w:val="nil"/>
              <w:left w:val="nil"/>
              <w:bottom w:val="nil"/>
              <w:right w:val="nil"/>
            </w:tcBorders>
            <w:shd w:val="clear" w:color="auto" w:fill="auto"/>
            <w:noWrap w:val="0"/>
            <w:tcMar>
              <w:top w:w="120" w:type="dxa"/>
              <w:left w:w="120" w:type="dxa"/>
              <w:bottom w:w="120" w:type="dxa"/>
              <w:right w:w="120" w:type="dxa"/>
            </w:tcMar>
            <w:vAlign w:val="center"/>
          </w:tcPr>
          <w:p w14:paraId="612B320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Radiotherapy alone (vs No adjuvant therapy)</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7D482D5">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123 : 272</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562C488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0.844</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160813F">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0.487–1.461</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16A1B94">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0.544</w:t>
            </w:r>
          </w:p>
        </w:tc>
      </w:tr>
      <w:tr w14:paraId="38003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Borders>
              <w:top w:val="nil"/>
              <w:left w:val="nil"/>
              <w:bottom w:val="nil"/>
              <w:right w:val="nil"/>
            </w:tcBorders>
            <w:shd w:val="clear" w:color="auto" w:fill="auto"/>
            <w:noWrap w:val="0"/>
            <w:tcMar>
              <w:top w:w="120" w:type="dxa"/>
              <w:left w:w="120" w:type="dxa"/>
              <w:bottom w:w="120" w:type="dxa"/>
              <w:right w:w="120" w:type="dxa"/>
            </w:tcMar>
            <w:vAlign w:val="center"/>
          </w:tcPr>
          <w:p w14:paraId="369D0965">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Chemotherapy alone (vs No adjuvant therapy)</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1F831B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98 : 272</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7F5404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2.158</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C41F33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0.631–7.387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3C400D13">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0.220</w:t>
            </w:r>
          </w:p>
        </w:tc>
      </w:tr>
      <w:tr w14:paraId="53A4E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3D3E3A2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Concurrent chemoradiotherapy (vs No adjuvant therapy)</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31A045F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295 : 272</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589C9FD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0.723</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2A600E2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0.411–1.271</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314796B1">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0.260</w:t>
            </w:r>
          </w:p>
        </w:tc>
      </w:tr>
    </w:tbl>
    <w:p w14:paraId="339C19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left"/>
        <w:rPr>
          <w:rFonts w:hint="default" w:ascii="Times New Roman" w:hAnsi="Times New Roman" w:eastAsia="宋体" w:cs="Times New Roman"/>
          <w:color w:val="000000"/>
          <w:kern w:val="0"/>
          <w:sz w:val="24"/>
          <w:szCs w:val="24"/>
          <w:lang w:val="en-US" w:eastAsia="zh-CN" w:bidi="ar"/>
        </w:rPr>
      </w:pPr>
    </w:p>
    <w:p w14:paraId="16A6688E">
      <w:pPr>
        <w:widowControl w:val="0"/>
        <w:numPr>
          <w:ilvl w:val="0"/>
          <w:numId w:val="0"/>
        </w:numPr>
        <w:spacing w:line="360" w:lineRule="auto"/>
        <w:jc w:val="both"/>
        <w:rPr>
          <w:rFonts w:hint="default" w:ascii="Times New Roman" w:hAnsi="Times New Roman" w:eastAsia="宋体" w:cs="Times New Roman"/>
          <w:sz w:val="24"/>
          <w:szCs w:val="24"/>
          <w:lang w:val="en-US" w:eastAsia="zh-CN"/>
        </w:rPr>
      </w:pPr>
    </w:p>
    <w:p w14:paraId="53762E35">
      <w:pPr>
        <w:widowControl w:val="0"/>
        <w:numPr>
          <w:ilvl w:val="0"/>
          <w:numId w:val="0"/>
        </w:numPr>
        <w:spacing w:line="360" w:lineRule="auto"/>
        <w:jc w:val="both"/>
        <w:rPr>
          <w:rFonts w:hint="default" w:ascii="Times New Roman" w:hAnsi="Times New Roman" w:eastAsia="宋体" w:cs="Times New Roman"/>
          <w:sz w:val="18"/>
          <w:szCs w:val="18"/>
          <w:lang w:val="en-US" w:eastAsia="zh-CN"/>
        </w:rPr>
      </w:pPr>
      <w:r>
        <w:rPr>
          <w:rStyle w:val="8"/>
          <w:rFonts w:hint="default" w:ascii="Times New Roman" w:hAnsi="Times New Roman" w:eastAsia="宋体" w:cs="Times New Roman"/>
          <w:color w:val="1F2329"/>
          <w:sz w:val="18"/>
          <w:szCs w:val="18"/>
        </w:rPr>
        <w:t>Footnote.</w:t>
      </w:r>
      <w:r>
        <w:rPr>
          <w:rFonts w:hint="default" w:ascii="Times New Roman" w:hAnsi="Times New Roman" w:eastAsia="宋体" w:cs="Times New Roman"/>
          <w:sz w:val="18"/>
          <w:szCs w:val="18"/>
        </w:rPr>
        <w:t xml:space="preserve"> Stratified Cox proportional hazards regression model (n=788, events=141), stratified by pathological grade (gPG) to address its violation of the proportional hazards assumption. Pathological grade was not included as a covariate but served as the stratification variable. Treatment was modeled as a four-level mutually exclusive factor with no adjuvant therapy (n=272) as the reference. For binary variables, n is presented as positive : negative cases. HR, hazard ratio; CI, confidence interval; LVSI, lymphovascular space invasion.</w:t>
      </w:r>
    </w:p>
    <w:p w14:paraId="5847E87B">
      <w:pPr>
        <w:widowControl w:val="0"/>
        <w:numPr>
          <w:ilvl w:val="0"/>
          <w:numId w:val="0"/>
        </w:numPr>
        <w:spacing w:line="360" w:lineRule="auto"/>
        <w:jc w:val="both"/>
        <w:rPr>
          <w:rFonts w:hint="default" w:ascii="Times New Roman" w:hAnsi="Times New Roman" w:eastAsia="宋体" w:cs="Times New Roman"/>
          <w:sz w:val="24"/>
          <w:szCs w:val="24"/>
          <w:lang w:val="en-US" w:eastAsia="zh-CN"/>
        </w:rPr>
      </w:pPr>
    </w:p>
    <w:p w14:paraId="14914A0E">
      <w:pPr>
        <w:widowControl w:val="0"/>
        <w:numPr>
          <w:ilvl w:val="0"/>
          <w:numId w:val="0"/>
        </w:numPr>
        <w:spacing w:line="360" w:lineRule="auto"/>
        <w:jc w:val="both"/>
        <w:rPr>
          <w:rFonts w:hint="default" w:ascii="Times New Roman" w:hAnsi="Times New Roman" w:eastAsia="宋体" w:cs="Times New Roman"/>
          <w:sz w:val="24"/>
          <w:szCs w:val="24"/>
          <w:lang w:val="en-US" w:eastAsia="zh-CN"/>
        </w:rPr>
      </w:pPr>
    </w:p>
    <w:p w14:paraId="767A736C">
      <w:pPr>
        <w:widowControl w:val="0"/>
        <w:numPr>
          <w:ilvl w:val="0"/>
          <w:numId w:val="0"/>
        </w:numPr>
        <w:spacing w:line="360" w:lineRule="auto"/>
        <w:jc w:val="both"/>
        <w:rPr>
          <w:rFonts w:hint="default" w:ascii="Times New Roman" w:hAnsi="Times New Roman" w:eastAsia="宋体" w:cs="Times New Roman"/>
          <w:sz w:val="24"/>
          <w:szCs w:val="24"/>
          <w:lang w:val="en-US" w:eastAsia="zh-CN"/>
        </w:rPr>
      </w:pPr>
    </w:p>
    <w:p w14:paraId="4E6257D5">
      <w:pPr>
        <w:widowControl w:val="0"/>
        <w:numPr>
          <w:ilvl w:val="0"/>
          <w:numId w:val="0"/>
        </w:numPr>
        <w:spacing w:line="360" w:lineRule="auto"/>
        <w:jc w:val="both"/>
        <w:rPr>
          <w:rFonts w:hint="default" w:ascii="Times New Roman" w:hAnsi="Times New Roman" w:eastAsia="宋体" w:cs="Times New Roman"/>
          <w:sz w:val="24"/>
          <w:szCs w:val="24"/>
          <w:lang w:val="en-US" w:eastAsia="zh-CN"/>
        </w:rPr>
      </w:pPr>
    </w:p>
    <w:p w14:paraId="53222E7C">
      <w:pPr>
        <w:widowControl w:val="0"/>
        <w:numPr>
          <w:ilvl w:val="0"/>
          <w:numId w:val="0"/>
        </w:numPr>
        <w:spacing w:line="360" w:lineRule="auto"/>
        <w:jc w:val="both"/>
        <w:rPr>
          <w:rFonts w:hint="default" w:ascii="Times New Roman" w:hAnsi="Times New Roman" w:eastAsia="宋体" w:cs="Times New Roman"/>
          <w:sz w:val="24"/>
          <w:szCs w:val="24"/>
          <w:lang w:val="en-US" w:eastAsia="zh-CN"/>
        </w:rPr>
      </w:pPr>
    </w:p>
    <w:p w14:paraId="64DE84DC">
      <w:pPr>
        <w:widowControl w:val="0"/>
        <w:numPr>
          <w:ilvl w:val="0"/>
          <w:numId w:val="0"/>
        </w:numPr>
        <w:spacing w:line="360" w:lineRule="auto"/>
        <w:jc w:val="both"/>
        <w:rPr>
          <w:rFonts w:hint="default" w:ascii="Times New Roman" w:hAnsi="Times New Roman" w:eastAsia="宋体" w:cs="Times New Roman"/>
          <w:sz w:val="24"/>
          <w:szCs w:val="24"/>
          <w:lang w:val="en-US" w:eastAsia="zh-CN"/>
        </w:rPr>
      </w:pPr>
    </w:p>
    <w:p w14:paraId="50F2A2CD">
      <w:pPr>
        <w:widowControl w:val="0"/>
        <w:numPr>
          <w:ilvl w:val="0"/>
          <w:numId w:val="0"/>
        </w:numPr>
        <w:spacing w:line="360" w:lineRule="auto"/>
        <w:jc w:val="both"/>
        <w:rPr>
          <w:rFonts w:hint="default" w:ascii="Times New Roman" w:hAnsi="Times New Roman" w:eastAsia="宋体" w:cs="Times New Roman"/>
          <w:sz w:val="24"/>
          <w:szCs w:val="24"/>
          <w:lang w:val="en-US" w:eastAsia="zh-CN"/>
        </w:rPr>
      </w:pPr>
    </w:p>
    <w:p w14:paraId="1D0FF8DB">
      <w:pPr>
        <w:pStyle w:val="3"/>
        <w:keepNext w:val="0"/>
        <w:keepLines w:val="0"/>
        <w:widowControl/>
        <w:suppressLineNumbers w:val="0"/>
        <w:spacing w:line="36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lang w:val="en-US" w:eastAsia="zh-CN"/>
        </w:rPr>
        <w:t>5.</w:t>
      </w:r>
      <w:r>
        <w:rPr>
          <w:rFonts w:hint="default" w:ascii="Times New Roman" w:hAnsi="Times New Roman" w:cs="Times New Roman"/>
          <w:b w:val="0"/>
          <w:bCs w:val="0"/>
          <w:sz w:val="24"/>
          <w:szCs w:val="24"/>
        </w:rPr>
        <w:t>Sensitivity Analysis: Stratified Cox Regression of Three-Category Treatment Group Stratified by Pathological Grade</w:t>
      </w:r>
    </w:p>
    <w:p w14:paraId="07B30C93">
      <w:pPr>
        <w:keepNext w:val="0"/>
        <w:keepLines w:val="0"/>
        <w:widowControl/>
        <w:suppressLineNumbers w:val="0"/>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eastAsia="宋体" w:cs="Times New Roman"/>
          <w:kern w:val="0"/>
          <w:sz w:val="24"/>
          <w:szCs w:val="24"/>
          <w:lang w:val="en-US" w:eastAsia="zh-CN" w:bidi="ar"/>
        </w:rPr>
        <w:t>To address the violation of the proportional hazards assumption by pathological grade in the original three-category Cox model, a stratified Cox sensitivity analysis was performed, with pathological grade set as the stratification variable and all other covariates retained. The concordance index of the stratified model was 0.715, indicating good discriminatory ability. The likelihood ratio test, Wald test, and log-rank score test all demonstrated significant overall model efficacy (all P &lt; 0.001).</w:t>
      </w:r>
    </w:p>
    <w:p w14:paraId="1BB021C6">
      <w:pPr>
        <w:keepNext w:val="0"/>
        <w:keepLines w:val="0"/>
        <w:widowControl/>
        <w:suppressLineNumbers w:val="0"/>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eastAsia="宋体" w:cs="Times New Roman"/>
          <w:kern w:val="0"/>
          <w:sz w:val="24"/>
          <w:szCs w:val="24"/>
          <w:lang w:val="en-US" w:eastAsia="zh-CN" w:bidi="ar"/>
        </w:rPr>
        <w:t>After stratification by pathological grade, continuous tumor volume (HR=1.006, 95%CI 1.0015–1.010, P=0.008), positive lymphovascular space invasion (HR=1.939, 95%CI 1.353–2.779, P&lt;0.001), positive vaginal invasion (HR=1.768, 95%CI 1.260–2.480, P&lt;0.001), and positive lymph node metastasis (HR=2.856, 95%CI 1.972–4.137, P&lt;0.001) remained stable and independent adverse prognostic factors for overall survival. Endogenic growth pattern (P=0.149) and nerve invasion (P=0.327) showed no significant independent prognostic impact.</w:t>
      </w:r>
    </w:p>
    <w:p w14:paraId="07CC3EBF">
      <w:pPr>
        <w:keepNext w:val="0"/>
        <w:keepLines w:val="0"/>
        <w:widowControl/>
        <w:suppressLineNumbers w:val="0"/>
        <w:spacing w:line="360" w:lineRule="auto"/>
        <w:ind w:firstLine="720" w:firstLineChars="300"/>
        <w:jc w:val="left"/>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Regarding the three-category postoperative adjuvant therapy, compared with patients receiving no adjuvant therapy, chemotherapy alone (HR=2.170, 95%CI 0.634–7.429, P=0.217) and radiotherapy-containing therapy (HR=0.787, 95%CI 0.465–1.331, P=0.371) exhibited no significant correlation with overall survival. The results of the stratified three-category Cox model were highly consistent with the original unstratified model, further verifying the robustness of the prognostic results and treatment effect conclusions.</w:t>
      </w:r>
    </w:p>
    <w:p w14:paraId="47689DE3">
      <w:pPr>
        <w:keepNext w:val="0"/>
        <w:keepLines w:val="0"/>
        <w:widowControl/>
        <w:suppressLineNumbers w:val="0"/>
        <w:spacing w:line="360" w:lineRule="auto"/>
        <w:ind w:firstLine="720" w:firstLineChars="300"/>
        <w:jc w:val="left"/>
        <w:rPr>
          <w:rFonts w:hint="default" w:ascii="Times New Roman" w:hAnsi="Times New Roman" w:eastAsia="宋体" w:cs="Times New Roman"/>
          <w:kern w:val="0"/>
          <w:sz w:val="24"/>
          <w:szCs w:val="24"/>
          <w:lang w:val="en-US" w:eastAsia="zh-CN" w:bidi="ar"/>
        </w:rPr>
      </w:pPr>
    </w:p>
    <w:p w14:paraId="1104F655">
      <w:pPr>
        <w:keepNext w:val="0"/>
        <w:keepLines w:val="0"/>
        <w:widowControl/>
        <w:suppressLineNumbers w:val="0"/>
        <w:spacing w:line="360" w:lineRule="auto"/>
        <w:ind w:firstLine="720" w:firstLineChars="300"/>
        <w:jc w:val="left"/>
        <w:rPr>
          <w:rFonts w:hint="default" w:ascii="Times New Roman" w:hAnsi="Times New Roman" w:eastAsia="宋体" w:cs="Times New Roman"/>
          <w:kern w:val="0"/>
          <w:sz w:val="24"/>
          <w:szCs w:val="24"/>
          <w:lang w:val="en-US" w:eastAsia="zh-CN" w:bidi="ar"/>
        </w:rPr>
      </w:pPr>
    </w:p>
    <w:p w14:paraId="6309927A">
      <w:pPr>
        <w:keepNext w:val="0"/>
        <w:keepLines w:val="0"/>
        <w:widowControl/>
        <w:suppressLineNumbers w:val="0"/>
        <w:spacing w:line="360" w:lineRule="auto"/>
        <w:ind w:firstLine="720" w:firstLineChars="300"/>
        <w:jc w:val="left"/>
        <w:rPr>
          <w:rFonts w:hint="default" w:ascii="Times New Roman" w:hAnsi="Times New Roman" w:eastAsia="宋体" w:cs="Times New Roman"/>
          <w:kern w:val="0"/>
          <w:sz w:val="24"/>
          <w:szCs w:val="24"/>
          <w:lang w:val="en-US" w:eastAsia="zh-CN" w:bidi="ar"/>
        </w:rPr>
      </w:pPr>
    </w:p>
    <w:p w14:paraId="0316B384">
      <w:pPr>
        <w:keepNext w:val="0"/>
        <w:keepLines w:val="0"/>
        <w:widowControl/>
        <w:suppressLineNumbers w:val="0"/>
        <w:spacing w:line="360" w:lineRule="auto"/>
        <w:ind w:firstLine="720" w:firstLineChars="300"/>
        <w:jc w:val="left"/>
        <w:rPr>
          <w:rFonts w:hint="default" w:ascii="Times New Roman" w:hAnsi="Times New Roman" w:eastAsia="宋体" w:cs="Times New Roman"/>
          <w:kern w:val="0"/>
          <w:sz w:val="24"/>
          <w:szCs w:val="24"/>
          <w:lang w:val="en-US" w:eastAsia="zh-CN" w:bidi="ar"/>
        </w:rPr>
      </w:pPr>
    </w:p>
    <w:p w14:paraId="58387053">
      <w:pPr>
        <w:keepNext w:val="0"/>
        <w:keepLines w:val="0"/>
        <w:widowControl/>
        <w:suppressLineNumbers w:val="0"/>
        <w:spacing w:line="360" w:lineRule="auto"/>
        <w:ind w:firstLine="720" w:firstLineChars="300"/>
        <w:jc w:val="left"/>
        <w:rPr>
          <w:rFonts w:hint="default" w:ascii="Times New Roman" w:hAnsi="Times New Roman" w:eastAsia="宋体" w:cs="Times New Roman"/>
          <w:kern w:val="0"/>
          <w:sz w:val="24"/>
          <w:szCs w:val="24"/>
          <w:lang w:val="en-US" w:eastAsia="zh-CN" w:bidi="ar"/>
        </w:rPr>
      </w:pPr>
    </w:p>
    <w:p w14:paraId="5DE9BBB5">
      <w:pPr>
        <w:pStyle w:val="4"/>
        <w:keepNext w:val="0"/>
        <w:keepLines w:val="0"/>
        <w:widowControl/>
        <w:suppressLineNumbers w:val="0"/>
        <w:spacing w:line="360" w:lineRule="auto"/>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sz w:val="24"/>
          <w:szCs w:val="24"/>
        </w:rPr>
        <w:t>Supplementary</w:t>
      </w:r>
      <w:r>
        <w:rPr>
          <w:rFonts w:hint="eastAsia" w:ascii="Times New Roman" w:hAnsi="Times New Roman" w:cs="Times New Roman"/>
          <w:sz w:val="24"/>
          <w:szCs w:val="24"/>
          <w:lang w:val="en-US" w:eastAsia="zh-CN"/>
        </w:rPr>
        <w:t xml:space="preserve"> </w:t>
      </w:r>
      <w:r>
        <w:rPr>
          <w:rFonts w:hint="default" w:ascii="Times New Roman" w:hAnsi="Times New Roman" w:cs="Times New Roman"/>
          <w:b w:val="0"/>
          <w:bCs w:val="0"/>
          <w:sz w:val="24"/>
          <w:szCs w:val="24"/>
        </w:rPr>
        <w:t>Table</w:t>
      </w:r>
      <w:r>
        <w:rPr>
          <w:rFonts w:hint="default" w:ascii="Times New Roman" w:hAnsi="Times New Roman" w:cs="Times New Roman"/>
          <w:b w:val="0"/>
          <w:bCs w:val="0"/>
          <w:sz w:val="24"/>
          <w:szCs w:val="24"/>
          <w:lang w:val="en-US" w:eastAsia="zh-CN"/>
        </w:rPr>
        <w:t xml:space="preserve"> 5</w:t>
      </w:r>
      <w:r>
        <w:rPr>
          <w:rFonts w:hint="default" w:ascii="Times New Roman" w:hAnsi="Times New Roman" w:cs="Times New Roman"/>
          <w:b w:val="0"/>
          <w:bCs w:val="0"/>
          <w:sz w:val="24"/>
          <w:szCs w:val="24"/>
        </w:rPr>
        <w:t>. Stratified Cox proportional hazards regression analysis (three-category treatment grouping, stratified by pathological grade)</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485"/>
        <w:gridCol w:w="927"/>
        <w:gridCol w:w="1234"/>
        <w:gridCol w:w="1148"/>
        <w:gridCol w:w="752"/>
      </w:tblGrid>
      <w:tr w14:paraId="0075A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641AEB6B">
            <w:pPr>
              <w:keepNext w:val="0"/>
              <w:keepLines w:val="0"/>
              <w:widowControl/>
              <w:suppressLineNumbers w:val="0"/>
              <w:jc w:val="left"/>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Variable</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69AE75F3">
            <w:pPr>
              <w:keepNext w:val="0"/>
              <w:keepLines w:val="0"/>
              <w:widowControl/>
              <w:suppressLineNumbers w:val="0"/>
              <w:jc w:val="left"/>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n</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270B61DB">
            <w:pPr>
              <w:keepNext w:val="0"/>
              <w:keepLines w:val="0"/>
              <w:widowControl/>
              <w:suppressLineNumbers w:val="0"/>
              <w:jc w:val="left"/>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exp(coef) HR</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4A7AE764">
            <w:pPr>
              <w:keepNext w:val="0"/>
              <w:keepLines w:val="0"/>
              <w:widowControl/>
              <w:suppressLineNumbers w:val="0"/>
              <w:jc w:val="left"/>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95% CI</w:t>
            </w:r>
          </w:p>
        </w:tc>
        <w:tc>
          <w:tcPr>
            <w:tcBorders>
              <w:top w:val="single" w:color="CCCCCC" w:sz="12" w:space="0"/>
              <w:left w:val="nil"/>
              <w:bottom w:val="nil"/>
              <w:right w:val="nil"/>
            </w:tcBorders>
            <w:shd w:val="clear" w:color="auto" w:fill="auto"/>
            <w:noWrap w:val="0"/>
            <w:tcMar>
              <w:top w:w="120" w:type="dxa"/>
              <w:left w:w="120" w:type="dxa"/>
              <w:bottom w:w="120" w:type="dxa"/>
              <w:right w:w="120" w:type="dxa"/>
            </w:tcMar>
            <w:vAlign w:val="center"/>
          </w:tcPr>
          <w:p w14:paraId="744F648F">
            <w:pPr>
              <w:keepNext w:val="0"/>
              <w:keepLines w:val="0"/>
              <w:widowControl/>
              <w:suppressLineNumbers w:val="0"/>
              <w:jc w:val="left"/>
              <w:rPr>
                <w:rFonts w:hint="default" w:ascii="Times New Roman" w:hAnsi="Times New Roman"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p</w:t>
            </w:r>
          </w:p>
        </w:tc>
      </w:tr>
      <w:tr w14:paraId="57ACE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07CF801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TV (continuous)</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585EF85B">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788</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003CA0C5">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1.006</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5F4EE3B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1.002–1.010</w:t>
            </w:r>
          </w:p>
        </w:tc>
        <w:tc>
          <w:tcPr>
            <w:tcBorders>
              <w:top w:val="single" w:color="CCCCCC" w:sz="4" w:space="0"/>
              <w:left w:val="nil"/>
              <w:bottom w:val="nil"/>
              <w:right w:val="nil"/>
            </w:tcBorders>
            <w:shd w:val="clear" w:color="auto" w:fill="auto"/>
            <w:noWrap w:val="0"/>
            <w:tcMar>
              <w:top w:w="120" w:type="dxa"/>
              <w:left w:w="120" w:type="dxa"/>
              <w:bottom w:w="120" w:type="dxa"/>
              <w:right w:w="120" w:type="dxa"/>
            </w:tcMar>
            <w:vAlign w:val="center"/>
          </w:tcPr>
          <w:p w14:paraId="3F59B5E3">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0.008</w:t>
            </w:r>
          </w:p>
        </w:tc>
      </w:tr>
      <w:tr w14:paraId="08766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2CE0E0F4">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LVSI (positive : negative)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6E3270D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241 : 547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C60864A">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1.939</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01314C3">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1.353–2.779</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1C1FF81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&lt;0.001</w:t>
            </w:r>
          </w:p>
        </w:tc>
      </w:tr>
      <w:tr w14:paraId="10CD8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4F6F240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gVI (positive : negative)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C0508A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250 : 538</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6D1B5263">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1.768</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FF17264">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1.260–2.480</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46AA067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&lt;0.001</w:t>
            </w:r>
          </w:p>
        </w:tc>
      </w:tr>
      <w:tr w14:paraId="5A9BF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499DCBC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gLNM1 (positive : negative)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4D7F9E9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235 : 553</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5567487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2.856</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5921013">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1.972–4.137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47065B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&lt;0.001</w:t>
            </w:r>
          </w:p>
        </w:tc>
      </w:tr>
      <w:tr w14:paraId="62E5F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1F15933A">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gEOE (endogenic : exogenic)</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45ED5625">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711 : 77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27FBDAB">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1.770</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2849C2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0.815–3.841</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4EDCCC75">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0.149</w:t>
            </w:r>
          </w:p>
        </w:tc>
      </w:tr>
      <w:tr w14:paraId="70C55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1551231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gN (positive : negative)</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6C7B8DF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41 : 747</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7C2FAFD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1.360</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08A9CBF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0.736–2.513</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9B7BFB0">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0.327</w:t>
            </w:r>
          </w:p>
        </w:tc>
      </w:tr>
      <w:tr w14:paraId="73016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Borders>
              <w:top w:val="nil"/>
              <w:left w:val="nil"/>
              <w:bottom w:val="nil"/>
              <w:right w:val="nil"/>
            </w:tcBorders>
            <w:shd w:val="clear" w:color="auto" w:fill="auto"/>
            <w:noWrap w:val="0"/>
            <w:tcMar>
              <w:top w:w="120" w:type="dxa"/>
              <w:left w:w="120" w:type="dxa"/>
              <w:bottom w:w="120" w:type="dxa"/>
              <w:right w:w="120" w:type="dxa"/>
            </w:tcMar>
            <w:vAlign w:val="center"/>
          </w:tcPr>
          <w:p w14:paraId="0BFF1BAE">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Chemotherapy alone (vs No adjuvant therapy)</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463FB66F">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98 : 272</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270DB9F2">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2.170</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1C7B2193">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0.634–7.429</w:t>
            </w:r>
          </w:p>
        </w:tc>
        <w:tc>
          <w:tcPr>
            <w:tcBorders>
              <w:top w:val="nil"/>
              <w:left w:val="nil"/>
              <w:bottom w:val="nil"/>
              <w:right w:val="nil"/>
            </w:tcBorders>
            <w:shd w:val="clear" w:color="auto" w:fill="auto"/>
            <w:noWrap w:val="0"/>
            <w:tcMar>
              <w:top w:w="120" w:type="dxa"/>
              <w:left w:w="120" w:type="dxa"/>
              <w:bottom w:w="120" w:type="dxa"/>
              <w:right w:w="120" w:type="dxa"/>
            </w:tcMar>
            <w:vAlign w:val="center"/>
          </w:tcPr>
          <w:p w14:paraId="5F83C298">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0.217</w:t>
            </w:r>
          </w:p>
        </w:tc>
      </w:tr>
      <w:tr w14:paraId="7792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3B3DB5A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Radiotherapy-containing therapy (vs No adjuvant therapy)</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6D6DC5F6">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418 : 272</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21D16C2C">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0.787</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757A4464">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0.465–1.331</w:t>
            </w:r>
          </w:p>
        </w:tc>
        <w:tc>
          <w:tcPr>
            <w:tcBorders>
              <w:top w:val="nil"/>
              <w:left w:val="nil"/>
              <w:bottom w:val="single" w:color="CCCCCC" w:sz="12" w:space="0"/>
              <w:right w:val="nil"/>
            </w:tcBorders>
            <w:shd w:val="clear" w:color="auto" w:fill="auto"/>
            <w:noWrap w:val="0"/>
            <w:tcMar>
              <w:top w:w="120" w:type="dxa"/>
              <w:left w:w="120" w:type="dxa"/>
              <w:bottom w:w="120" w:type="dxa"/>
              <w:right w:w="120" w:type="dxa"/>
            </w:tcMar>
            <w:vAlign w:val="center"/>
          </w:tcPr>
          <w:p w14:paraId="10027A39">
            <w:pPr>
              <w:keepNext w:val="0"/>
              <w:keepLines w:val="0"/>
              <w:widowControl/>
              <w:suppressLineNumbers w:val="0"/>
              <w:jc w:val="left"/>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0.371</w:t>
            </w:r>
          </w:p>
        </w:tc>
      </w:tr>
    </w:tbl>
    <w:p w14:paraId="61B65DA9">
      <w:pPr>
        <w:widowControl w:val="0"/>
        <w:numPr>
          <w:ilvl w:val="0"/>
          <w:numId w:val="0"/>
        </w:numPr>
        <w:spacing w:line="240" w:lineRule="auto"/>
        <w:jc w:val="both"/>
        <w:rPr>
          <w:rFonts w:hint="default" w:ascii="Times New Roman" w:hAnsi="Times New Roman" w:eastAsia="宋体" w:cs="Times New Roman"/>
          <w:sz w:val="24"/>
          <w:szCs w:val="24"/>
          <w:lang w:val="en-US" w:eastAsia="zh-CN"/>
        </w:rPr>
      </w:pPr>
    </w:p>
    <w:p w14:paraId="77BB561F">
      <w:pPr>
        <w:keepNext w:val="0"/>
        <w:keepLines w:val="0"/>
        <w:widowControl/>
        <w:suppressLineNumbers w:val="0"/>
        <w:jc w:val="left"/>
        <w:rPr>
          <w:rFonts w:hint="default" w:ascii="Times New Roman" w:hAnsi="Times New Roman" w:cs="Times New Roman"/>
          <w:sz w:val="18"/>
          <w:szCs w:val="18"/>
        </w:rPr>
      </w:pPr>
      <w:r>
        <w:rPr>
          <w:rStyle w:val="8"/>
          <w:rFonts w:hint="default" w:ascii="Times New Roman" w:hAnsi="Times New Roman" w:eastAsia="宋体" w:cs="Times New Roman"/>
          <w:b w:val="0"/>
          <w:bCs/>
          <w:kern w:val="0"/>
          <w:sz w:val="18"/>
          <w:szCs w:val="18"/>
          <w:lang w:val="en-US" w:eastAsia="zh-CN" w:bidi="ar"/>
        </w:rPr>
        <w:t>Footnote</w:t>
      </w:r>
      <w:r>
        <w:rPr>
          <w:rStyle w:val="8"/>
          <w:rFonts w:hint="default" w:ascii="Times New Roman" w:hAnsi="Times New Roman" w:eastAsia="宋体" w:cs="Times New Roman"/>
          <w:kern w:val="0"/>
          <w:sz w:val="18"/>
          <w:szCs w:val="18"/>
          <w:lang w:val="en-US" w:eastAsia="zh-CN" w:bidi="ar"/>
        </w:rPr>
        <w:t>.</w:t>
      </w:r>
      <w:r>
        <w:rPr>
          <w:rFonts w:hint="default" w:ascii="Times New Roman" w:hAnsi="Times New Roman" w:eastAsia="宋体" w:cs="Times New Roman"/>
          <w:sz w:val="18"/>
          <w:szCs w:val="18"/>
        </w:rPr>
        <w:t xml:space="preserve">HR, hazard ratio; TV, tumor volume; LVSI, lymphovascular space invasion; gVI, vaginal invasion; gLNM1, lymph node metastasis; gEOE, endogenic growth pattern; gN, nerve invasion. Model 1: original four-category Cox regression model; Model 2: original three-category Cox regression model with combined radiotherapy group; Model 3: four-category stratified Cox model stratified by pathological grade; Model 4: three-category stratified Cox model stratified by pathological grade. “—” indicates the corresponding treatment subgroup was not included in the specific grouping strategy. </w:t>
      </w:r>
    </w:p>
    <w:p w14:paraId="4CFCC71B">
      <w:pPr>
        <w:widowControl w:val="0"/>
        <w:numPr>
          <w:ilvl w:val="0"/>
          <w:numId w:val="0"/>
        </w:numPr>
        <w:spacing w:line="360" w:lineRule="auto"/>
        <w:jc w:val="both"/>
        <w:rPr>
          <w:rFonts w:hint="default" w:ascii="Times New Roman" w:hAnsi="Times New Roman" w:eastAsia="宋体" w:cs="Times New Roman"/>
          <w:sz w:val="18"/>
          <w:szCs w:val="18"/>
          <w:lang w:val="en-US" w:eastAsia="zh-CN"/>
        </w:rPr>
      </w:pPr>
    </w:p>
    <w:p w14:paraId="38E3678B">
      <w:pPr>
        <w:keepNext w:val="0"/>
        <w:keepLines w:val="0"/>
        <w:widowControl/>
        <w:numPr>
          <w:ilvl w:val="0"/>
          <w:numId w:val="0"/>
        </w:numPr>
        <w:suppressLineNumbers w:val="0"/>
        <w:spacing w:line="360" w:lineRule="auto"/>
        <w:ind w:leftChars="0"/>
        <w:jc w:val="left"/>
        <w:rPr>
          <w:rFonts w:hint="default" w:ascii="Times New Roman" w:hAnsi="Times New Roman" w:eastAsia="宋体" w:cs="Times New Roman"/>
          <w:kern w:val="0"/>
          <w:sz w:val="24"/>
          <w:szCs w:val="24"/>
          <w:lang w:val="en-US" w:eastAsia="zh-CN" w:bidi="ar"/>
        </w:rPr>
      </w:pPr>
    </w:p>
    <w:p w14:paraId="427E7A65">
      <w:pPr>
        <w:keepNext w:val="0"/>
        <w:keepLines w:val="0"/>
        <w:widowControl/>
        <w:numPr>
          <w:ilvl w:val="0"/>
          <w:numId w:val="0"/>
        </w:numPr>
        <w:suppressLineNumbers w:val="0"/>
        <w:spacing w:line="360" w:lineRule="auto"/>
        <w:ind w:leftChars="0"/>
        <w:jc w:val="left"/>
        <w:rPr>
          <w:rFonts w:hint="default" w:ascii="Times New Roman" w:hAnsi="Times New Roman" w:eastAsia="宋体" w:cs="Times New Roman"/>
          <w:kern w:val="0"/>
          <w:sz w:val="24"/>
          <w:szCs w:val="24"/>
          <w:lang w:val="en-US" w:eastAsia="zh-CN" w:bidi="ar"/>
        </w:rPr>
      </w:pPr>
    </w:p>
    <w:p w14:paraId="4924A5F1">
      <w:pPr>
        <w:keepNext w:val="0"/>
        <w:keepLines w:val="0"/>
        <w:widowControl/>
        <w:numPr>
          <w:ilvl w:val="0"/>
          <w:numId w:val="0"/>
        </w:numPr>
        <w:suppressLineNumbers w:val="0"/>
        <w:spacing w:line="360" w:lineRule="auto"/>
        <w:ind w:leftChars="0"/>
        <w:jc w:val="left"/>
        <w:rPr>
          <w:rFonts w:hint="default" w:ascii="Times New Roman" w:hAnsi="Times New Roman" w:eastAsia="宋体" w:cs="Times New Roman"/>
          <w:kern w:val="0"/>
          <w:sz w:val="24"/>
          <w:szCs w:val="24"/>
          <w:lang w:val="en-US" w:eastAsia="zh-CN" w:bidi="ar"/>
        </w:rPr>
      </w:pPr>
    </w:p>
    <w:p w14:paraId="5C0CFDAE">
      <w:pPr>
        <w:keepNext w:val="0"/>
        <w:keepLines w:val="0"/>
        <w:widowControl/>
        <w:numPr>
          <w:ilvl w:val="0"/>
          <w:numId w:val="0"/>
        </w:numPr>
        <w:suppressLineNumbers w:val="0"/>
        <w:spacing w:line="360" w:lineRule="auto"/>
        <w:ind w:leftChars="0"/>
        <w:jc w:val="left"/>
        <w:rPr>
          <w:rFonts w:hint="default" w:ascii="Times New Roman" w:hAnsi="Times New Roman" w:eastAsia="宋体" w:cs="Times New Roman"/>
          <w:kern w:val="0"/>
          <w:sz w:val="24"/>
          <w:szCs w:val="24"/>
          <w:lang w:val="en-US" w:eastAsia="zh-CN" w:bidi="ar"/>
        </w:rPr>
      </w:pPr>
    </w:p>
    <w:p w14:paraId="273E4182">
      <w:pPr>
        <w:keepNext w:val="0"/>
        <w:keepLines w:val="0"/>
        <w:widowControl/>
        <w:numPr>
          <w:ilvl w:val="0"/>
          <w:numId w:val="0"/>
        </w:numPr>
        <w:suppressLineNumbers w:val="0"/>
        <w:spacing w:line="360" w:lineRule="auto"/>
        <w:ind w:leftChars="0"/>
        <w:jc w:val="left"/>
        <w:rPr>
          <w:rFonts w:hint="default" w:ascii="Times New Roman" w:hAnsi="Times New Roman" w:eastAsia="宋体" w:cs="Times New Roman"/>
          <w:kern w:val="0"/>
          <w:sz w:val="24"/>
          <w:szCs w:val="24"/>
          <w:lang w:val="en-US" w:eastAsia="zh-CN" w:bidi="ar"/>
        </w:rPr>
      </w:pPr>
    </w:p>
    <w:p w14:paraId="395344BF">
      <w:pPr>
        <w:keepNext w:val="0"/>
        <w:keepLines w:val="0"/>
        <w:widowControl/>
        <w:numPr>
          <w:ilvl w:val="0"/>
          <w:numId w:val="0"/>
        </w:numPr>
        <w:suppressLineNumbers w:val="0"/>
        <w:spacing w:line="360" w:lineRule="auto"/>
        <w:ind w:leftChars="0"/>
        <w:jc w:val="left"/>
        <w:rPr>
          <w:rFonts w:hint="default" w:ascii="Times New Roman" w:hAnsi="Times New Roman" w:eastAsia="宋体" w:cs="Times New Roman"/>
          <w:kern w:val="0"/>
          <w:sz w:val="24"/>
          <w:szCs w:val="24"/>
          <w:lang w:val="en-US" w:eastAsia="zh-CN" w:bidi="ar"/>
        </w:rPr>
      </w:pPr>
    </w:p>
    <w:p w14:paraId="135D795F">
      <w:pPr>
        <w:keepNext w:val="0"/>
        <w:keepLines w:val="0"/>
        <w:widowControl/>
        <w:numPr>
          <w:ilvl w:val="0"/>
          <w:numId w:val="0"/>
        </w:numPr>
        <w:suppressLineNumbers w:val="0"/>
        <w:spacing w:line="360" w:lineRule="auto"/>
        <w:ind w:leftChars="0"/>
        <w:jc w:val="left"/>
        <w:rPr>
          <w:rFonts w:hint="default" w:ascii="Times New Roman" w:hAnsi="Times New Roman" w:eastAsia="宋体" w:cs="Times New Roman"/>
          <w:kern w:val="0"/>
          <w:sz w:val="24"/>
          <w:szCs w:val="24"/>
          <w:lang w:val="en-US" w:eastAsia="zh-CN" w:bidi="ar"/>
        </w:rPr>
      </w:pPr>
    </w:p>
    <w:p w14:paraId="1D54C255">
      <w:pPr>
        <w:keepNext w:val="0"/>
        <w:keepLines w:val="0"/>
        <w:widowControl/>
        <w:numPr>
          <w:ilvl w:val="0"/>
          <w:numId w:val="0"/>
        </w:numPr>
        <w:suppressLineNumbers w:val="0"/>
        <w:spacing w:line="360" w:lineRule="auto"/>
        <w:ind w:leftChars="0"/>
        <w:jc w:val="left"/>
        <w:rPr>
          <w:rFonts w:hint="default" w:ascii="Times New Roman" w:hAnsi="Times New Roman" w:eastAsia="宋体" w:cs="Times New Roman"/>
          <w:kern w:val="0"/>
          <w:sz w:val="24"/>
          <w:szCs w:val="24"/>
          <w:lang w:val="en-US" w:eastAsia="zh-CN" w:bidi="ar"/>
        </w:rPr>
      </w:pPr>
    </w:p>
    <w:p w14:paraId="5666EF04">
      <w:pPr>
        <w:keepNext w:val="0"/>
        <w:keepLines w:val="0"/>
        <w:widowControl/>
        <w:numPr>
          <w:ilvl w:val="0"/>
          <w:numId w:val="0"/>
        </w:numPr>
        <w:suppressLineNumbers w:val="0"/>
        <w:spacing w:line="360" w:lineRule="auto"/>
        <w:ind w:leftChars="0"/>
        <w:jc w:val="left"/>
        <w:rPr>
          <w:rFonts w:hint="default" w:ascii="Times New Roman" w:hAnsi="Times New Roman" w:eastAsia="宋体" w:cs="Times New Roman"/>
          <w:kern w:val="0"/>
          <w:sz w:val="24"/>
          <w:szCs w:val="24"/>
          <w:lang w:val="en-US" w:eastAsia="zh-CN" w:bidi="ar"/>
        </w:rPr>
      </w:pPr>
    </w:p>
    <w:p w14:paraId="027A6F72">
      <w:pPr>
        <w:keepNext w:val="0"/>
        <w:keepLines w:val="0"/>
        <w:widowControl/>
        <w:numPr>
          <w:ilvl w:val="0"/>
          <w:numId w:val="0"/>
        </w:numPr>
        <w:suppressLineNumbers w:val="0"/>
        <w:spacing w:line="360" w:lineRule="auto"/>
        <w:ind w:leftChars="0"/>
        <w:jc w:val="left"/>
        <w:rPr>
          <w:rFonts w:hint="default" w:ascii="Times New Roman" w:hAnsi="Times New Roman" w:eastAsia="宋体" w:cs="Times New Roman"/>
          <w:kern w:val="0"/>
          <w:sz w:val="24"/>
          <w:szCs w:val="24"/>
          <w:lang w:val="en-US" w:eastAsia="zh-CN" w:bidi="ar"/>
        </w:rPr>
      </w:pPr>
    </w:p>
    <w:p w14:paraId="2781281B">
      <w:pPr>
        <w:keepNext w:val="0"/>
        <w:keepLines w:val="0"/>
        <w:widowControl/>
        <w:numPr>
          <w:ilvl w:val="0"/>
          <w:numId w:val="0"/>
        </w:numPr>
        <w:suppressLineNumbers w:val="0"/>
        <w:spacing w:line="360" w:lineRule="auto"/>
        <w:ind w:leftChars="0"/>
        <w:jc w:val="left"/>
        <w:rPr>
          <w:rFonts w:hint="default" w:ascii="Times New Roman" w:hAnsi="Times New Roman" w:eastAsia="宋体" w:cs="Times New Roman"/>
          <w:kern w:val="0"/>
          <w:sz w:val="24"/>
          <w:szCs w:val="24"/>
          <w:lang w:val="en-US" w:eastAsia="zh-CN" w:bidi="ar"/>
        </w:rPr>
      </w:pPr>
    </w:p>
    <w:p w14:paraId="669A43D0">
      <w:pPr>
        <w:keepNext w:val="0"/>
        <w:keepLines w:val="0"/>
        <w:widowControl/>
        <w:numPr>
          <w:ilvl w:val="0"/>
          <w:numId w:val="0"/>
        </w:numPr>
        <w:suppressLineNumbers w:val="0"/>
        <w:spacing w:line="360" w:lineRule="auto"/>
        <w:ind w:leftChars="0"/>
        <w:jc w:val="left"/>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 xml:space="preserve">5.Cross-Model Comparison of Four Cox Regression Models </w:t>
      </w:r>
    </w:p>
    <w:p w14:paraId="1F708FB4">
      <w:pPr>
        <w:keepNext w:val="0"/>
        <w:keepLines w:val="0"/>
        <w:widowControl/>
        <w:suppressLineNumbers w:val="0"/>
        <w:spacing w:line="360" w:lineRule="auto"/>
        <w:jc w:val="left"/>
        <w:rPr>
          <w:rFonts w:hint="default" w:ascii="Times New Roman" w:hAnsi="Times New Roman" w:cs="Times New Roman"/>
          <w:sz w:val="24"/>
          <w:szCs w:val="24"/>
        </w:rPr>
      </w:pPr>
      <w:r>
        <w:rPr>
          <w:rFonts w:hint="eastAsia" w:ascii="宋体" w:hAnsi="宋体" w:eastAsia="宋体" w:cs="宋体"/>
          <w:kern w:val="0"/>
          <w:sz w:val="24"/>
          <w:szCs w:val="24"/>
          <w:lang w:val="en-US" w:eastAsia="zh-CN" w:bidi="ar"/>
        </w:rPr>
        <w:t xml:space="preserve">  </w:t>
      </w:r>
      <w:r>
        <w:rPr>
          <w:rFonts w:hint="default" w:ascii="Times New Roman" w:hAnsi="Times New Roman" w:eastAsia="宋体" w:cs="Times New Roman"/>
          <w:kern w:val="0"/>
          <w:sz w:val="24"/>
          <w:szCs w:val="24"/>
          <w:lang w:val="en-US" w:eastAsia="zh-CN" w:bidi="ar"/>
        </w:rPr>
        <w:t xml:space="preserve"> </w:t>
      </w:r>
      <w:r>
        <w:rPr>
          <w:rFonts w:hint="eastAsia" w:ascii="Times New Roman" w:hAnsi="Times New Roman" w:eastAsia="宋体" w:cs="Times New Roman"/>
          <w:kern w:val="0"/>
          <w:sz w:val="24"/>
          <w:szCs w:val="24"/>
          <w:lang w:val="en-US" w:eastAsia="zh-CN" w:bidi="ar"/>
        </w:rPr>
        <w:t xml:space="preserve"> </w:t>
      </w:r>
      <w:r>
        <w:rPr>
          <w:rFonts w:hint="default" w:ascii="Times New Roman" w:hAnsi="Times New Roman" w:eastAsia="宋体" w:cs="Times New Roman"/>
          <w:kern w:val="0"/>
          <w:sz w:val="24"/>
          <w:szCs w:val="24"/>
          <w:lang w:val="en-US" w:eastAsia="zh-CN" w:bidi="ar"/>
        </w:rPr>
        <w:t>Cross-comparison of the four established Cox regression models demonstrated highly consistent prognostic results across different model specifications and treatment grouping strategies. In all models, increased tumor volume, positive lymphovascular space invasion, positive vaginal invasion, and positive lymph node metastasis consistently served as independent adverse prognostic factors for overall survival with stable hazard ratios and identical statistical significance. In contrast, endogenic growth pattern and nerve invasion consistently showed no significant prognostic impact in any model.</w:t>
      </w:r>
    </w:p>
    <w:p w14:paraId="432A1D32">
      <w:pPr>
        <w:keepNext w:val="0"/>
        <w:keepLines w:val="0"/>
        <w:widowControl/>
        <w:suppressLineNumbers w:val="0"/>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eastAsia="宋体" w:cs="Times New Roman"/>
          <w:kern w:val="0"/>
          <w:sz w:val="24"/>
          <w:szCs w:val="24"/>
          <w:lang w:val="en-US" w:eastAsia="zh-CN" w:bidi="ar"/>
        </w:rPr>
        <w:t>Regarding postoperative adjuvant treatment effects, all radiotherapy-related subgroups (radiotherapy alone, concurrent chemoradiotherapy, and combined radiotherapy-containing group) consistently exhibited HR values less than 1, while chemotherapy alone consistently showed elevated HR values. However, none of the adjuvant treatment modalities reached statistical significance in either original or stratified models. Whether radiotherapy regimens were separated into distinct subgroups or merged into a single radiotherapy-containing group, and whether pathological grade was adjusted as a covariate or controlled via stratified analysis, the null association between adjuvant treatment pattern and overall survival remained unchanged.</w:t>
      </w:r>
    </w:p>
    <w:p w14:paraId="7AF406ED">
      <w:pPr>
        <w:keepNext w:val="0"/>
        <w:keepLines w:val="0"/>
        <w:widowControl/>
        <w:suppressLineNumbers w:val="0"/>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eastAsia="宋体" w:cs="Times New Roman"/>
          <w:kern w:val="0"/>
          <w:sz w:val="24"/>
          <w:szCs w:val="24"/>
          <w:lang w:val="en-US" w:eastAsia="zh-CN" w:bidi="ar"/>
        </w:rPr>
        <w:t>The highly consistent HR estimates and statistical results across all four models indicated that the study findings were robust, not sensitive to treatment grouping definitions or the violation of the proportional hazards assumption of pathological grade.</w:t>
      </w:r>
    </w:p>
    <w:p w14:paraId="08EB74AA">
      <w:pPr>
        <w:keepNext w:val="0"/>
        <w:keepLines w:val="0"/>
        <w:widowControl/>
        <w:numPr>
          <w:ilvl w:val="0"/>
          <w:numId w:val="0"/>
        </w:numPr>
        <w:suppressLineNumbers w:val="0"/>
        <w:ind w:leftChars="0"/>
        <w:jc w:val="left"/>
        <w:rPr>
          <w:rFonts w:hint="default" w:ascii="宋体" w:hAnsi="宋体" w:eastAsia="宋体" w:cs="宋体"/>
          <w:kern w:val="0"/>
          <w:sz w:val="24"/>
          <w:szCs w:val="24"/>
          <w:lang w:val="en-US" w:eastAsia="zh-CN" w:bidi="ar"/>
        </w:rPr>
      </w:pPr>
    </w:p>
    <w:p w14:paraId="1D16C6DA">
      <w:pPr>
        <w:keepNext w:val="0"/>
        <w:keepLines w:val="0"/>
        <w:widowControl/>
        <w:numPr>
          <w:ilvl w:val="0"/>
          <w:numId w:val="0"/>
        </w:numPr>
        <w:suppressLineNumbers w:val="0"/>
        <w:ind w:leftChars="0"/>
        <w:jc w:val="left"/>
        <w:rPr>
          <w:rFonts w:hint="default" w:ascii="宋体" w:hAnsi="宋体" w:eastAsia="宋体" w:cs="宋体"/>
          <w:kern w:val="0"/>
          <w:sz w:val="24"/>
          <w:szCs w:val="24"/>
          <w:lang w:val="en-US" w:eastAsia="zh-CN" w:bidi="ar"/>
        </w:rPr>
      </w:pPr>
    </w:p>
    <w:p w14:paraId="7EE1AF96">
      <w:pPr>
        <w:keepNext w:val="0"/>
        <w:keepLines w:val="0"/>
        <w:widowControl/>
        <w:numPr>
          <w:ilvl w:val="0"/>
          <w:numId w:val="0"/>
        </w:numPr>
        <w:suppressLineNumbers w:val="0"/>
        <w:ind w:leftChars="0"/>
        <w:jc w:val="left"/>
        <w:rPr>
          <w:rFonts w:hint="default" w:ascii="宋体" w:hAnsi="宋体" w:eastAsia="宋体" w:cs="宋体"/>
          <w:kern w:val="0"/>
          <w:sz w:val="24"/>
          <w:szCs w:val="24"/>
          <w:lang w:val="en-US" w:eastAsia="zh-CN" w:bidi="ar"/>
        </w:rPr>
      </w:pPr>
    </w:p>
    <w:p w14:paraId="53921314">
      <w:pPr>
        <w:keepNext w:val="0"/>
        <w:keepLines w:val="0"/>
        <w:widowControl/>
        <w:numPr>
          <w:ilvl w:val="0"/>
          <w:numId w:val="0"/>
        </w:numPr>
        <w:suppressLineNumbers w:val="0"/>
        <w:ind w:leftChars="0"/>
        <w:jc w:val="left"/>
        <w:rPr>
          <w:rFonts w:hint="default" w:ascii="宋体" w:hAnsi="宋体" w:eastAsia="宋体" w:cs="宋体"/>
          <w:kern w:val="0"/>
          <w:sz w:val="24"/>
          <w:szCs w:val="24"/>
          <w:lang w:val="en-US" w:eastAsia="zh-CN" w:bidi="ar"/>
        </w:rPr>
      </w:pPr>
    </w:p>
    <w:p w14:paraId="4CC2A880">
      <w:pPr>
        <w:keepNext w:val="0"/>
        <w:keepLines w:val="0"/>
        <w:widowControl/>
        <w:numPr>
          <w:ilvl w:val="0"/>
          <w:numId w:val="0"/>
        </w:numPr>
        <w:suppressLineNumbers w:val="0"/>
        <w:ind w:leftChars="0"/>
        <w:jc w:val="left"/>
        <w:rPr>
          <w:rFonts w:hint="default" w:ascii="宋体" w:hAnsi="宋体" w:eastAsia="宋体" w:cs="宋体"/>
          <w:kern w:val="0"/>
          <w:sz w:val="24"/>
          <w:szCs w:val="24"/>
          <w:lang w:val="en-US" w:eastAsia="zh-CN" w:bidi="ar"/>
        </w:rPr>
      </w:pPr>
    </w:p>
    <w:p w14:paraId="224FAEBC">
      <w:pPr>
        <w:keepNext w:val="0"/>
        <w:keepLines w:val="0"/>
        <w:widowControl/>
        <w:numPr>
          <w:ilvl w:val="0"/>
          <w:numId w:val="0"/>
        </w:numPr>
        <w:suppressLineNumbers w:val="0"/>
        <w:ind w:leftChars="0"/>
        <w:jc w:val="left"/>
        <w:rPr>
          <w:rFonts w:hint="default" w:ascii="宋体" w:hAnsi="宋体" w:eastAsia="宋体" w:cs="宋体"/>
          <w:kern w:val="0"/>
          <w:sz w:val="24"/>
          <w:szCs w:val="24"/>
          <w:lang w:val="en-US" w:eastAsia="zh-CN" w:bidi="ar"/>
        </w:rPr>
      </w:pPr>
    </w:p>
    <w:p w14:paraId="25496F30">
      <w:pPr>
        <w:keepNext w:val="0"/>
        <w:keepLines w:val="0"/>
        <w:widowControl/>
        <w:numPr>
          <w:ilvl w:val="0"/>
          <w:numId w:val="0"/>
        </w:numPr>
        <w:suppressLineNumbers w:val="0"/>
        <w:ind w:leftChars="0"/>
        <w:jc w:val="left"/>
        <w:rPr>
          <w:rFonts w:hint="default" w:ascii="宋体" w:hAnsi="宋体" w:eastAsia="宋体" w:cs="宋体"/>
          <w:kern w:val="0"/>
          <w:sz w:val="24"/>
          <w:szCs w:val="24"/>
          <w:lang w:val="en-US" w:eastAsia="zh-CN" w:bidi="ar"/>
        </w:rPr>
      </w:pPr>
    </w:p>
    <w:p w14:paraId="76D9E10D">
      <w:pPr>
        <w:keepNext w:val="0"/>
        <w:keepLines w:val="0"/>
        <w:widowControl/>
        <w:numPr>
          <w:ilvl w:val="0"/>
          <w:numId w:val="0"/>
        </w:numPr>
        <w:suppressLineNumbers w:val="0"/>
        <w:ind w:leftChars="0"/>
        <w:jc w:val="left"/>
        <w:rPr>
          <w:rFonts w:hint="default" w:ascii="宋体" w:hAnsi="宋体" w:eastAsia="宋体" w:cs="宋体"/>
          <w:kern w:val="0"/>
          <w:sz w:val="24"/>
          <w:szCs w:val="24"/>
          <w:lang w:val="en-US" w:eastAsia="zh-CN" w:bidi="ar"/>
        </w:rPr>
      </w:pPr>
    </w:p>
    <w:p w14:paraId="2115C487">
      <w:pPr>
        <w:keepNext w:val="0"/>
        <w:keepLines w:val="0"/>
        <w:widowControl/>
        <w:numPr>
          <w:ilvl w:val="0"/>
          <w:numId w:val="0"/>
        </w:numPr>
        <w:suppressLineNumbers w:val="0"/>
        <w:ind w:leftChars="0"/>
        <w:jc w:val="left"/>
        <w:rPr>
          <w:rFonts w:hint="default" w:ascii="宋体" w:hAnsi="宋体" w:eastAsia="宋体" w:cs="宋体"/>
          <w:kern w:val="0"/>
          <w:sz w:val="24"/>
          <w:szCs w:val="24"/>
          <w:lang w:val="en-US" w:eastAsia="zh-CN" w:bidi="ar"/>
        </w:rPr>
      </w:pPr>
    </w:p>
    <w:p w14:paraId="55E37388">
      <w:pPr>
        <w:keepNext w:val="0"/>
        <w:keepLines w:val="0"/>
        <w:widowControl/>
        <w:numPr>
          <w:ilvl w:val="0"/>
          <w:numId w:val="0"/>
        </w:numPr>
        <w:suppressLineNumbers w:val="0"/>
        <w:ind w:leftChars="0"/>
        <w:jc w:val="left"/>
        <w:rPr>
          <w:rFonts w:hint="default" w:ascii="宋体" w:hAnsi="宋体" w:eastAsia="宋体" w:cs="宋体"/>
          <w:kern w:val="0"/>
          <w:sz w:val="24"/>
          <w:szCs w:val="24"/>
          <w:lang w:val="en-US" w:eastAsia="zh-CN" w:bidi="ar"/>
        </w:rPr>
      </w:pPr>
    </w:p>
    <w:p w14:paraId="07FC432E">
      <w:pPr>
        <w:pStyle w:val="4"/>
        <w:keepNext w:val="0"/>
        <w:keepLines w:val="0"/>
        <w:widowControl/>
        <w:suppressLineNumbers w:val="0"/>
        <w:spacing w:line="360" w:lineRule="auto"/>
        <w:jc w:val="center"/>
        <w:rPr>
          <w:rFonts w:hint="default" w:ascii="Times New Roman" w:hAnsi="Times New Roman" w:cs="Times New Roman"/>
          <w:b w:val="0"/>
          <w:bCs w:val="0"/>
        </w:rPr>
      </w:pPr>
      <w:r>
        <w:rPr>
          <w:rFonts w:hint="default" w:ascii="Times New Roman" w:hAnsi="Times New Roman" w:eastAsia="宋体" w:cs="Times New Roman"/>
          <w:b w:val="0"/>
          <w:bCs w:val="0"/>
          <w:sz w:val="24"/>
          <w:szCs w:val="24"/>
        </w:rPr>
        <w:t>Supplementary</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rPr>
        <w:t>Table</w:t>
      </w:r>
      <w:r>
        <w:rPr>
          <w:rFonts w:hint="default" w:ascii="Times New Roman" w:hAnsi="Times New Roman" w:cs="Times New Roman"/>
          <w:b w:val="0"/>
          <w:bCs w:val="0"/>
          <w:lang w:val="en-US" w:eastAsia="zh-CN"/>
        </w:rPr>
        <w:t>6</w:t>
      </w:r>
      <w:r>
        <w:rPr>
          <w:rFonts w:hint="default" w:ascii="Times New Roman" w:hAnsi="Times New Roman" w:cs="Times New Roman"/>
          <w:b w:val="0"/>
          <w:bCs w:val="0"/>
        </w:rPr>
        <w:t>. Cross-model comparison of hazard ratios and statistical significance across four Cox regression models for overall survival</w:t>
      </w:r>
    </w:p>
    <w:tbl>
      <w:tblPr>
        <w:tblStyle w:val="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00"/>
        <w:gridCol w:w="1492"/>
        <w:gridCol w:w="1579"/>
        <w:gridCol w:w="1492"/>
        <w:gridCol w:w="1580"/>
      </w:tblGrid>
      <w:tr w14:paraId="345C8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3" w:hRule="atLeast"/>
        </w:trPr>
        <w:tc>
          <w:tcPr>
            <w:tcW w:w="1404" w:type="pct"/>
            <w:tcBorders>
              <w:top w:val="single" w:color="auto" w:sz="12" w:space="0"/>
              <w:left w:val="nil"/>
              <w:bottom w:val="nil"/>
              <w:right w:val="nil"/>
            </w:tcBorders>
            <w:shd w:val="clear" w:color="auto" w:fill="auto"/>
            <w:noWrap w:val="0"/>
            <w:tcMar>
              <w:top w:w="120" w:type="dxa"/>
              <w:left w:w="120" w:type="dxa"/>
              <w:bottom w:w="120" w:type="dxa"/>
              <w:right w:w="120" w:type="dxa"/>
            </w:tcMar>
            <w:vAlign w:val="top"/>
          </w:tcPr>
          <w:p w14:paraId="5EBA3D1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Style w:val="8"/>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Variable</w:t>
            </w:r>
          </w:p>
        </w:tc>
        <w:tc>
          <w:tcPr>
            <w:tcW w:w="873" w:type="pct"/>
            <w:tcBorders>
              <w:top w:val="single" w:color="auto" w:sz="12" w:space="0"/>
              <w:left w:val="nil"/>
              <w:bottom w:val="nil"/>
              <w:right w:val="nil"/>
            </w:tcBorders>
            <w:shd w:val="clear" w:color="auto" w:fill="auto"/>
            <w:noWrap w:val="0"/>
            <w:tcMar>
              <w:top w:w="120" w:type="dxa"/>
              <w:left w:w="120" w:type="dxa"/>
              <w:bottom w:w="120" w:type="dxa"/>
              <w:right w:w="120" w:type="dxa"/>
            </w:tcMar>
            <w:vAlign w:val="top"/>
          </w:tcPr>
          <w:p w14:paraId="6FE8244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Model 1Four-category original</w:t>
            </w:r>
          </w:p>
        </w:tc>
        <w:tc>
          <w:tcPr>
            <w:tcW w:w="924" w:type="pct"/>
            <w:tcBorders>
              <w:top w:val="single" w:color="auto" w:sz="12" w:space="0"/>
              <w:left w:val="nil"/>
              <w:bottom w:val="nil"/>
              <w:right w:val="nil"/>
            </w:tcBorders>
            <w:shd w:val="clear" w:color="auto" w:fill="auto"/>
            <w:noWrap w:val="0"/>
            <w:tcMar>
              <w:top w:w="120" w:type="dxa"/>
              <w:left w:w="120" w:type="dxa"/>
              <w:bottom w:w="120" w:type="dxa"/>
              <w:right w:w="120" w:type="dxa"/>
            </w:tcMar>
            <w:vAlign w:val="top"/>
          </w:tcPr>
          <w:p w14:paraId="22F4E9D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Model 2Three-category original</w:t>
            </w:r>
          </w:p>
        </w:tc>
        <w:tc>
          <w:tcPr>
            <w:tcW w:w="873" w:type="pct"/>
            <w:tcBorders>
              <w:top w:val="single" w:color="auto" w:sz="12" w:space="0"/>
              <w:left w:val="nil"/>
              <w:bottom w:val="nil"/>
              <w:right w:val="nil"/>
            </w:tcBorders>
            <w:shd w:val="clear" w:color="auto" w:fill="auto"/>
            <w:noWrap w:val="0"/>
            <w:tcMar>
              <w:top w:w="120" w:type="dxa"/>
              <w:left w:w="120" w:type="dxa"/>
              <w:bottom w:w="120" w:type="dxa"/>
              <w:right w:w="120" w:type="dxa"/>
            </w:tcMar>
            <w:vAlign w:val="top"/>
          </w:tcPr>
          <w:p w14:paraId="534B09F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Model 3Four-category stratified (gPG)</w:t>
            </w:r>
          </w:p>
        </w:tc>
        <w:tc>
          <w:tcPr>
            <w:tcW w:w="924" w:type="pct"/>
            <w:tcBorders>
              <w:top w:val="single" w:color="auto" w:sz="12" w:space="0"/>
              <w:left w:val="nil"/>
              <w:bottom w:val="nil"/>
              <w:right w:val="nil"/>
            </w:tcBorders>
            <w:shd w:val="clear" w:color="auto" w:fill="auto"/>
            <w:noWrap w:val="0"/>
            <w:tcMar>
              <w:top w:w="120" w:type="dxa"/>
              <w:left w:w="120" w:type="dxa"/>
              <w:bottom w:w="120" w:type="dxa"/>
              <w:right w:w="120" w:type="dxa"/>
            </w:tcMar>
            <w:vAlign w:val="top"/>
          </w:tcPr>
          <w:p w14:paraId="72804FF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Model 4Three-category stratified (gPG)</w:t>
            </w:r>
          </w:p>
        </w:tc>
      </w:tr>
      <w:tr w14:paraId="7D8F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3" w:hRule="atLeast"/>
        </w:trPr>
        <w:tc>
          <w:tcPr>
            <w:tcW w:w="1404" w:type="pct"/>
            <w:tcBorders>
              <w:top w:val="single" w:color="auto" w:sz="4" w:space="0"/>
              <w:left w:val="nil"/>
              <w:bottom w:val="nil"/>
              <w:right w:val="nil"/>
            </w:tcBorders>
            <w:shd w:val="clear" w:color="auto" w:fill="auto"/>
            <w:noWrap w:val="0"/>
            <w:tcMar>
              <w:top w:w="120" w:type="dxa"/>
              <w:left w:w="120" w:type="dxa"/>
              <w:bottom w:w="120" w:type="dxa"/>
              <w:right w:w="120" w:type="dxa"/>
            </w:tcMar>
            <w:vAlign w:val="top"/>
          </w:tcPr>
          <w:p w14:paraId="4A7B85C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TV</w:t>
            </w:r>
          </w:p>
        </w:tc>
        <w:tc>
          <w:tcPr>
            <w:tcW w:w="873" w:type="pct"/>
            <w:tcBorders>
              <w:top w:val="single" w:color="auto" w:sz="4" w:space="0"/>
              <w:left w:val="nil"/>
              <w:bottom w:val="nil"/>
              <w:right w:val="nil"/>
            </w:tcBorders>
            <w:shd w:val="clear" w:color="auto" w:fill="auto"/>
            <w:noWrap w:val="0"/>
            <w:tcMar>
              <w:top w:w="120" w:type="dxa"/>
              <w:left w:w="120" w:type="dxa"/>
              <w:bottom w:w="120" w:type="dxa"/>
              <w:right w:w="120" w:type="dxa"/>
            </w:tcMar>
            <w:vAlign w:val="top"/>
          </w:tcPr>
          <w:p w14:paraId="3CBBF21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HR=1.006, P=0.005</w:t>
            </w:r>
          </w:p>
        </w:tc>
        <w:tc>
          <w:tcPr>
            <w:tcW w:w="924" w:type="pct"/>
            <w:tcBorders>
              <w:top w:val="single" w:color="auto" w:sz="4" w:space="0"/>
              <w:left w:val="nil"/>
              <w:bottom w:val="nil"/>
              <w:right w:val="nil"/>
            </w:tcBorders>
            <w:shd w:val="clear" w:color="auto" w:fill="auto"/>
            <w:noWrap w:val="0"/>
            <w:tcMar>
              <w:top w:w="120" w:type="dxa"/>
              <w:left w:w="120" w:type="dxa"/>
              <w:bottom w:w="120" w:type="dxa"/>
              <w:right w:w="120" w:type="dxa"/>
            </w:tcMar>
            <w:vAlign w:val="top"/>
          </w:tcPr>
          <w:p w14:paraId="2A540BE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HR=1.006, P=0.006</w:t>
            </w:r>
          </w:p>
        </w:tc>
        <w:tc>
          <w:tcPr>
            <w:tcW w:w="873" w:type="pct"/>
            <w:tcBorders>
              <w:top w:val="single" w:color="auto" w:sz="4" w:space="0"/>
              <w:left w:val="nil"/>
              <w:bottom w:val="nil"/>
              <w:right w:val="nil"/>
            </w:tcBorders>
            <w:shd w:val="clear" w:color="auto" w:fill="auto"/>
            <w:noWrap w:val="0"/>
            <w:tcMar>
              <w:top w:w="120" w:type="dxa"/>
              <w:left w:w="120" w:type="dxa"/>
              <w:bottom w:w="120" w:type="dxa"/>
              <w:right w:w="120" w:type="dxa"/>
            </w:tcMar>
            <w:vAlign w:val="top"/>
          </w:tcPr>
          <w:p w14:paraId="353DCB2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HR=1.006, P=0.007</w:t>
            </w:r>
          </w:p>
        </w:tc>
        <w:tc>
          <w:tcPr>
            <w:tcW w:w="924" w:type="pct"/>
            <w:tcBorders>
              <w:top w:val="single" w:color="auto" w:sz="4" w:space="0"/>
              <w:left w:val="nil"/>
              <w:bottom w:val="nil"/>
              <w:right w:val="nil"/>
            </w:tcBorders>
            <w:shd w:val="clear" w:color="auto" w:fill="auto"/>
            <w:noWrap w:val="0"/>
            <w:tcMar>
              <w:top w:w="120" w:type="dxa"/>
              <w:left w:w="120" w:type="dxa"/>
              <w:bottom w:w="120" w:type="dxa"/>
              <w:right w:w="120" w:type="dxa"/>
            </w:tcMar>
            <w:vAlign w:val="top"/>
          </w:tcPr>
          <w:p w14:paraId="575C2BC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HR=1.006, P=0.008</w:t>
            </w:r>
          </w:p>
        </w:tc>
      </w:tr>
      <w:tr w14:paraId="31DF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3" w:hRule="atLeast"/>
        </w:trPr>
        <w:tc>
          <w:tcPr>
            <w:tcW w:w="1404" w:type="pct"/>
            <w:tcBorders>
              <w:top w:val="nil"/>
              <w:left w:val="nil"/>
              <w:bottom w:val="nil"/>
              <w:right w:val="nil"/>
            </w:tcBorders>
            <w:shd w:val="clear" w:color="auto" w:fill="auto"/>
            <w:noWrap w:val="0"/>
            <w:tcMar>
              <w:top w:w="120" w:type="dxa"/>
              <w:left w:w="120" w:type="dxa"/>
              <w:bottom w:w="120" w:type="dxa"/>
              <w:right w:w="120" w:type="dxa"/>
            </w:tcMar>
            <w:vAlign w:val="top"/>
          </w:tcPr>
          <w:p w14:paraId="25B8F0B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LVSI</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27965A0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HR=1.976, P&lt;0.001</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2E38933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HR=1.953, P&lt;0.001</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43A4383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HR=1.961, P&lt;0.001</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6404557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HR=1.939, P&lt;0.001</w:t>
            </w:r>
          </w:p>
        </w:tc>
      </w:tr>
      <w:tr w14:paraId="52BAE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3" w:hRule="atLeast"/>
        </w:trPr>
        <w:tc>
          <w:tcPr>
            <w:tcW w:w="1404" w:type="pct"/>
            <w:tcBorders>
              <w:top w:val="nil"/>
              <w:left w:val="nil"/>
              <w:bottom w:val="nil"/>
              <w:right w:val="nil"/>
            </w:tcBorders>
            <w:shd w:val="clear" w:color="auto" w:fill="auto"/>
            <w:noWrap w:val="0"/>
            <w:tcMar>
              <w:top w:w="120" w:type="dxa"/>
              <w:left w:w="120" w:type="dxa"/>
              <w:bottom w:w="120" w:type="dxa"/>
              <w:right w:w="120" w:type="dxa"/>
            </w:tcMar>
            <w:vAlign w:val="top"/>
          </w:tcPr>
          <w:p w14:paraId="46BC1E0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gVI</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38E7FB9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HR=1.758, P=0.001</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4BC4275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HR=1.774, P=0.001</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710AE72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HR=1.753, P=0.001</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39E08AB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HR=1.768, P&lt;0.001</w:t>
            </w:r>
          </w:p>
        </w:tc>
      </w:tr>
      <w:tr w14:paraId="3082F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3" w:hRule="atLeast"/>
        </w:trPr>
        <w:tc>
          <w:tcPr>
            <w:tcW w:w="1404" w:type="pct"/>
            <w:tcBorders>
              <w:top w:val="nil"/>
              <w:left w:val="nil"/>
              <w:bottom w:val="nil"/>
              <w:right w:val="nil"/>
            </w:tcBorders>
            <w:shd w:val="clear" w:color="auto" w:fill="auto"/>
            <w:noWrap w:val="0"/>
            <w:tcMar>
              <w:top w:w="120" w:type="dxa"/>
              <w:left w:w="120" w:type="dxa"/>
              <w:bottom w:w="120" w:type="dxa"/>
              <w:right w:w="120" w:type="dxa"/>
            </w:tcMar>
            <w:vAlign w:val="top"/>
          </w:tcPr>
          <w:p w14:paraId="396298C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gLNM1</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7F5DD59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HR=2.929, P&lt;0.001</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61986BC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HR=2.846, P&lt;0.001</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3A92164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HR=2.938, P&lt;0.001</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3623235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HR=2.856, P&lt;0.001</w:t>
            </w:r>
          </w:p>
        </w:tc>
      </w:tr>
      <w:tr w14:paraId="74F41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3" w:hRule="atLeast"/>
        </w:trPr>
        <w:tc>
          <w:tcPr>
            <w:tcW w:w="1404" w:type="pct"/>
            <w:tcBorders>
              <w:top w:val="nil"/>
              <w:left w:val="nil"/>
              <w:bottom w:val="nil"/>
              <w:right w:val="nil"/>
            </w:tcBorders>
            <w:shd w:val="clear" w:color="auto" w:fill="auto"/>
            <w:noWrap w:val="0"/>
            <w:tcMar>
              <w:top w:w="120" w:type="dxa"/>
              <w:left w:w="120" w:type="dxa"/>
              <w:bottom w:w="120" w:type="dxa"/>
              <w:right w:w="120" w:type="dxa"/>
            </w:tcMar>
            <w:vAlign w:val="top"/>
          </w:tcPr>
          <w:p w14:paraId="7888561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gEOE</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72DB20A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HR=1.771, P=0.148</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40B317A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HR=1.779, P=0.145</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51803E3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HR=1.759, P=0.153</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5EE3CF2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HR=1.770, P=0.149</w:t>
            </w:r>
          </w:p>
        </w:tc>
      </w:tr>
      <w:tr w14:paraId="11B4B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3" w:hRule="atLeast"/>
        </w:trPr>
        <w:tc>
          <w:tcPr>
            <w:tcW w:w="1404" w:type="pct"/>
            <w:tcBorders>
              <w:top w:val="nil"/>
              <w:left w:val="nil"/>
              <w:bottom w:val="nil"/>
              <w:right w:val="nil"/>
            </w:tcBorders>
            <w:shd w:val="clear" w:color="auto" w:fill="auto"/>
            <w:noWrap w:val="0"/>
            <w:tcMar>
              <w:top w:w="120" w:type="dxa"/>
              <w:left w:w="120" w:type="dxa"/>
              <w:bottom w:w="120" w:type="dxa"/>
              <w:right w:w="120" w:type="dxa"/>
            </w:tcMar>
            <w:vAlign w:val="top"/>
          </w:tcPr>
          <w:p w14:paraId="66A593E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gN</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27949A4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HR=1.358, P=0.329</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2EF7FC9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HR=1.370, P=0.314</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29E4D00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HR=1.345, P=0.346</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4F2725C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HR=1.360, P=0.327</w:t>
            </w:r>
          </w:p>
        </w:tc>
      </w:tr>
      <w:tr w14:paraId="7E46E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3" w:hRule="atLeast"/>
        </w:trPr>
        <w:tc>
          <w:tcPr>
            <w:tcW w:w="1404" w:type="pct"/>
            <w:tcBorders>
              <w:top w:val="nil"/>
              <w:left w:val="nil"/>
              <w:bottom w:val="nil"/>
              <w:right w:val="nil"/>
            </w:tcBorders>
            <w:shd w:val="clear" w:color="auto" w:fill="auto"/>
            <w:noWrap w:val="0"/>
            <w:tcMar>
              <w:top w:w="120" w:type="dxa"/>
              <w:left w:w="120" w:type="dxa"/>
              <w:bottom w:w="120" w:type="dxa"/>
              <w:right w:w="120" w:type="dxa"/>
            </w:tcMar>
            <w:vAlign w:val="top"/>
          </w:tcPr>
          <w:p w14:paraId="75182A8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Radiotherapy alone</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4C68839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HR=0.851, P=0.564</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00A853B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1468296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HR=0.844, P=0.544</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57D0F7B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w:t>
            </w:r>
          </w:p>
        </w:tc>
      </w:tr>
      <w:tr w14:paraId="4A307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3" w:hRule="atLeast"/>
        </w:trPr>
        <w:tc>
          <w:tcPr>
            <w:tcW w:w="1404" w:type="pct"/>
            <w:tcBorders>
              <w:top w:val="nil"/>
              <w:left w:val="nil"/>
              <w:bottom w:val="nil"/>
              <w:right w:val="nil"/>
            </w:tcBorders>
            <w:shd w:val="clear" w:color="auto" w:fill="auto"/>
            <w:noWrap w:val="0"/>
            <w:tcMar>
              <w:top w:w="120" w:type="dxa"/>
              <w:left w:w="120" w:type="dxa"/>
              <w:bottom w:w="120" w:type="dxa"/>
              <w:right w:w="120" w:type="dxa"/>
            </w:tcMar>
            <w:vAlign w:val="top"/>
          </w:tcPr>
          <w:p w14:paraId="68B354A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Chemotherapy alone</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70D0FAA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HR=2.190, P=0.212</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45055E4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HR=2.203, P=0.208</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3800501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HR=2.158, P=0.220</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1FAD3AA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HR=2.170, P=0.217</w:t>
            </w:r>
          </w:p>
        </w:tc>
      </w:tr>
      <w:tr w14:paraId="44757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3" w:hRule="atLeast"/>
        </w:trPr>
        <w:tc>
          <w:tcPr>
            <w:tcW w:w="1404" w:type="pct"/>
            <w:tcBorders>
              <w:top w:val="nil"/>
              <w:left w:val="nil"/>
              <w:bottom w:val="nil"/>
              <w:right w:val="nil"/>
            </w:tcBorders>
            <w:shd w:val="clear" w:color="auto" w:fill="auto"/>
            <w:noWrap w:val="0"/>
            <w:tcMar>
              <w:top w:w="120" w:type="dxa"/>
              <w:left w:w="120" w:type="dxa"/>
              <w:bottom w:w="120" w:type="dxa"/>
              <w:right w:w="120" w:type="dxa"/>
            </w:tcMar>
            <w:vAlign w:val="top"/>
          </w:tcPr>
          <w:p w14:paraId="214959E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Concurrent chemoradiotherapy</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39CC985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HR=0.725, P=0.264</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1064F38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w:t>
            </w:r>
          </w:p>
        </w:tc>
        <w:tc>
          <w:tcPr>
            <w:tcW w:w="873" w:type="pct"/>
            <w:tcBorders>
              <w:top w:val="nil"/>
              <w:left w:val="nil"/>
              <w:bottom w:val="nil"/>
              <w:right w:val="nil"/>
            </w:tcBorders>
            <w:shd w:val="clear" w:color="auto" w:fill="auto"/>
            <w:noWrap w:val="0"/>
            <w:tcMar>
              <w:top w:w="120" w:type="dxa"/>
              <w:left w:w="120" w:type="dxa"/>
              <w:bottom w:w="120" w:type="dxa"/>
              <w:right w:w="120" w:type="dxa"/>
            </w:tcMar>
            <w:vAlign w:val="top"/>
          </w:tcPr>
          <w:p w14:paraId="4859F68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HR=0.723, P=0.260</w:t>
            </w:r>
          </w:p>
        </w:tc>
        <w:tc>
          <w:tcPr>
            <w:tcW w:w="924" w:type="pct"/>
            <w:tcBorders>
              <w:top w:val="nil"/>
              <w:left w:val="nil"/>
              <w:bottom w:val="nil"/>
              <w:right w:val="nil"/>
            </w:tcBorders>
            <w:shd w:val="clear" w:color="auto" w:fill="auto"/>
            <w:noWrap w:val="0"/>
            <w:tcMar>
              <w:top w:w="120" w:type="dxa"/>
              <w:left w:w="120" w:type="dxa"/>
              <w:bottom w:w="120" w:type="dxa"/>
              <w:right w:w="120" w:type="dxa"/>
            </w:tcMar>
            <w:vAlign w:val="top"/>
          </w:tcPr>
          <w:p w14:paraId="0DA1F08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w:t>
            </w:r>
          </w:p>
        </w:tc>
      </w:tr>
      <w:tr w14:paraId="73704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3" w:hRule="atLeast"/>
        </w:trPr>
        <w:tc>
          <w:tcPr>
            <w:tcW w:w="1404" w:type="pct"/>
            <w:tcBorders>
              <w:top w:val="nil"/>
              <w:left w:val="nil"/>
              <w:bottom w:val="single" w:color="DEE0E3" w:sz="12" w:space="0"/>
              <w:right w:val="nil"/>
            </w:tcBorders>
            <w:shd w:val="clear" w:color="auto" w:fill="auto"/>
            <w:noWrap w:val="0"/>
            <w:tcMar>
              <w:top w:w="120" w:type="dxa"/>
              <w:left w:w="120" w:type="dxa"/>
              <w:bottom w:w="120" w:type="dxa"/>
              <w:right w:w="120" w:type="dxa"/>
            </w:tcMar>
            <w:vAlign w:val="top"/>
          </w:tcPr>
          <w:p w14:paraId="663FE16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b w:val="0"/>
                <w:bCs/>
                <w:sz w:val="18"/>
                <w:szCs w:val="18"/>
              </w:rPr>
            </w:pPr>
            <w:r>
              <w:rPr>
                <w:rStyle w:val="8"/>
                <w:rFonts w:hint="default" w:ascii="Times New Roman" w:hAnsi="Times New Roman" w:eastAsia="宋体" w:cs="Times New Roman"/>
                <w:b w:val="0"/>
                <w:bCs/>
                <w:kern w:val="0"/>
                <w:sz w:val="18"/>
                <w:szCs w:val="18"/>
                <w:lang w:val="en-US" w:eastAsia="zh-CN" w:bidi="ar"/>
              </w:rPr>
              <w:t>Radiotherapy-containing therapy</w:t>
            </w:r>
          </w:p>
        </w:tc>
        <w:tc>
          <w:tcPr>
            <w:tcW w:w="873" w:type="pct"/>
            <w:tcBorders>
              <w:top w:val="nil"/>
              <w:left w:val="nil"/>
              <w:bottom w:val="single" w:color="DEE0E3" w:sz="12" w:space="0"/>
              <w:right w:val="nil"/>
            </w:tcBorders>
            <w:shd w:val="clear" w:color="auto" w:fill="auto"/>
            <w:noWrap w:val="0"/>
            <w:tcMar>
              <w:top w:w="120" w:type="dxa"/>
              <w:left w:w="120" w:type="dxa"/>
              <w:bottom w:w="120" w:type="dxa"/>
              <w:right w:w="120" w:type="dxa"/>
            </w:tcMar>
            <w:vAlign w:val="top"/>
          </w:tcPr>
          <w:p w14:paraId="3C2A388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w:t>
            </w:r>
          </w:p>
        </w:tc>
        <w:tc>
          <w:tcPr>
            <w:tcW w:w="924" w:type="pct"/>
            <w:tcBorders>
              <w:top w:val="nil"/>
              <w:left w:val="nil"/>
              <w:bottom w:val="single" w:color="DEE0E3" w:sz="12" w:space="0"/>
              <w:right w:val="nil"/>
            </w:tcBorders>
            <w:shd w:val="clear" w:color="auto" w:fill="auto"/>
            <w:noWrap w:val="0"/>
            <w:tcMar>
              <w:top w:w="120" w:type="dxa"/>
              <w:left w:w="120" w:type="dxa"/>
              <w:bottom w:w="120" w:type="dxa"/>
              <w:right w:w="120" w:type="dxa"/>
            </w:tcMar>
            <w:vAlign w:val="top"/>
          </w:tcPr>
          <w:p w14:paraId="4FFC7B3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HR=0.791, P=0.381</w:t>
            </w:r>
          </w:p>
        </w:tc>
        <w:tc>
          <w:tcPr>
            <w:tcW w:w="873" w:type="pct"/>
            <w:tcBorders>
              <w:top w:val="nil"/>
              <w:left w:val="nil"/>
              <w:bottom w:val="single" w:color="DEE0E3" w:sz="12" w:space="0"/>
              <w:right w:val="nil"/>
            </w:tcBorders>
            <w:shd w:val="clear" w:color="auto" w:fill="auto"/>
            <w:noWrap w:val="0"/>
            <w:tcMar>
              <w:top w:w="120" w:type="dxa"/>
              <w:left w:w="120" w:type="dxa"/>
              <w:bottom w:w="120" w:type="dxa"/>
              <w:right w:w="120" w:type="dxa"/>
            </w:tcMar>
            <w:vAlign w:val="top"/>
          </w:tcPr>
          <w:p w14:paraId="2F231A8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w:t>
            </w:r>
          </w:p>
        </w:tc>
        <w:tc>
          <w:tcPr>
            <w:tcW w:w="924" w:type="pct"/>
            <w:tcBorders>
              <w:top w:val="nil"/>
              <w:left w:val="nil"/>
              <w:bottom w:val="single" w:color="DEE0E3" w:sz="12" w:space="0"/>
              <w:right w:val="nil"/>
            </w:tcBorders>
            <w:shd w:val="clear" w:color="auto" w:fill="auto"/>
            <w:noWrap w:val="0"/>
            <w:tcMar>
              <w:top w:w="120" w:type="dxa"/>
              <w:left w:w="120" w:type="dxa"/>
              <w:bottom w:w="120" w:type="dxa"/>
              <w:right w:w="120" w:type="dxa"/>
            </w:tcMar>
            <w:vAlign w:val="top"/>
          </w:tcPr>
          <w:p w14:paraId="5F8A5CF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HR=0.787, P=0.371</w:t>
            </w:r>
          </w:p>
        </w:tc>
      </w:tr>
    </w:tbl>
    <w:p w14:paraId="2C15B575">
      <w:pPr>
        <w:keepNext w:val="0"/>
        <w:keepLines w:val="0"/>
        <w:widowControl/>
        <w:numPr>
          <w:ilvl w:val="0"/>
          <w:numId w:val="0"/>
        </w:numPr>
        <w:suppressLineNumbers w:val="0"/>
        <w:ind w:leftChars="0"/>
        <w:jc w:val="left"/>
        <w:rPr>
          <w:rFonts w:hint="default" w:ascii="宋体" w:hAnsi="宋体" w:eastAsia="宋体" w:cs="宋体"/>
          <w:kern w:val="0"/>
          <w:sz w:val="24"/>
          <w:szCs w:val="24"/>
          <w:lang w:val="en-US" w:eastAsia="zh-CN" w:bidi="ar"/>
        </w:rPr>
      </w:pPr>
    </w:p>
    <w:p w14:paraId="3FA84325">
      <w:pPr>
        <w:keepNext w:val="0"/>
        <w:keepLines w:val="0"/>
        <w:widowControl/>
        <w:suppressLineNumbers w:val="0"/>
        <w:jc w:val="left"/>
        <w:rPr>
          <w:rFonts w:hint="default" w:ascii="Times New Roman" w:hAnsi="Times New Roman" w:eastAsia="宋体" w:cs="Times New Roman"/>
          <w:kern w:val="0"/>
          <w:sz w:val="18"/>
          <w:szCs w:val="18"/>
          <w:lang w:val="en-US" w:eastAsia="zh-CN" w:bidi="ar"/>
        </w:rPr>
      </w:pPr>
      <w:r>
        <w:rPr>
          <w:rStyle w:val="8"/>
          <w:rFonts w:hint="default" w:ascii="Times New Roman" w:hAnsi="Times New Roman" w:eastAsia="宋体" w:cs="Times New Roman"/>
          <w:b w:val="0"/>
          <w:bCs/>
          <w:kern w:val="0"/>
          <w:sz w:val="18"/>
          <w:szCs w:val="18"/>
          <w:lang w:val="en-US" w:eastAsia="zh-CN" w:bidi="ar"/>
        </w:rPr>
        <w:t>Footnote.</w:t>
      </w:r>
      <w:r>
        <w:rPr>
          <w:rFonts w:hint="default" w:ascii="Times New Roman" w:hAnsi="Times New Roman" w:eastAsia="宋体" w:cs="Times New Roman"/>
          <w:b w:val="0"/>
          <w:bCs/>
          <w:kern w:val="0"/>
          <w:sz w:val="18"/>
          <w:szCs w:val="18"/>
          <w:lang w:val="en-US" w:eastAsia="zh-CN" w:bidi="ar"/>
        </w:rPr>
        <w:t xml:space="preserve"> </w:t>
      </w:r>
      <w:r>
        <w:rPr>
          <w:rFonts w:hint="default" w:ascii="Times New Roman" w:hAnsi="Times New Roman" w:eastAsia="宋体" w:cs="Times New Roman"/>
          <w:kern w:val="0"/>
          <w:sz w:val="18"/>
          <w:szCs w:val="18"/>
          <w:lang w:val="en-US" w:eastAsia="zh-CN" w:bidi="ar"/>
        </w:rPr>
        <w:t>Model 1: original four-category Cox model; Model 2: original three-category combined radiotherapy model; Model 3: four-category stratified Cox model (stratified by pathological grade); Model 4: three-category stratified Cox model (stratified by pathological grade). “—” indicates the variable was not defined in the corresponding grouping strategy. HR, hazard ratio.</w:t>
      </w:r>
    </w:p>
    <w:p w14:paraId="73E55BC5">
      <w:pPr>
        <w:keepNext w:val="0"/>
        <w:keepLines w:val="0"/>
        <w:widowControl/>
        <w:suppressLineNumbers w:val="0"/>
        <w:jc w:val="left"/>
        <w:rPr>
          <w:rFonts w:hint="default" w:ascii="Times New Roman" w:hAnsi="Times New Roman" w:eastAsia="宋体" w:cs="Times New Roman"/>
          <w:kern w:val="0"/>
          <w:sz w:val="18"/>
          <w:szCs w:val="18"/>
          <w:lang w:val="en-US" w:eastAsia="zh-CN" w:bidi="ar"/>
        </w:rPr>
      </w:pPr>
    </w:p>
    <w:p w14:paraId="03E2469F">
      <w:pPr>
        <w:keepNext w:val="0"/>
        <w:keepLines w:val="0"/>
        <w:widowControl/>
        <w:suppressLineNumbers w:val="0"/>
        <w:jc w:val="left"/>
        <w:rPr>
          <w:rFonts w:hint="default" w:ascii="Times New Roman" w:hAnsi="Times New Roman" w:eastAsia="宋体" w:cs="Times New Roman"/>
          <w:kern w:val="0"/>
          <w:sz w:val="18"/>
          <w:szCs w:val="18"/>
          <w:lang w:val="en-US" w:eastAsia="zh-CN" w:bidi="ar"/>
        </w:rPr>
      </w:pPr>
    </w:p>
    <w:p w14:paraId="1E03215B">
      <w:pPr>
        <w:keepNext w:val="0"/>
        <w:keepLines w:val="0"/>
        <w:widowControl/>
        <w:suppressLineNumbers w:val="0"/>
        <w:jc w:val="left"/>
        <w:rPr>
          <w:rFonts w:hint="default" w:ascii="Times New Roman" w:hAnsi="Times New Roman" w:eastAsia="宋体" w:cs="Times New Roman"/>
          <w:kern w:val="0"/>
          <w:sz w:val="18"/>
          <w:szCs w:val="18"/>
          <w:lang w:val="en-US" w:eastAsia="zh-CN" w:bidi="ar"/>
        </w:rPr>
      </w:pPr>
    </w:p>
    <w:p w14:paraId="471A5832">
      <w:pPr>
        <w:keepNext w:val="0"/>
        <w:keepLines w:val="0"/>
        <w:widowControl/>
        <w:suppressLineNumbers w:val="0"/>
        <w:jc w:val="left"/>
        <w:rPr>
          <w:rFonts w:hint="default" w:ascii="Times New Roman" w:hAnsi="Times New Roman" w:eastAsia="宋体" w:cs="Times New Roman"/>
          <w:kern w:val="0"/>
          <w:sz w:val="18"/>
          <w:szCs w:val="18"/>
          <w:lang w:val="en-US" w:eastAsia="zh-CN" w:bidi="ar"/>
        </w:rPr>
      </w:pPr>
    </w:p>
    <w:p w14:paraId="6616F7EE">
      <w:pPr>
        <w:pStyle w:val="5"/>
        <w:keepNext w:val="0"/>
        <w:keepLines w:val="0"/>
        <w:widowControl/>
        <w:numPr>
          <w:ilvl w:val="0"/>
          <w:numId w:val="0"/>
        </w:numPr>
        <w:suppressLineNumbers w:val="0"/>
        <w:spacing w:line="360" w:lineRule="auto"/>
        <w:ind w:right="0" w:rightChars="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Figure S1. Circular stepwise flow chart illustrating patient screening and exclusion procedures of the retrospective analysis. Cumulative excluded cases = 1260, final analytical cohort = 788 patients.</w:t>
      </w:r>
      <w:bookmarkStart w:id="0" w:name="_GoBack"/>
      <w:bookmarkEnd w:id="0"/>
    </w:p>
    <w:p w14:paraId="3A88EC88">
      <w:pPr>
        <w:keepNext w:val="0"/>
        <w:keepLines w:val="0"/>
        <w:widowControl/>
        <w:suppressLineNumbers w:val="0"/>
        <w:jc w:val="left"/>
        <w:rPr>
          <w:rFonts w:hint="default" w:ascii="Times New Roman" w:hAnsi="Times New Roman" w:eastAsia="宋体" w:cs="Times New Roman"/>
          <w:kern w:val="0"/>
          <w:sz w:val="18"/>
          <w:szCs w:val="18"/>
          <w:lang w:val="en-US" w:eastAsia="zh-CN" w:bidi="ar"/>
        </w:rPr>
      </w:pPr>
      <w:r>
        <w:drawing>
          <wp:inline distT="0" distB="0" distL="114300" distR="114300">
            <wp:extent cx="5273675" cy="524510"/>
            <wp:effectExtent l="0" t="0" r="3175"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73675" cy="524510"/>
                    </a:xfrm>
                    <a:prstGeom prst="rect">
                      <a:avLst/>
                    </a:prstGeom>
                    <a:noFill/>
                    <a:ln>
                      <a:noFill/>
                    </a:ln>
                  </pic:spPr>
                </pic:pic>
              </a:graphicData>
            </a:graphic>
          </wp:inline>
        </w:drawing>
      </w:r>
    </w:p>
    <w:p w14:paraId="4F218F98">
      <w:pPr>
        <w:keepNext w:val="0"/>
        <w:keepLines w:val="0"/>
        <w:widowControl/>
        <w:suppressLineNumbers w:val="0"/>
        <w:jc w:val="left"/>
        <w:rPr>
          <w:rFonts w:hint="default" w:ascii="Times New Roman" w:hAnsi="Times New Roman" w:eastAsia="宋体" w:cs="Times New Roman"/>
          <w:kern w:val="0"/>
          <w:sz w:val="18"/>
          <w:szCs w:val="18"/>
          <w:lang w:val="en-US" w:eastAsia="zh-CN" w:bidi="ar"/>
        </w:rPr>
      </w:pPr>
    </w:p>
    <w:p w14:paraId="20532FBD">
      <w:pPr>
        <w:widowControl w:val="0"/>
        <w:numPr>
          <w:ilvl w:val="0"/>
          <w:numId w:val="0"/>
        </w:numPr>
        <w:spacing w:line="360" w:lineRule="auto"/>
        <w:jc w:val="both"/>
        <w:rPr>
          <w:rFonts w:hint="default" w:ascii="Times New Roman" w:hAnsi="Times New Roman" w:eastAsia="宋体" w:cs="Times New Roman"/>
          <w:sz w:val="24"/>
          <w:szCs w:val="24"/>
          <w:lang w:val="en-US" w:eastAsia="zh-CN"/>
        </w:rPr>
      </w:pPr>
    </w:p>
    <w:p w14:paraId="3BCCF117">
      <w:pPr>
        <w:widowControl w:val="0"/>
        <w:numPr>
          <w:ilvl w:val="0"/>
          <w:numId w:val="0"/>
        </w:numPr>
        <w:spacing w:line="360" w:lineRule="auto"/>
        <w:jc w:val="both"/>
        <w:rPr>
          <w:rFonts w:hint="default" w:ascii="Times New Roman" w:hAnsi="Times New Roman" w:eastAsia="宋体" w:cs="Times New Roman"/>
          <w:sz w:val="24"/>
          <w:szCs w:val="24"/>
          <w:lang w:val="en-US" w:eastAsia="zh-CN"/>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AD3DD"/>
    <w:multiLevelType w:val="singleLevel"/>
    <w:tmpl w:val="70EAD3DD"/>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705EEF"/>
    <w:rsid w:val="0CF90EA0"/>
    <w:rsid w:val="12D312F0"/>
    <w:rsid w:val="186A12E4"/>
    <w:rsid w:val="21034066"/>
    <w:rsid w:val="26215F4F"/>
    <w:rsid w:val="4E705EEF"/>
    <w:rsid w:val="4F815A58"/>
    <w:rsid w:val="5FA25CD8"/>
    <w:rsid w:val="673A29F1"/>
    <w:rsid w:val="6DAD6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TML Code"/>
    <w:basedOn w:val="7"/>
    <w:uiPriority w:val="0"/>
    <w:rPr>
      <w:rFonts w:ascii="Courier New" w:hAnsi="Courier New"/>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1698</Words>
  <Characters>11429</Characters>
  <Lines>0</Lines>
  <Paragraphs>0</Paragraphs>
  <TotalTime>0</TotalTime>
  <ScaleCrop>false</ScaleCrop>
  <LinksUpToDate>false</LinksUpToDate>
  <CharactersWithSpaces>12904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2026-08-15T00:11:00Z</dcterms:created>
  <dc:creator>韩晓栋</dc:creator>
  <cp:lastModifiedBy>韩晓栋</cp:lastModifiedBy>
  <dcterms:modified xsi:type="dcterms:W3CDTF">2026-08-19T03:22:53Z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13FDF12E71F649EDA77FBC5B92B59D2F_11</vt:lpwstr>
  </property>
  <property fmtid="{D5CDD505-2E9C-101B-9397-08002B2CF9AE}" pid="4" name="KSOTemplateDocerSaveRecord">
    <vt:lpwstr>eyJoZGlkIjoiYTc3YmY1NDAyYjUxNzNmYTViMDk3MGIyZjY2YWZmNWQiLCJ1c2VySWQiOiIxMDEzNjQ3NTc0In0=</vt:lpwstr>
  </property>
</Properties>
</file>