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058BD">
      <w:pPr>
        <w:pStyle w:val="2"/>
        <w:keepNext/>
        <w:spacing w:before="120" w:line="300" w:lineRule="auto"/>
      </w:pPr>
      <w:bookmarkStart w:id="0" w:name="_GoBack"/>
      <w:bookmarkEnd w:id="0"/>
      <w:r>
        <w:rPr>
          <w:rFonts w:cs="Times New Roman"/>
          <w:b/>
          <w:lang w:eastAsia="zh-CN" w:bidi="ar"/>
        </w:rPr>
        <w:t>Supplementary material</w:t>
      </w:r>
    </w:p>
    <w:p w14:paraId="2BB91CA2">
      <w:pPr>
        <w:pStyle w:val="2"/>
        <w:keepNext/>
        <w:spacing w:before="40" w:line="276" w:lineRule="auto"/>
      </w:pPr>
      <w:r>
        <w:rPr>
          <w:rFonts w:cs="Times New Roman"/>
          <w:sz w:val="18"/>
          <w:lang w:eastAsia="zh-CN" w:bidi="ar"/>
        </w:rPr>
        <w:t>Supplementary Table S1. Comparison of patients with and without pretreatment cytokine data</w:t>
      </w:r>
    </w:p>
    <w:tbl>
      <w:tblPr>
        <w:tblStyle w:val="4"/>
        <w:tblW w:w="0" w:type="auto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2143"/>
        <w:gridCol w:w="2143"/>
        <w:gridCol w:w="2085"/>
      </w:tblGrid>
      <w:tr w14:paraId="6B9F4E5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778C41BF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Characteristic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5AC346DA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With cytokine data (n=85)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10820CD0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Without cytokine data (n=80)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68324573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P value</w:t>
            </w:r>
          </w:p>
        </w:tc>
      </w:tr>
      <w:tr w14:paraId="212941B2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598CC887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Age, median (IQR), years</w:t>
            </w:r>
          </w:p>
        </w:tc>
        <w:tc>
          <w:tcPr>
            <w:tcW w:w="2270" w:type="dxa"/>
          </w:tcPr>
          <w:p w14:paraId="08F5BEFC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57.5 (47.3–67.8)</w:t>
            </w:r>
          </w:p>
        </w:tc>
        <w:tc>
          <w:tcPr>
            <w:tcW w:w="2270" w:type="dxa"/>
          </w:tcPr>
          <w:p w14:paraId="56AC7827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61.0 (51.3–67.0)</w:t>
            </w:r>
          </w:p>
        </w:tc>
        <w:tc>
          <w:tcPr>
            <w:tcW w:w="2270" w:type="dxa"/>
          </w:tcPr>
          <w:p w14:paraId="318A4942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0.488</w:t>
            </w:r>
          </w:p>
        </w:tc>
      </w:tr>
      <w:tr w14:paraId="1AB060E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46C9FF8A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Male sex, n (%)</w:t>
            </w:r>
          </w:p>
        </w:tc>
        <w:tc>
          <w:tcPr>
            <w:tcW w:w="2270" w:type="dxa"/>
          </w:tcPr>
          <w:p w14:paraId="4E5D1B9C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50 (58.8)</w:t>
            </w:r>
          </w:p>
        </w:tc>
        <w:tc>
          <w:tcPr>
            <w:tcW w:w="2270" w:type="dxa"/>
          </w:tcPr>
          <w:p w14:paraId="64F91EA4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48 (60.0)</w:t>
            </w:r>
          </w:p>
        </w:tc>
        <w:tc>
          <w:tcPr>
            <w:tcW w:w="2270" w:type="dxa"/>
          </w:tcPr>
          <w:p w14:paraId="441953CB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1.000</w:t>
            </w:r>
          </w:p>
        </w:tc>
      </w:tr>
      <w:tr w14:paraId="5658485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7B821C56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LDH, median (IQR), U/L</w:t>
            </w:r>
          </w:p>
        </w:tc>
        <w:tc>
          <w:tcPr>
            <w:tcW w:w="2270" w:type="dxa"/>
          </w:tcPr>
          <w:p w14:paraId="498605B4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192 (166.5–217.5)</w:t>
            </w:r>
          </w:p>
        </w:tc>
        <w:tc>
          <w:tcPr>
            <w:tcW w:w="2270" w:type="dxa"/>
          </w:tcPr>
          <w:p w14:paraId="3595AAF9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192 (164.5–246.0)</w:t>
            </w:r>
          </w:p>
        </w:tc>
        <w:tc>
          <w:tcPr>
            <w:tcW w:w="2270" w:type="dxa"/>
          </w:tcPr>
          <w:p w14:paraId="49CCF177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0.502</w:t>
            </w:r>
          </w:p>
        </w:tc>
      </w:tr>
      <w:tr w14:paraId="60E7A66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13DCBB01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Ann Arbor stage I/II/III/IV, n</w:t>
            </w:r>
          </w:p>
        </w:tc>
        <w:tc>
          <w:tcPr>
            <w:tcW w:w="2270" w:type="dxa"/>
          </w:tcPr>
          <w:p w14:paraId="15FED714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13/22/6/44</w:t>
            </w:r>
          </w:p>
        </w:tc>
        <w:tc>
          <w:tcPr>
            <w:tcW w:w="2270" w:type="dxa"/>
          </w:tcPr>
          <w:p w14:paraId="6C8DD934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21/12/3/36*</w:t>
            </w:r>
          </w:p>
        </w:tc>
        <w:tc>
          <w:tcPr>
            <w:tcW w:w="2270" w:type="dxa"/>
          </w:tcPr>
          <w:p w14:paraId="18D28FE9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0.134</w:t>
            </w:r>
          </w:p>
        </w:tc>
      </w:tr>
      <w:tr w14:paraId="75D44C2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31E77F35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Deaths, n (%)</w:t>
            </w:r>
          </w:p>
        </w:tc>
        <w:tc>
          <w:tcPr>
            <w:tcW w:w="2270" w:type="dxa"/>
          </w:tcPr>
          <w:p w14:paraId="1907DA2A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11 (12.9)</w:t>
            </w:r>
          </w:p>
        </w:tc>
        <w:tc>
          <w:tcPr>
            <w:tcW w:w="2270" w:type="dxa"/>
          </w:tcPr>
          <w:p w14:paraId="5D4942CA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13 (16.3)</w:t>
            </w:r>
          </w:p>
        </w:tc>
        <w:tc>
          <w:tcPr>
            <w:tcW w:w="2270" w:type="dxa"/>
          </w:tcPr>
          <w:p w14:paraId="5E942ECD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0.660</w:t>
            </w:r>
          </w:p>
        </w:tc>
      </w:tr>
    </w:tbl>
    <w:p w14:paraId="6C799023">
      <w:pPr>
        <w:pStyle w:val="2"/>
        <w:spacing w:before="40" w:line="276" w:lineRule="auto"/>
      </w:pPr>
      <w:r>
        <w:rPr>
          <w:rFonts w:cs="Times New Roman"/>
          <w:sz w:val="18"/>
          <w:lang w:eastAsia="zh-CN" w:bidi="ar"/>
        </w:rPr>
        <w:t>*Stage was missing for eight patients without cytokine data. Age and LDH were compared using the Mann–Whitney U test; sex and mortality using Fisher’s exact test; stage using the chi-square test among patients with documented stage.</w:t>
      </w:r>
    </w:p>
    <w:p w14:paraId="0E9B7C30">
      <w:pPr>
        <w:pStyle w:val="2"/>
        <w:spacing w:before="40" w:line="276" w:lineRule="auto"/>
      </w:pPr>
    </w:p>
    <w:p w14:paraId="7DF7FF72">
      <w:pPr>
        <w:pStyle w:val="2"/>
        <w:keepNext/>
        <w:spacing w:before="40" w:line="276" w:lineRule="auto"/>
      </w:pPr>
      <w:r>
        <w:rPr>
          <w:rFonts w:cs="Times New Roman"/>
          <w:sz w:val="18"/>
          <w:lang w:eastAsia="zh-CN" w:bidi="ar"/>
        </w:rPr>
        <w:t>Supplementary Table S2. Serum IL-10 distribution by histologic subtype in the cytokine cohort. HGBL cases were grouped with DLBCL.</w:t>
      </w:r>
    </w:p>
    <w:tbl>
      <w:tblPr>
        <w:tblStyle w:val="4"/>
        <w:tblW w:w="0" w:type="auto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2098"/>
        <w:gridCol w:w="2126"/>
        <w:gridCol w:w="2152"/>
      </w:tblGrid>
      <w:tr w14:paraId="175C897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2E0FB998">
            <w:pPr>
              <w:spacing w:before="0"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Histologic subtype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2C4FB564">
            <w:pPr>
              <w:spacing w:before="0"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n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08EE8783">
            <w:pPr>
              <w:spacing w:before="0"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Deaths</w:t>
            </w:r>
          </w:p>
        </w:tc>
        <w:tc>
          <w:tcPr>
            <w:tcW w:w="227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41D15952">
            <w:pPr>
              <w:spacing w:before="0"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IL-10, median (IQR), pg/mL</w:t>
            </w:r>
          </w:p>
        </w:tc>
      </w:tr>
      <w:tr w14:paraId="66DCAC0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54134D10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DLBCL (including HGBL)</w:t>
            </w:r>
          </w:p>
        </w:tc>
        <w:tc>
          <w:tcPr>
            <w:tcW w:w="2270" w:type="dxa"/>
          </w:tcPr>
          <w:p w14:paraId="038031B0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34</w:t>
            </w:r>
          </w:p>
        </w:tc>
        <w:tc>
          <w:tcPr>
            <w:tcW w:w="2270" w:type="dxa"/>
          </w:tcPr>
          <w:p w14:paraId="67FEDC5D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3</w:t>
            </w:r>
          </w:p>
        </w:tc>
        <w:tc>
          <w:tcPr>
            <w:tcW w:w="2270" w:type="dxa"/>
          </w:tcPr>
          <w:p w14:paraId="3758DB2A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2.36 (1.41–6.23)</w:t>
            </w:r>
          </w:p>
        </w:tc>
      </w:tr>
      <w:tr w14:paraId="62CAD25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3ABF82B9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MALT</w:t>
            </w:r>
          </w:p>
        </w:tc>
        <w:tc>
          <w:tcPr>
            <w:tcW w:w="2270" w:type="dxa"/>
          </w:tcPr>
          <w:p w14:paraId="6006BD4F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27</w:t>
            </w:r>
          </w:p>
        </w:tc>
        <w:tc>
          <w:tcPr>
            <w:tcW w:w="2270" w:type="dxa"/>
          </w:tcPr>
          <w:p w14:paraId="7D997230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0</w:t>
            </w:r>
          </w:p>
        </w:tc>
        <w:tc>
          <w:tcPr>
            <w:tcW w:w="2270" w:type="dxa"/>
          </w:tcPr>
          <w:p w14:paraId="02BE8A43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1.88 (1.49–2.79)</w:t>
            </w:r>
          </w:p>
        </w:tc>
      </w:tr>
      <w:tr w14:paraId="0D35C89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19F3BDE2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Follicular</w:t>
            </w:r>
          </w:p>
        </w:tc>
        <w:tc>
          <w:tcPr>
            <w:tcW w:w="2270" w:type="dxa"/>
          </w:tcPr>
          <w:p w14:paraId="36C837A8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9</w:t>
            </w:r>
          </w:p>
        </w:tc>
        <w:tc>
          <w:tcPr>
            <w:tcW w:w="2270" w:type="dxa"/>
          </w:tcPr>
          <w:p w14:paraId="3A0BF67B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0</w:t>
            </w:r>
          </w:p>
        </w:tc>
        <w:tc>
          <w:tcPr>
            <w:tcW w:w="2270" w:type="dxa"/>
          </w:tcPr>
          <w:p w14:paraId="77FBAD57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2.01 (1.50–2.19)</w:t>
            </w:r>
          </w:p>
        </w:tc>
      </w:tr>
      <w:tr w14:paraId="6D5530A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635CDE35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Mantle cell</w:t>
            </w:r>
          </w:p>
        </w:tc>
        <w:tc>
          <w:tcPr>
            <w:tcW w:w="2270" w:type="dxa"/>
          </w:tcPr>
          <w:p w14:paraId="7CC58E89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6</w:t>
            </w:r>
          </w:p>
        </w:tc>
        <w:tc>
          <w:tcPr>
            <w:tcW w:w="2270" w:type="dxa"/>
          </w:tcPr>
          <w:p w14:paraId="41FA2491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1</w:t>
            </w:r>
          </w:p>
        </w:tc>
        <w:tc>
          <w:tcPr>
            <w:tcW w:w="2270" w:type="dxa"/>
          </w:tcPr>
          <w:p w14:paraId="34599FD3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2.40 (1.52–2.86)</w:t>
            </w:r>
          </w:p>
        </w:tc>
      </w:tr>
      <w:tr w14:paraId="0A42453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78375532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EATL</w:t>
            </w:r>
          </w:p>
        </w:tc>
        <w:tc>
          <w:tcPr>
            <w:tcW w:w="2270" w:type="dxa"/>
          </w:tcPr>
          <w:p w14:paraId="7DCC4EBB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3</w:t>
            </w:r>
          </w:p>
        </w:tc>
        <w:tc>
          <w:tcPr>
            <w:tcW w:w="2270" w:type="dxa"/>
          </w:tcPr>
          <w:p w14:paraId="21F5479C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</w:t>
            </w:r>
          </w:p>
        </w:tc>
        <w:tc>
          <w:tcPr>
            <w:tcW w:w="2270" w:type="dxa"/>
          </w:tcPr>
          <w:p w14:paraId="59C8DFE5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2.38 (2.12–4.51)</w:t>
            </w:r>
          </w:p>
        </w:tc>
      </w:tr>
      <w:tr w14:paraId="2B4D348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2B64F29E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MEITL</w:t>
            </w:r>
          </w:p>
        </w:tc>
        <w:tc>
          <w:tcPr>
            <w:tcW w:w="2270" w:type="dxa"/>
          </w:tcPr>
          <w:p w14:paraId="5ABC695E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4</w:t>
            </w:r>
          </w:p>
        </w:tc>
        <w:tc>
          <w:tcPr>
            <w:tcW w:w="2270" w:type="dxa"/>
          </w:tcPr>
          <w:p w14:paraId="0923306A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4</w:t>
            </w:r>
          </w:p>
        </w:tc>
        <w:tc>
          <w:tcPr>
            <w:tcW w:w="2270" w:type="dxa"/>
          </w:tcPr>
          <w:p w14:paraId="26051040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3.78 (2.21–6.29)</w:t>
            </w:r>
          </w:p>
        </w:tc>
      </w:tr>
      <w:tr w14:paraId="4134330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4BE3F6C1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Burkitt</w:t>
            </w:r>
          </w:p>
        </w:tc>
        <w:tc>
          <w:tcPr>
            <w:tcW w:w="2270" w:type="dxa"/>
          </w:tcPr>
          <w:p w14:paraId="037E254E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1</w:t>
            </w:r>
          </w:p>
        </w:tc>
        <w:tc>
          <w:tcPr>
            <w:tcW w:w="2270" w:type="dxa"/>
          </w:tcPr>
          <w:p w14:paraId="1969D6FD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0</w:t>
            </w:r>
          </w:p>
        </w:tc>
        <w:tc>
          <w:tcPr>
            <w:tcW w:w="2270" w:type="dxa"/>
          </w:tcPr>
          <w:p w14:paraId="0C695D7D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4.83</w:t>
            </w:r>
          </w:p>
        </w:tc>
      </w:tr>
      <w:tr w14:paraId="5111693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0A95F98C">
            <w:pPr>
              <w:spacing w:after="0" w:line="240" w:lineRule="auto"/>
              <w:rPr>
                <w:b/>
                <w:bCs/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szCs w:val="18"/>
                <w:lang w:eastAsia="zh-CN" w:bidi="ar"/>
              </w:rPr>
              <w:t>PTCL</w:t>
            </w:r>
          </w:p>
        </w:tc>
        <w:tc>
          <w:tcPr>
            <w:tcW w:w="2270" w:type="dxa"/>
          </w:tcPr>
          <w:p w14:paraId="36932236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1</w:t>
            </w:r>
          </w:p>
        </w:tc>
        <w:tc>
          <w:tcPr>
            <w:tcW w:w="2270" w:type="dxa"/>
          </w:tcPr>
          <w:p w14:paraId="45944DDB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1</w:t>
            </w:r>
          </w:p>
        </w:tc>
        <w:tc>
          <w:tcPr>
            <w:tcW w:w="2270" w:type="dxa"/>
          </w:tcPr>
          <w:p w14:paraId="657B9509">
            <w:pPr>
              <w:spacing w:after="0" w:line="240" w:lineRule="auto"/>
              <w:rPr>
                <w:color w:val="000000" w:themeColor="text1" w:themeShade="BF"/>
                <w:sz w:val="16"/>
                <w:szCs w:val="18"/>
              </w:rPr>
            </w:pPr>
            <w:r>
              <w:rPr>
                <w:rFonts w:cs="Times New Roman"/>
                <w:color w:val="000000" w:themeColor="text1" w:themeShade="BF"/>
                <w:sz w:val="16"/>
                <w:szCs w:val="18"/>
                <w:lang w:eastAsia="zh-CN" w:bidi="ar"/>
              </w:rPr>
              <w:t>0.86</w:t>
            </w:r>
          </w:p>
        </w:tc>
      </w:tr>
    </w:tbl>
    <w:p w14:paraId="1EC85287">
      <w:pPr>
        <w:pStyle w:val="2"/>
        <w:keepNext/>
        <w:spacing w:before="40" w:line="276" w:lineRule="auto"/>
        <w:rPr>
          <w:rFonts w:eastAsia="宋体" w:cs="Times New Roman"/>
          <w:sz w:val="18"/>
          <w:lang w:eastAsia="zh-CN" w:bidi="ar"/>
        </w:rPr>
      </w:pPr>
    </w:p>
    <w:p w14:paraId="23FF2360">
      <w:pPr>
        <w:pStyle w:val="2"/>
        <w:keepNext/>
        <w:spacing w:before="40" w:line="276" w:lineRule="auto"/>
      </w:pPr>
      <w:r>
        <w:rPr>
          <w:rFonts w:cs="Times New Roman"/>
          <w:sz w:val="18"/>
          <w:lang w:eastAsia="zh-CN" w:bidi="ar"/>
        </w:rPr>
        <w:t>Supplementary Table S3. Hierarchical classification of documented first-line treatment in the cytokine cohort</w:t>
      </w:r>
    </w:p>
    <w:tbl>
      <w:tblPr>
        <w:tblStyle w:val="4"/>
        <w:tblW w:w="0" w:type="auto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7"/>
        <w:gridCol w:w="2760"/>
        <w:gridCol w:w="2855"/>
      </w:tblGrid>
      <w:tr w14:paraId="2BD9168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0DFCE807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Treatment category</w:t>
            </w:r>
          </w:p>
        </w:tc>
        <w:tc>
          <w:tcPr>
            <w:tcW w:w="3024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3A5E1954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n</w:t>
            </w:r>
          </w:p>
        </w:tc>
        <w:tc>
          <w:tcPr>
            <w:tcW w:w="3024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46FE7B9D">
            <w:pPr>
              <w:spacing w:before="0"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 w:val="0"/>
                <w:color w:val="000000" w:themeColor="text1" w:themeShade="BF"/>
                <w:sz w:val="16"/>
                <w:lang w:eastAsia="zh-CN" w:bidi="ar"/>
              </w:rPr>
              <w:t>Predominant histologies/notes</w:t>
            </w:r>
          </w:p>
        </w:tc>
      </w:tr>
      <w:tr w14:paraId="7BD8446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4" w:type="dxa"/>
          </w:tcPr>
          <w:p w14:paraId="4242AA89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H. pylori eradication/antibiotic therapy</w:t>
            </w:r>
          </w:p>
        </w:tc>
        <w:tc>
          <w:tcPr>
            <w:tcW w:w="3024" w:type="dxa"/>
          </w:tcPr>
          <w:p w14:paraId="12953405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16</w:t>
            </w:r>
          </w:p>
        </w:tc>
        <w:tc>
          <w:tcPr>
            <w:tcW w:w="3024" w:type="dxa"/>
          </w:tcPr>
          <w:p w14:paraId="00F96D07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MALT lymphoma; some patients subsequently received systemic therapy</w:t>
            </w:r>
          </w:p>
        </w:tc>
      </w:tr>
      <w:tr w14:paraId="08C0C15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4" w:type="dxa"/>
          </w:tcPr>
          <w:p w14:paraId="32C56A0E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Anti-CD20–based immunochemotherapy</w:t>
            </w:r>
          </w:p>
        </w:tc>
        <w:tc>
          <w:tcPr>
            <w:tcW w:w="3024" w:type="dxa"/>
          </w:tcPr>
          <w:p w14:paraId="5A826E7B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59</w:t>
            </w:r>
          </w:p>
        </w:tc>
        <w:tc>
          <w:tcPr>
            <w:tcW w:w="3024" w:type="dxa"/>
          </w:tcPr>
          <w:p w14:paraId="58D544E4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Predominantly DLBCL, follicular, mantle cell, high-grade B-cell, and systemically treated MALT lymphoma</w:t>
            </w:r>
          </w:p>
        </w:tc>
      </w:tr>
      <w:tr w14:paraId="43B9761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4" w:type="dxa"/>
          </w:tcPr>
          <w:p w14:paraId="65C6BACA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Chemotherapy/targeted therapy without anti-CD20</w:t>
            </w:r>
          </w:p>
        </w:tc>
        <w:tc>
          <w:tcPr>
            <w:tcW w:w="3024" w:type="dxa"/>
          </w:tcPr>
          <w:p w14:paraId="13F8C575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6</w:t>
            </w:r>
          </w:p>
        </w:tc>
        <w:tc>
          <w:tcPr>
            <w:tcW w:w="3024" w:type="dxa"/>
          </w:tcPr>
          <w:p w14:paraId="49BBC676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Predominantly aggressive T-cell lymphoma; one regimen record lacked an explicit hyphenated rituximab notation</w:t>
            </w:r>
          </w:p>
        </w:tc>
      </w:tr>
      <w:tr w14:paraId="7D9A508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4" w:type="dxa"/>
          </w:tcPr>
          <w:p w14:paraId="3CF4D076">
            <w:pPr>
              <w:spacing w:after="0" w:line="240" w:lineRule="auto"/>
              <w:rPr>
                <w:b/>
                <w:bCs/>
                <w:color w:val="000000" w:themeColor="text1" w:themeShade="BF"/>
              </w:rPr>
            </w:pPr>
            <w:r>
              <w:rPr>
                <w:rFonts w:cs="Times New Roman"/>
                <w:b/>
                <w:bCs/>
                <w:color w:val="000000" w:themeColor="text1" w:themeShade="BF"/>
                <w:sz w:val="16"/>
                <w:lang w:eastAsia="zh-CN" w:bidi="ar"/>
              </w:rPr>
              <w:t>Other or incompletely documented</w:t>
            </w:r>
          </w:p>
        </w:tc>
        <w:tc>
          <w:tcPr>
            <w:tcW w:w="3024" w:type="dxa"/>
          </w:tcPr>
          <w:p w14:paraId="16EE12DD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4</w:t>
            </w:r>
          </w:p>
        </w:tc>
        <w:tc>
          <w:tcPr>
            <w:tcW w:w="3024" w:type="dxa"/>
          </w:tcPr>
          <w:p w14:paraId="46567383">
            <w:pPr>
              <w:spacing w:after="0" w:line="240" w:lineRule="auto"/>
              <w:rPr>
                <w:color w:val="000000" w:themeColor="text1" w:themeShade="BF"/>
              </w:rPr>
            </w:pPr>
            <w:r>
              <w:rPr>
                <w:rFonts w:cs="Times New Roman"/>
                <w:color w:val="000000" w:themeColor="text1" w:themeShade="BF"/>
                <w:sz w:val="16"/>
                <w:lang w:eastAsia="zh-CN" w:bidi="ar"/>
              </w:rPr>
              <w:t>Heterogeneous targeted or incompletely classified regimens</w:t>
            </w:r>
          </w:p>
        </w:tc>
      </w:tr>
    </w:tbl>
    <w:p w14:paraId="240FAF52">
      <w:pPr>
        <w:pStyle w:val="2"/>
        <w:spacing w:before="40" w:line="276" w:lineRule="auto"/>
      </w:pPr>
      <w:r>
        <w:rPr>
          <w:rFonts w:cs="Times New Roman"/>
          <w:sz w:val="18"/>
          <w:lang w:eastAsia="zh-CN" w:bidi="ar"/>
        </w:rPr>
        <w:t>Treatment categories were assigned hierarchically from free-text regimen records and are descriptive; treatment was not entered into the multivariable Cox model because of collinearity with histology and the limited number of deaths.</w:t>
      </w:r>
    </w:p>
    <w:p w14:paraId="08C5AED7">
      <w:pPr>
        <w:keepNext/>
        <w:jc w:val="center"/>
      </w:pPr>
    </w:p>
    <w:p w14:paraId="353003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66855"/>
    <w:rsid w:val="4A06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324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sz w:val="24"/>
    </w:rPr>
  </w:style>
  <w:style w:type="table" w:styleId="4">
    <w:name w:val="Light Shading"/>
    <w:basedOn w:val="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2026-08-26T16:32:00Z</dcterms:created>
  <dc:creator>汪羚利</dc:creator>
  <cp:lastModifiedBy>汪羚利</cp:lastModifiedBy>
  <dcterms:modified xsi:type="dcterms:W3CDTF">2026-08-26T16:33:20Z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719EC810D1134A169458FA3D1841C77B_11</vt:lpwstr>
  </property>
  <property fmtid="{D5CDD505-2E9C-101B-9397-08002B2CF9AE}" pid="4" name="KSOTemplateDocerSaveRecord">
    <vt:lpwstr>eyJoZGlkIjoiZDgzZjFlZGZjNTFmZjdmYzZhODdhMmY5MjU0YTQxNmIiLCJ1c2VySWQiOiIyNTE1Mzc5NDYifQ==</vt:lpwstr>
  </property>
</Properties>
</file>