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fcd83f6b225bbac270a78f9aa4a2367923a706"/>
    <w:p>
      <w:pPr>
        <w:pStyle w:val="Heading1"/>
        <w:spacing w:lineRule="auto" w:line="276" w:before="0" w:after="240"/>
        <w:jc w:val="left"/>
      </w:pPr>
      <w:r>
        <w:rPr>
          <w:rFonts w:ascii="Times New Roman" w:hAnsi="Times New Roman" w:cs="Times New Roman" w:eastAsia="Times New Roman"/>
          <w:b/>
          <w:sz w:val="28"/>
        </w:rPr>
        <w:t>Additional file 3. Cochrane RoB 2 Detailed Assessment</w:t>
      </w:r>
    </w:p>
    <w:p>
      <w:pPr>
        <w:pStyle w:val="FirstParagraph"/>
        <w:spacing w:lineRule="auto" w:line="276" w:before="0" w:after="120"/>
        <w:jc w:val="both"/>
      </w:pPr>
      <w:r>
        <w:rPr>
          <w:rFonts w:ascii="Times New Roman" w:hAnsi="Times New Roman" w:cs="Times New Roman" w:eastAsia="Times New Roman"/>
          <w:b/>
          <w:bCs/>
          <w:sz w:val="22"/>
        </w:rPr>
        <w:t xml:space="preserve">Tool</w:t>
      </w:r>
      <w:r>
        <w:rPr>
          <w:rFonts w:ascii="Times New Roman" w:hAnsi="Times New Roman" w:cs="Times New Roman" w:eastAsia="Times New Roman"/>
          <w:sz w:val="22"/>
        </w:rPr>
        <w:t xml:space="preserve">: Cochrane RoB 2 [Sterne JAC, et al. BMJ 2019;366:l4898. DOI: 10.1136/bmj.l4898]</w:t>
      </w:r>
    </w:p>
    <w:bookmarkStart w:id="9" w:name="rob-2-domains"/>
    <w:p>
      <w:pPr>
        <w:pStyle w:val="Heading2"/>
        <w:spacing w:lineRule="auto" w:line="276" w:before="0" w:after="120"/>
      </w:pPr>
      <w:r>
        <w:rPr>
          <w:rFonts w:ascii="Times New Roman" w:hAnsi="Times New Roman" w:cs="Times New Roman" w:eastAsia="Times New Roman"/>
          <w:b/>
          <w:sz w:val="24"/>
        </w:rPr>
        <w:t xml:space="preserve">RoB 2 Domains</w:t>
      </w:r>
    </w:p>
    <w:p>
      <w:pPr>
        <w:pStyle w:val="Compact"/>
        <w:numPr>
          <w:ilvl w:val="0"/>
          <w:numId w:val="1001"/>
        </w:numPr>
        <w:spacing w:lineRule="auto" w:line="276" w:before="0" w:after="120"/>
        <w:jc w:val="both"/>
      </w:pPr>
      <w:r>
        <w:rPr>
          <w:rFonts w:ascii="Times New Roman" w:hAnsi="Times New Roman" w:cs="Times New Roman" w:eastAsia="Times New Roman"/>
          <w:b/>
          <w:bCs/>
          <w:sz w:val="22"/>
        </w:rPr>
        <w:t xml:space="preserve">D1</w:t>
      </w:r>
      <w:r>
        <w:rPr>
          <w:rFonts w:ascii="Times New Roman" w:hAnsi="Times New Roman" w:cs="Times New Roman" w:eastAsia="Times New Roman"/>
          <w:sz w:val="22"/>
        </w:rPr>
        <w:t xml:space="preserve">: Bias arising from the randomization process</w:t>
      </w:r>
    </w:p>
    <w:p>
      <w:pPr>
        <w:pStyle w:val="Compact"/>
        <w:numPr>
          <w:ilvl w:val="0"/>
          <w:numId w:val="1001"/>
        </w:numPr>
        <w:spacing w:lineRule="auto" w:line="276" w:before="0" w:after="120"/>
        <w:jc w:val="both"/>
      </w:pPr>
      <w:r>
        <w:rPr>
          <w:rFonts w:ascii="Times New Roman" w:hAnsi="Times New Roman" w:cs="Times New Roman" w:eastAsia="Times New Roman"/>
          <w:b/>
          <w:bCs/>
          <w:sz w:val="22"/>
        </w:rPr>
        <w:t xml:space="preserve">D2</w:t>
      </w:r>
      <w:r>
        <w:rPr>
          <w:rFonts w:ascii="Times New Roman" w:hAnsi="Times New Roman" w:cs="Times New Roman" w:eastAsia="Times New Roman"/>
          <w:sz w:val="22"/>
        </w:rPr>
        <w:t xml:space="preserve">: Bias due to deviations from intended interventions</w:t>
      </w:r>
    </w:p>
    <w:p>
      <w:pPr>
        <w:pStyle w:val="Compact"/>
        <w:numPr>
          <w:ilvl w:val="0"/>
          <w:numId w:val="1001"/>
        </w:numPr>
        <w:spacing w:lineRule="auto" w:line="276" w:before="0" w:after="120"/>
        <w:jc w:val="both"/>
      </w:pPr>
      <w:r>
        <w:rPr>
          <w:rFonts w:ascii="Times New Roman" w:hAnsi="Times New Roman" w:cs="Times New Roman" w:eastAsia="Times New Roman"/>
          <w:b/>
          <w:bCs/>
          <w:sz w:val="22"/>
        </w:rPr>
        <w:t xml:space="preserve">D3</w:t>
      </w:r>
      <w:r>
        <w:rPr>
          <w:rFonts w:ascii="Times New Roman" w:hAnsi="Times New Roman" w:cs="Times New Roman" w:eastAsia="Times New Roman"/>
          <w:sz w:val="22"/>
        </w:rPr>
        <w:t xml:space="preserve">: Bias due to missing outcome data</w:t>
      </w:r>
    </w:p>
    <w:p>
      <w:pPr>
        <w:pStyle w:val="Compact"/>
        <w:numPr>
          <w:ilvl w:val="0"/>
          <w:numId w:val="1001"/>
        </w:numPr>
        <w:spacing w:lineRule="auto" w:line="276" w:before="0" w:after="120"/>
        <w:jc w:val="both"/>
      </w:pPr>
      <w:r>
        <w:rPr>
          <w:rFonts w:ascii="Times New Roman" w:hAnsi="Times New Roman" w:cs="Times New Roman" w:eastAsia="Times New Roman"/>
          <w:b/>
          <w:bCs/>
          <w:sz w:val="22"/>
        </w:rPr>
        <w:t xml:space="preserve">D4</w:t>
      </w:r>
      <w:r>
        <w:rPr>
          <w:rFonts w:ascii="Times New Roman" w:hAnsi="Times New Roman" w:cs="Times New Roman" w:eastAsia="Times New Roman"/>
          <w:sz w:val="22"/>
        </w:rPr>
        <w:t xml:space="preserve">: Bias in measurement of the outcome</w:t>
      </w:r>
    </w:p>
    <w:p>
      <w:pPr>
        <w:pStyle w:val="Compact"/>
        <w:numPr>
          <w:ilvl w:val="0"/>
          <w:numId w:val="1001"/>
        </w:numPr>
        <w:spacing w:lineRule="auto" w:line="276" w:before="0" w:after="120"/>
        <w:jc w:val="both"/>
      </w:pPr>
      <w:r>
        <w:rPr>
          <w:rFonts w:ascii="Times New Roman" w:hAnsi="Times New Roman" w:cs="Times New Roman" w:eastAsia="Times New Roman"/>
          <w:b/>
          <w:bCs/>
          <w:sz w:val="22"/>
        </w:rPr>
        <w:t xml:space="preserve">D5</w:t>
      </w:r>
      <w:r>
        <w:rPr>
          <w:rFonts w:ascii="Times New Roman" w:hAnsi="Times New Roman" w:cs="Times New Roman" w:eastAsia="Times New Roman"/>
          <w:sz w:val="22"/>
        </w:rPr>
        <w:t xml:space="preserve">: Bias in selection of the reported result</w:t>
      </w:r>
    </w:p>
    <w:p>
      <w:pPr>
        <w:pStyle w:val="Compact"/>
        <w:numPr>
          <w:ilvl w:val="0"/>
          <w:numId w:val="1001"/>
        </w:numPr>
        <w:spacing w:lineRule="auto" w:line="276" w:before="0" w:after="120"/>
        <w:jc w:val="both"/>
      </w:pPr>
      <w:r>
        <w:rPr>
          <w:rFonts w:ascii="Times New Roman" w:hAnsi="Times New Roman" w:cs="Times New Roman" w:eastAsia="Times New Roman"/>
          <w:b/>
          <w:bCs/>
          <w:sz w:val="22"/>
        </w:rPr>
        <w:t xml:space="preserve">Overall</w:t>
      </w:r>
      <w:r>
        <w:rPr>
          <w:rFonts w:ascii="Times New Roman" w:hAnsi="Times New Roman" w:cs="Times New Roman" w:eastAsia="Times New Roman"/>
          <w:sz w:val="22"/>
        </w:rPr>
        <w:t xml:space="preserve">: Overall risk of bias judgment</w:t>
      </w:r>
    </w:p>
    <w:bookmarkEnd w:id="9"/>
    <w:bookmarkStart w:id="10" w:name="judgment-codes"/>
    <w:p>
      <w:pPr>
        <w:pStyle w:val="Heading2"/>
        <w:spacing w:lineRule="auto" w:line="276" w:before="0" w:after="120"/>
      </w:pPr>
      <w:r>
        <w:rPr>
          <w:rFonts w:ascii="Times New Roman" w:hAnsi="Times New Roman" w:cs="Times New Roman" w:eastAsia="Times New Roman"/>
          <w:b/>
          <w:sz w:val="24"/>
        </w:rPr>
        <w:t xml:space="preserve">Judgment Codes</w:t>
      </w:r>
    </w:p>
    <w:p>
      <w:pPr>
        <w:pStyle w:val="Compact"/>
        <w:numPr>
          <w:ilvl w:val="0"/>
          <w:numId w:val="1002"/>
        </w:numPr>
        <w:spacing w:lineRule="auto" w:line="276" w:before="0" w:after="120"/>
        <w:jc w:val="both"/>
      </w:pPr>
      <w:r>
        <w:rPr>
          <w:rFonts w:ascii="Times New Roman" w:hAnsi="Times New Roman" w:cs="Times New Roman" w:eastAsia="Times New Roman"/>
          <w:b/>
          <w:bCs/>
          <w:sz w:val="22"/>
        </w:rPr>
        <w:t xml:space="preserve">Low</w:t>
      </w:r>
      <w:r>
        <w:rPr>
          <w:rFonts w:ascii="Times New Roman" w:hAnsi="Times New Roman" w:cs="Times New Roman" w:eastAsia="Times New Roman"/>
          <w:sz w:val="22"/>
        </w:rPr>
        <w:t xml:space="preserve">: Low risk of bias for this domain</w:t>
      </w:r>
    </w:p>
    <w:p>
      <w:pPr>
        <w:pStyle w:val="Compact"/>
        <w:numPr>
          <w:ilvl w:val="0"/>
          <w:numId w:val="1002"/>
        </w:numPr>
        <w:spacing w:lineRule="auto" w:line="276" w:before="0" w:after="120"/>
        <w:jc w:val="both"/>
      </w:pPr>
      <w:r>
        <w:rPr>
          <w:rFonts w:ascii="Times New Roman" w:hAnsi="Times New Roman" w:cs="Times New Roman" w:eastAsia="Times New Roman"/>
          <w:b/>
          <w:bCs/>
          <w:sz w:val="22"/>
        </w:rPr>
        <w:t xml:space="preserve">Some concerns</w:t>
      </w:r>
      <w:r>
        <w:rPr>
          <w:rFonts w:ascii="Times New Roman" w:hAnsi="Times New Roman" w:cs="Times New Roman" w:eastAsia="Times New Roman"/>
          <w:sz w:val="22"/>
        </w:rPr>
        <w:t xml:space="preserve">: Some concerns regarding this domain</w:t>
      </w:r>
    </w:p>
    <w:p>
      <w:pPr>
        <w:pStyle w:val="Compact"/>
        <w:numPr>
          <w:ilvl w:val="0"/>
          <w:numId w:val="1002"/>
        </w:numPr>
        <w:spacing w:lineRule="auto" w:line="276" w:before="0" w:after="120"/>
        <w:jc w:val="both"/>
      </w:pPr>
      <w:r>
        <w:rPr>
          <w:rFonts w:ascii="Times New Roman" w:hAnsi="Times New Roman" w:cs="Times New Roman" w:eastAsia="Times New Roman"/>
          <w:b/>
          <w:bCs/>
          <w:sz w:val="22"/>
        </w:rPr>
        <w:t xml:space="preserve">High</w:t>
      </w:r>
      <w:r>
        <w:rPr>
          <w:rFonts w:ascii="Times New Roman" w:hAnsi="Times New Roman" w:cs="Times New Roman" w:eastAsia="Times New Roman"/>
          <w:sz w:val="22"/>
        </w:rPr>
        <w:t xml:space="preserve">: High risk of bias</w:t>
      </w:r>
    </w:p>
    <w:p>
      <w:pPr>
        <w:spacing w:lineRule="auto" w:line="276" w:before="0" w:after="120"/>
        <w:jc w:val="both"/>
      </w:pPr>
      <w:r>
        <w:rPr>
          <w:rFonts w:ascii="Times New Roman" w:hAnsi="Times New Roman" w:cs="Times New Roman" w:eastAsia="Times New Roman"/>
          <w:sz w:val="22"/>
        </w:rPr>
        <w:pict>
          <v:rect style="width:0;height:1.5pt" o:hralign="center" o:hrstd="t" o:hr="t"/>
        </w:pict>
      </w:r>
    </w:p>
    <w:bookmarkEnd w:id="10"/>
    <w:bookmarkStart w:id="12" w:name="detailed-domain-level-assessment"/>
    <w:p>
      <w:pPr>
        <w:pStyle w:val="Heading2"/>
        <w:spacing w:lineRule="auto" w:line="276" w:before="0" w:after="120"/>
      </w:pPr>
      <w:r>
        <w:rPr>
          <w:rFonts w:ascii="Times New Roman" w:hAnsi="Times New Roman" w:cs="Times New Roman" w:eastAsia="Times New Roman"/>
          <w:b/>
          <w:sz w:val="24"/>
        </w:rPr>
        <w:t xml:space="preserve">Detailed Domain-Level Assessment</w:t>
      </w:r>
    </w:p>
    <w:bookmarkStart w:id="11" w:name="primary-analysis-trials"/>
    <w:p>
      <w:pPr>
        <w:pStyle w:val="Heading3"/>
        <w:spacing w:lineRule="auto" w:line="276" w:before="0" w:after="120"/>
      </w:pPr>
      <w:r>
        <w:rPr>
          <w:rFonts w:ascii="Times New Roman" w:hAnsi="Times New Roman" w:cs="Times New Roman" w:eastAsia="Times New Roman"/>
          <w:b/>
          <w:sz w:val="22"/>
        </w:rPr>
        <w:t xml:space="preserve">Primary Analysis Trials</w:t>
      </w:r>
    </w:p>
    <w:tbl>
      <w:tblPr>
        <w:tblStyle w:val="Table"/>
        <w:tblW w:type="pct" w:w="5000"/>
        <w:tblLayout w:type="fixed"/>
        <w:tblLook w:firstRow="1" w:lastRow="0" w:firstColumn="0" w:lastColumn="0" w:noHBand="0" w:noVBand="0" w:val="0020"/>
        <w:tblBorders>
          <w:top w:val="single" w:sz="12" w:color="000000"/>
          <w:bottom w:val="single" w:sz="12" w:color="000000"/>
          <w:left w:val="nil"/>
          <w:right w:val="nil"/>
          <w:insideH w:val="nil"/>
          <w:insideV w:val="nil"/>
        </w:tblBorders>
      </w:tblPr>
      <w:tblGrid>
        <w:gridCol w:w="1540"/>
        <w:gridCol w:w="880"/>
        <w:gridCol w:w="880"/>
        <w:gridCol w:w="880"/>
        <w:gridCol w:w="880"/>
        <w:gridCol w:w="880"/>
        <w:gridCol w:w="1980"/>
      </w:tblGrid>
      <w:tr>
        <w:trPr>
          <w:tblHeader w:val="true"/>
          <w:cantSplit/>
        </w:trPr>
        <w:tc>
          <w:tcPr>
            <w:tcBorders>
              <w:bottom w:val="single" w:sz="8" w:color="000000"/>
            </w:tcBorders>
          </w:tcPr>
          <w:p>
            <w:pPr>
              <w:pStyle w:val="Compact"/>
              <w:spacing w:line="240" w:lineRule="auto" w:before="40" w:after="40"/>
            </w:pPr>
            <w:r>
              <w:rPr>
                <w:rFonts w:ascii="Times New Roman" w:hAnsi="Times New Roman" w:cs="Times New Roman" w:eastAsia="Times New Roman"/>
                <w:b/>
                <w:sz w:val="18"/>
              </w:rPr>
              <w:t xml:space="preserve">Trial</w:t>
            </w:r>
          </w:p>
        </w:tc>
        <w:tc>
          <w:tcPr>
            <w:tcBorders>
              <w:bottom w:val="single" w:sz="8" w:color="000000"/>
            </w:tcBorders>
          </w:tcPr>
          <w:p>
            <w:pPr>
              <w:pStyle w:val="Compact"/>
              <w:spacing w:line="240" w:lineRule="auto" w:before="40" w:after="40"/>
            </w:pPr>
            <w:r>
              <w:rPr>
                <w:rFonts w:ascii="Times New Roman" w:hAnsi="Times New Roman" w:cs="Times New Roman" w:eastAsia="Times New Roman"/>
                <w:b/>
                <w:sz w:val="18"/>
              </w:rPr>
              <w:t xml:space="preserve">D1</w:t>
            </w:r>
          </w:p>
        </w:tc>
        <w:tc>
          <w:tcPr>
            <w:tcBorders>
              <w:bottom w:val="single" w:sz="8" w:color="000000"/>
            </w:tcBorders>
          </w:tcPr>
          <w:p>
            <w:pPr>
              <w:pStyle w:val="Compact"/>
              <w:spacing w:line="240" w:lineRule="auto" w:before="40" w:after="40"/>
            </w:pPr>
            <w:r>
              <w:rPr>
                <w:rFonts w:ascii="Times New Roman" w:hAnsi="Times New Roman" w:cs="Times New Roman" w:eastAsia="Times New Roman"/>
                <w:b/>
                <w:sz w:val="18"/>
              </w:rPr>
              <w:t xml:space="preserve">D2</w:t>
            </w:r>
          </w:p>
        </w:tc>
        <w:tc>
          <w:tcPr>
            <w:tcBorders>
              <w:bottom w:val="single" w:sz="8" w:color="000000"/>
            </w:tcBorders>
          </w:tcPr>
          <w:p>
            <w:pPr>
              <w:pStyle w:val="Compact"/>
              <w:spacing w:line="240" w:lineRule="auto" w:before="40" w:after="40"/>
            </w:pPr>
            <w:r>
              <w:rPr>
                <w:rFonts w:ascii="Times New Roman" w:hAnsi="Times New Roman" w:cs="Times New Roman" w:eastAsia="Times New Roman"/>
                <w:b/>
                <w:sz w:val="18"/>
              </w:rPr>
              <w:t xml:space="preserve">D3</w:t>
            </w:r>
          </w:p>
        </w:tc>
        <w:tc>
          <w:tcPr>
            <w:tcBorders>
              <w:bottom w:val="single" w:sz="8" w:color="000000"/>
            </w:tcBorders>
          </w:tcPr>
          <w:p>
            <w:pPr>
              <w:pStyle w:val="Compact"/>
              <w:spacing w:line="240" w:lineRule="auto" w:before="40" w:after="40"/>
            </w:pPr>
            <w:r>
              <w:rPr>
                <w:rFonts w:ascii="Times New Roman" w:hAnsi="Times New Roman" w:cs="Times New Roman" w:eastAsia="Times New Roman"/>
                <w:b/>
                <w:sz w:val="18"/>
              </w:rPr>
              <w:t xml:space="preserve">D4</w:t>
            </w:r>
          </w:p>
        </w:tc>
        <w:tc>
          <w:tcPr>
            <w:tcBorders>
              <w:bottom w:val="single" w:sz="8" w:color="000000"/>
            </w:tcBorders>
          </w:tcPr>
          <w:p>
            <w:pPr>
              <w:pStyle w:val="Compact"/>
              <w:spacing w:line="240" w:lineRule="auto" w:before="40" w:after="40"/>
            </w:pPr>
            <w:r>
              <w:rPr>
                <w:rFonts w:ascii="Times New Roman" w:hAnsi="Times New Roman" w:cs="Times New Roman" w:eastAsia="Times New Roman"/>
                <w:b/>
                <w:sz w:val="18"/>
              </w:rPr>
              <w:t xml:space="preserve">D5</w:t>
            </w:r>
          </w:p>
        </w:tc>
        <w:tc>
          <w:tcPr>
            <w:tcBorders>
              <w:bottom w:val="single" w:sz="8" w:color="000000"/>
            </w:tcBorders>
          </w:tcPr>
          <w:p>
            <w:pPr>
              <w:pStyle w:val="Compact"/>
              <w:spacing w:line="240" w:lineRule="auto" w:before="40" w:after="40"/>
            </w:pPr>
            <w:r>
              <w:rPr>
                <w:rFonts w:ascii="Times New Roman" w:hAnsi="Times New Roman" w:cs="Times New Roman" w:eastAsia="Times New Roman"/>
                <w:b/>
                <w:sz w:val="18"/>
              </w:rPr>
              <w:t xml:space="preserve">Overall</w:t>
            </w:r>
          </w:p>
        </w:tc>
      </w:tr>
      <w:tr>
        <w:trPr>
          <w:cantSplit/>
        </w:trPr>
        <w:tc>
          <w:tcPr/>
          <w:p>
            <w:pPr>
              <w:pStyle w:val="Compact"/>
              <w:spacing w:line="240" w:lineRule="auto" w:before="40" w:after="40"/>
            </w:pPr>
            <w:r>
              <w:rPr>
                <w:rFonts w:ascii="Times New Roman" w:hAnsi="Times New Roman" w:cs="Times New Roman" w:eastAsia="Times New Roman"/>
                <w:sz w:val="18"/>
              </w:rPr>
              <w:t xml:space="preserve">TROPiCS-02</w:t>
            </w:r>
          </w:p>
        </w:tc>
        <w:tc>
          <w:tcPr/>
          <w:p>
            <w:pPr>
              <w:pStyle w:val="Compact"/>
              <w:spacing w:line="240" w:lineRule="auto" w:before="40" w:after="40"/>
            </w:pPr>
            <w:r>
              <w:rPr>
                <w:rFonts w:ascii="Times New Roman" w:hAnsi="Times New Roman" w:cs="Times New Roman" w:eastAsia="Times New Roman"/>
                <w:sz w:val="18"/>
              </w:rPr>
              <w:t xml:space="preserve">Low</w:t>
            </w:r>
          </w:p>
        </w:tc>
        <w:tc>
          <w:tcPr/>
          <w:p>
            <w:pPr>
              <w:pStyle w:val="Compact"/>
              <w:spacing w:line="240" w:lineRule="auto" w:before="40" w:after="40"/>
            </w:pPr>
            <w:r>
              <w:rPr>
                <w:rFonts w:ascii="Times New Roman" w:hAnsi="Times New Roman" w:cs="Times New Roman" w:eastAsia="Times New Roman"/>
                <w:sz w:val="18"/>
              </w:rPr>
              <w:t xml:space="preserve">Some concerns</w:t>
            </w:r>
          </w:p>
        </w:tc>
        <w:tc>
          <w:tcPr/>
          <w:p>
            <w:pPr>
              <w:pStyle w:val="Compact"/>
              <w:spacing w:line="240" w:lineRule="auto" w:before="40" w:after="40"/>
            </w:pPr>
            <w:r>
              <w:rPr>
                <w:rFonts w:ascii="Times New Roman" w:hAnsi="Times New Roman" w:cs="Times New Roman" w:eastAsia="Times New Roman"/>
                <w:sz w:val="18"/>
              </w:rPr>
              <w:t xml:space="preserve">Low</w:t>
            </w:r>
          </w:p>
        </w:tc>
        <w:tc>
          <w:tcPr/>
          <w:p>
            <w:pPr>
              <w:pStyle w:val="Compact"/>
              <w:spacing w:line="240" w:lineRule="auto" w:before="40" w:after="40"/>
            </w:pPr>
            <w:r>
              <w:rPr>
                <w:rFonts w:ascii="Times New Roman" w:hAnsi="Times New Roman" w:cs="Times New Roman" w:eastAsia="Times New Roman"/>
                <w:sz w:val="18"/>
              </w:rPr>
              <w:t xml:space="preserve">Low</w:t>
            </w:r>
          </w:p>
        </w:tc>
        <w:tc>
          <w:tcPr/>
          <w:p>
            <w:pPr>
              <w:pStyle w:val="Compact"/>
              <w:spacing w:line="240" w:lineRule="auto" w:before="40" w:after="40"/>
            </w:pPr>
            <w:r>
              <w:rPr>
                <w:rFonts w:ascii="Times New Roman" w:hAnsi="Times New Roman" w:cs="Times New Roman" w:eastAsia="Times New Roman"/>
                <w:sz w:val="18"/>
              </w:rPr>
              <w:t xml:space="preserve">Low</w:t>
            </w:r>
          </w:p>
        </w:tc>
        <w:tc>
          <w:tcPr/>
          <w:p>
            <w:pPr>
              <w:pStyle w:val="Compact"/>
              <w:spacing w:line="240" w:lineRule="auto" w:before="40" w:after="40"/>
            </w:pPr>
            <w:r>
              <w:rPr>
                <w:rFonts w:ascii="Times New Roman" w:hAnsi="Times New Roman" w:cs="Times New Roman" w:eastAsia="Times New Roman"/>
                <w:sz w:val="18"/>
              </w:rPr>
              <w:t xml:space="preserve">Some concerns</w:t>
            </w:r>
          </w:p>
        </w:tc>
      </w:tr>
      <w:tr>
        <w:trPr>
          <w:cantSplit/>
        </w:trPr>
        <w:tc>
          <w:tcPr/>
          <w:p>
            <w:pPr>
              <w:pStyle w:val="Compact"/>
              <w:spacing w:line="240" w:lineRule="auto" w:before="40" w:after="40"/>
            </w:pPr>
            <w:r>
              <w:rPr>
                <w:rFonts w:ascii="Times New Roman" w:hAnsi="Times New Roman" w:cs="Times New Roman" w:eastAsia="Times New Roman"/>
                <w:sz w:val="18"/>
              </w:rPr>
              <w:t xml:space="preserve">EVER-132-002</w:t>
            </w:r>
          </w:p>
        </w:tc>
        <w:tc>
          <w:tcPr/>
          <w:p>
            <w:pPr>
              <w:pStyle w:val="Compact"/>
              <w:spacing w:line="240" w:lineRule="auto" w:before="40" w:after="40"/>
            </w:pPr>
            <w:r>
              <w:rPr>
                <w:rFonts w:ascii="Times New Roman" w:hAnsi="Times New Roman" w:cs="Times New Roman" w:eastAsia="Times New Roman"/>
                <w:sz w:val="18"/>
              </w:rPr>
              <w:t xml:space="preserve">Low</w:t>
            </w:r>
          </w:p>
        </w:tc>
        <w:tc>
          <w:tcPr/>
          <w:p>
            <w:pPr>
              <w:pStyle w:val="Compact"/>
              <w:spacing w:line="240" w:lineRule="auto" w:before="40" w:after="40"/>
            </w:pPr>
            <w:r>
              <w:rPr>
                <w:rFonts w:ascii="Times New Roman" w:hAnsi="Times New Roman" w:cs="Times New Roman" w:eastAsia="Times New Roman"/>
                <w:sz w:val="18"/>
              </w:rPr>
              <w:t xml:space="preserve">Some concerns</w:t>
            </w:r>
          </w:p>
        </w:tc>
        <w:tc>
          <w:tcPr/>
          <w:p>
            <w:pPr>
              <w:pStyle w:val="Compact"/>
              <w:spacing w:line="240" w:lineRule="auto" w:before="40" w:after="40"/>
            </w:pPr>
            <w:r>
              <w:rPr>
                <w:rFonts w:ascii="Times New Roman" w:hAnsi="Times New Roman" w:cs="Times New Roman" w:eastAsia="Times New Roman"/>
                <w:sz w:val="18"/>
              </w:rPr>
              <w:t xml:space="preserve">Low</w:t>
            </w:r>
          </w:p>
        </w:tc>
        <w:tc>
          <w:tcPr/>
          <w:p>
            <w:pPr>
              <w:pStyle w:val="Compact"/>
              <w:spacing w:line="240" w:lineRule="auto" w:before="40" w:after="40"/>
            </w:pPr>
            <w:r>
              <w:rPr>
                <w:rFonts w:ascii="Times New Roman" w:hAnsi="Times New Roman" w:cs="Times New Roman" w:eastAsia="Times New Roman"/>
                <w:sz w:val="18"/>
              </w:rPr>
              <w:t xml:space="preserve">Low</w:t>
            </w:r>
          </w:p>
        </w:tc>
        <w:tc>
          <w:tcPr/>
          <w:p>
            <w:pPr>
              <w:pStyle w:val="Compact"/>
              <w:spacing w:line="240" w:lineRule="auto" w:before="40" w:after="40"/>
            </w:pPr>
            <w:r>
              <w:rPr>
                <w:rFonts w:ascii="Times New Roman" w:hAnsi="Times New Roman" w:cs="Times New Roman" w:eastAsia="Times New Roman"/>
                <w:sz w:val="18"/>
              </w:rPr>
              <w:t xml:space="preserve">Low</w:t>
            </w:r>
          </w:p>
        </w:tc>
        <w:tc>
          <w:tcPr/>
          <w:p>
            <w:pPr>
              <w:pStyle w:val="Compact"/>
              <w:spacing w:line="240" w:lineRule="auto" w:before="40" w:after="40"/>
            </w:pPr>
            <w:r>
              <w:rPr>
                <w:rFonts w:ascii="Times New Roman" w:hAnsi="Times New Roman" w:cs="Times New Roman" w:eastAsia="Times New Roman"/>
                <w:sz w:val="18"/>
              </w:rPr>
              <w:t xml:space="preserve">Some concerns</w:t>
            </w:r>
          </w:p>
        </w:tc>
      </w:tr>
      <w:tr>
        <w:trPr>
          <w:cantSplit/>
        </w:trPr>
        <w:tc>
          <w:tcPr/>
          <w:p>
            <w:pPr>
              <w:pStyle w:val="Compact"/>
              <w:spacing w:line="240" w:lineRule="auto" w:before="40" w:after="40"/>
            </w:pPr>
            <w:r>
              <w:rPr>
                <w:rFonts w:ascii="Times New Roman" w:hAnsi="Times New Roman" w:cs="Times New Roman" w:eastAsia="Times New Roman"/>
                <w:sz w:val="18"/>
              </w:rPr>
              <w:t xml:space="preserve">TROPION-Breast01</w:t>
            </w:r>
          </w:p>
        </w:tc>
        <w:tc>
          <w:tcPr/>
          <w:p>
            <w:pPr>
              <w:pStyle w:val="Compact"/>
              <w:spacing w:line="240" w:lineRule="auto" w:before="40" w:after="40"/>
            </w:pPr>
            <w:r>
              <w:rPr>
                <w:rFonts w:ascii="Times New Roman" w:hAnsi="Times New Roman" w:cs="Times New Roman" w:eastAsia="Times New Roman"/>
                <w:sz w:val="18"/>
              </w:rPr>
              <w:t xml:space="preserve">Low</w:t>
            </w:r>
          </w:p>
        </w:tc>
        <w:tc>
          <w:tcPr/>
          <w:p>
            <w:pPr>
              <w:pStyle w:val="Compact"/>
              <w:spacing w:line="240" w:lineRule="auto" w:before="40" w:after="40"/>
            </w:pPr>
            <w:r>
              <w:rPr>
                <w:rFonts w:ascii="Times New Roman" w:hAnsi="Times New Roman" w:cs="Times New Roman" w:eastAsia="Times New Roman"/>
                <w:sz w:val="18"/>
              </w:rPr>
              <w:t xml:space="preserve">Some concerns</w:t>
            </w:r>
          </w:p>
        </w:tc>
        <w:tc>
          <w:tcPr/>
          <w:p>
            <w:pPr>
              <w:pStyle w:val="Compact"/>
              <w:spacing w:line="240" w:lineRule="auto" w:before="40" w:after="40"/>
            </w:pPr>
            <w:r>
              <w:rPr>
                <w:rFonts w:ascii="Times New Roman" w:hAnsi="Times New Roman" w:cs="Times New Roman" w:eastAsia="Times New Roman"/>
                <w:sz w:val="18"/>
              </w:rPr>
              <w:t xml:space="preserve">Low</w:t>
            </w:r>
          </w:p>
        </w:tc>
        <w:tc>
          <w:tcPr/>
          <w:p>
            <w:pPr>
              <w:pStyle w:val="Compact"/>
              <w:spacing w:line="240" w:lineRule="auto" w:before="40" w:after="40"/>
            </w:pPr>
            <w:r>
              <w:rPr>
                <w:rFonts w:ascii="Times New Roman" w:hAnsi="Times New Roman" w:cs="Times New Roman" w:eastAsia="Times New Roman"/>
                <w:sz w:val="18"/>
              </w:rPr>
              <w:t xml:space="preserve">Low</w:t>
            </w:r>
          </w:p>
        </w:tc>
        <w:tc>
          <w:tcPr/>
          <w:p>
            <w:pPr>
              <w:pStyle w:val="Compact"/>
              <w:spacing w:line="240" w:lineRule="auto" w:before="40" w:after="40"/>
            </w:pPr>
            <w:r>
              <w:rPr>
                <w:rFonts w:ascii="Times New Roman" w:hAnsi="Times New Roman" w:cs="Times New Roman" w:eastAsia="Times New Roman"/>
                <w:sz w:val="18"/>
              </w:rPr>
              <w:t xml:space="preserve">Low</w:t>
            </w:r>
          </w:p>
        </w:tc>
        <w:tc>
          <w:tcPr/>
          <w:p>
            <w:pPr>
              <w:pStyle w:val="Compact"/>
              <w:spacing w:line="240" w:lineRule="auto" w:before="40" w:after="40"/>
            </w:pPr>
            <w:r>
              <w:rPr>
                <w:rFonts w:ascii="Times New Roman" w:hAnsi="Times New Roman" w:cs="Times New Roman" w:eastAsia="Times New Roman"/>
                <w:sz w:val="18"/>
              </w:rPr>
              <w:t xml:space="preserve">Some concerns</w:t>
            </w:r>
          </w:p>
        </w:tc>
      </w:tr>
    </w:tbl>
    <w:p>
      <w:pPr>
        <w:spacing w:lineRule="auto" w:line="276" w:before="0" w:after="120"/>
        <w:jc w:val="both"/>
      </w:pPr>
      <w:r>
        <w:rPr>
          <w:rFonts w:ascii="Times New Roman" w:hAnsi="Times New Roman" w:cs="Times New Roman" w:eastAsia="Times New Roman"/>
          <w:sz w:val="22"/>
        </w:rPr>
        <w:pict>
          <v:rect style="width:0;height:1.5pt" o:hralign="center" o:hrstd="t" o:hr="t"/>
        </w:pict>
      </w:r>
    </w:p>
    <w:bookmarkEnd w:id="11"/>
    <w:bookmarkEnd w:id="12"/>
    <w:bookmarkStart w:id="18" w:name="domain-specific-justifications"/>
    <w:p>
      <w:pPr>
        <w:pStyle w:val="Heading2"/>
        <w:spacing w:lineRule="auto" w:line="276" w:before="0" w:after="120"/>
      </w:pPr>
      <w:r>
        <w:rPr>
          <w:rFonts w:ascii="Times New Roman" w:hAnsi="Times New Roman" w:cs="Times New Roman" w:eastAsia="Times New Roman"/>
          <w:b/>
          <w:sz w:val="24"/>
        </w:rPr>
        <w:t xml:space="preserve">Domain-Specific Justifications</w:t>
      </w:r>
    </w:p>
    <w:bookmarkStart w:id="13" w:name="Xfb943d7e013dd5e4adbeef1659842b65f3ed0d2"/>
    <w:p>
      <w:pPr>
        <w:pStyle w:val="Heading3"/>
        <w:spacing w:lineRule="auto" w:line="276" w:before="0" w:after="120"/>
      </w:pPr>
      <w:r>
        <w:rPr>
          <w:rFonts w:ascii="Times New Roman" w:hAnsi="Times New Roman" w:cs="Times New Roman" w:eastAsia="Times New Roman"/>
          <w:b/>
          <w:sz w:val="22"/>
        </w:rPr>
        <w:t xml:space="preserve">D1 (Randomization process) — All trials: Low risk</w:t>
      </w:r>
    </w:p>
    <w:p>
      <w:pPr>
        <w:pStyle w:val="Compact"/>
        <w:numPr>
          <w:ilvl w:val="0"/>
          <w:numId w:val="1003"/>
        </w:numPr>
        <w:spacing w:lineRule="auto" w:line="276" w:before="0" w:after="120"/>
        <w:jc w:val="both"/>
      </w:pPr>
      <w:r>
        <w:rPr>
          <w:rFonts w:ascii="Times New Roman" w:hAnsi="Times New Roman" w:cs="Times New Roman" w:eastAsia="Times New Roman"/>
          <w:sz w:val="22"/>
        </w:rPr>
        <w:t xml:space="preserve">All trials reported computer-generated 1:1 block randomization</w:t>
      </w:r>
    </w:p>
    <w:p>
      <w:pPr>
        <w:pStyle w:val="Compact"/>
        <w:numPr>
          <w:ilvl w:val="0"/>
          <w:numId w:val="1003"/>
        </w:numPr>
        <w:spacing w:lineRule="auto" w:line="276" w:before="0" w:after="120"/>
        <w:jc w:val="both"/>
      </w:pPr>
      <w:r>
        <w:rPr>
          <w:rFonts w:ascii="Times New Roman" w:hAnsi="Times New Roman" w:cs="Times New Roman" w:eastAsia="Times New Roman"/>
          <w:sz w:val="22"/>
        </w:rPr>
        <w:t xml:space="preserve">Allocation concealment via centralized interactive web/voice response system</w:t>
      </w:r>
    </w:p>
    <w:p>
      <w:pPr>
        <w:pStyle w:val="Compact"/>
        <w:numPr>
          <w:ilvl w:val="0"/>
          <w:numId w:val="1003"/>
        </w:numPr>
        <w:spacing w:lineRule="auto" w:line="276" w:before="0" w:after="120"/>
        <w:jc w:val="both"/>
      </w:pPr>
      <w:r>
        <w:rPr>
          <w:rFonts w:ascii="Times New Roman" w:hAnsi="Times New Roman" w:cs="Times New Roman" w:eastAsia="Times New Roman"/>
          <w:sz w:val="22"/>
        </w:rPr>
        <w:t xml:space="preserve">Baseline characteristics balanced across arms (reported in original publications)</w:t>
      </w:r>
    </w:p>
    <w:bookmarkEnd w:id="13"/>
    <w:bookmarkStart w:id="14" w:name="Xd17ecca31e01c14d5d8719cd66c62613e770a73"/>
    <w:p>
      <w:pPr>
        <w:pStyle w:val="Heading3"/>
        <w:spacing w:lineRule="auto" w:line="276" w:before="0" w:after="120"/>
      </w:pPr>
      <w:r>
        <w:rPr>
          <w:rFonts w:ascii="Times New Roman" w:hAnsi="Times New Roman" w:cs="Times New Roman" w:eastAsia="Times New Roman"/>
          <w:b/>
          <w:sz w:val="22"/>
        </w:rPr>
        <w:t xml:space="preserve">D2 (Deviations from intended interventions) — All trials: Some concerns</w:t>
      </w:r>
    </w:p>
    <w:p>
      <w:pPr>
        <w:pStyle w:val="Compact"/>
        <w:numPr>
          <w:ilvl w:val="0"/>
          <w:numId w:val="1004"/>
        </w:numPr>
        <w:spacing w:lineRule="auto" w:line="276" w:before="0" w:after="120"/>
        <w:jc w:val="both"/>
      </w:pPr>
      <w:r>
        <w:rPr>
          <w:rFonts w:ascii="Times New Roman" w:hAnsi="Times New Roman" w:cs="Times New Roman" w:eastAsia="Times New Roman"/>
          <w:sz w:val="22"/>
        </w:rPr>
        <w:t xml:space="preserve">All trials were</w:t>
      </w:r>
      <w:r>
        <w:rPr>
          <w:rFonts w:ascii="Times New Roman" w:hAnsi="Times New Roman" w:cs="Times New Roman" w:eastAsia="Times New Roman"/>
          <w:sz w:val="22"/>
        </w:rPr>
        <w:t xml:space="preserve"> </w:t>
      </w:r>
      <w:r>
        <w:rPr>
          <w:rFonts w:ascii="Times New Roman" w:hAnsi="Times New Roman" w:cs="Times New Roman" w:eastAsia="Times New Roman"/>
          <w:b/>
          <w:bCs/>
          <w:sz w:val="22"/>
        </w:rPr>
        <w:t xml:space="preserve">open-label</w:t>
      </w:r>
      <w:r>
        <w:rPr>
          <w:rFonts w:ascii="Times New Roman" w:hAnsi="Times New Roman" w:cs="Times New Roman" w:eastAsia="Times New Roman"/>
          <w:sz w:val="22"/>
        </w:rPr>
        <w:t xml:space="preserve"> </w:t>
      </w:r>
      <w:r>
        <w:rPr>
          <w:rFonts w:ascii="Times New Roman" w:hAnsi="Times New Roman" w:cs="Times New Roman" w:eastAsia="Times New Roman"/>
          <w:sz w:val="22"/>
        </w:rPr>
        <w:t xml:space="preserve">(active vs chemotherapy comparator)</w:t>
      </w:r>
    </w:p>
    <w:p>
      <w:pPr>
        <w:pStyle w:val="Compact"/>
        <w:numPr>
          <w:ilvl w:val="0"/>
          <w:numId w:val="1004"/>
        </w:numPr>
        <w:spacing w:lineRule="auto" w:line="276" w:before="0" w:after="120"/>
        <w:jc w:val="both"/>
      </w:pPr>
      <w:r>
        <w:rPr>
          <w:rFonts w:ascii="Times New Roman" w:hAnsi="Times New Roman" w:cs="Times New Roman" w:eastAsia="Times New Roman"/>
          <w:sz w:val="22"/>
        </w:rPr>
        <w:t xml:space="preserve">Open-label design could plausibly affect protocol deviations and post-randomization care decisions</w:t>
      </w:r>
    </w:p>
    <w:p>
      <w:pPr>
        <w:pStyle w:val="Compact"/>
        <w:numPr>
          <w:ilvl w:val="0"/>
          <w:numId w:val="1004"/>
        </w:numPr>
        <w:spacing w:lineRule="auto" w:line="276" w:before="0" w:after="120"/>
        <w:jc w:val="both"/>
      </w:pPr>
      <w:r>
        <w:rPr>
          <w:rFonts w:ascii="Times New Roman" w:hAnsi="Times New Roman" w:cs="Times New Roman" w:eastAsia="Times New Roman"/>
          <w:sz w:val="22"/>
        </w:rPr>
        <w:t xml:space="preserve">TROPION-Breast01 specifically: imbalanced subsequent ADC use (12.3% Dato-DXd arm vs 24.0% chemotherapy arm) raised additional concern, particularly for OS interpretation</w:t>
      </w:r>
    </w:p>
    <w:bookmarkEnd w:id="14"/>
    <w:bookmarkStart w:id="15" w:name="Xa4228ff8eaf571af81858130ceeb52fcb9f3018"/>
    <w:p>
      <w:pPr>
        <w:pStyle w:val="Heading3"/>
        <w:spacing w:lineRule="auto" w:line="276" w:before="0" w:after="120"/>
      </w:pPr>
      <w:r>
        <w:rPr>
          <w:rFonts w:ascii="Times New Roman" w:hAnsi="Times New Roman" w:cs="Times New Roman" w:eastAsia="Times New Roman"/>
          <w:b/>
          <w:sz w:val="22"/>
        </w:rPr>
        <w:t xml:space="preserve">D3 (Missing outcome data) — All trials: Low risk</w:t>
      </w:r>
    </w:p>
    <w:p>
      <w:pPr>
        <w:pStyle w:val="Compact"/>
        <w:numPr>
          <w:ilvl w:val="0"/>
          <w:numId w:val="1005"/>
        </w:numPr>
        <w:spacing w:lineRule="auto" w:line="276" w:before="0" w:after="120"/>
        <w:jc w:val="both"/>
      </w:pPr>
      <w:r>
        <w:rPr>
          <w:rFonts w:ascii="Times New Roman" w:hAnsi="Times New Roman" w:cs="Times New Roman" w:eastAsia="Times New Roman"/>
          <w:sz w:val="22"/>
        </w:rPr>
        <w:t xml:space="preserve">Outcome data available for &gt;95% of randomized participants in all trials</w:t>
      </w:r>
    </w:p>
    <w:p>
      <w:pPr>
        <w:pStyle w:val="Compact"/>
        <w:numPr>
          <w:ilvl w:val="0"/>
          <w:numId w:val="1005"/>
        </w:numPr>
        <w:spacing w:lineRule="auto" w:line="276" w:before="0" w:after="120"/>
        <w:jc w:val="both"/>
      </w:pPr>
      <w:r>
        <w:rPr>
          <w:rFonts w:ascii="Times New Roman" w:hAnsi="Times New Roman" w:cs="Times New Roman" w:eastAsia="Times New Roman"/>
          <w:sz w:val="22"/>
        </w:rPr>
        <w:t xml:space="preserve">Intention-to-treat (ITT) analysis used as primary analysis</w:t>
      </w:r>
    </w:p>
    <w:p>
      <w:pPr>
        <w:pStyle w:val="Compact"/>
        <w:numPr>
          <w:ilvl w:val="0"/>
          <w:numId w:val="1005"/>
        </w:numPr>
        <w:spacing w:lineRule="auto" w:line="276" w:before="0" w:after="120"/>
        <w:jc w:val="both"/>
      </w:pPr>
      <w:r>
        <w:rPr>
          <w:rFonts w:ascii="Times New Roman" w:hAnsi="Times New Roman" w:cs="Times New Roman" w:eastAsia="Times New Roman"/>
          <w:sz w:val="22"/>
        </w:rPr>
        <w:t xml:space="preserve">Missing data handled appropriately (sensitivity analyses reported in original publications)</w:t>
      </w:r>
    </w:p>
    <w:bookmarkEnd w:id="15"/>
    <w:bookmarkStart w:id="16" w:name="X94b35a4efd53f18b58aee50753baee9cdc1fb12"/>
    <w:p>
      <w:pPr>
        <w:pStyle w:val="Heading3"/>
        <w:spacing w:lineRule="auto" w:line="276" w:before="0" w:after="120"/>
      </w:pPr>
      <w:r>
        <w:rPr>
          <w:rFonts w:ascii="Times New Roman" w:hAnsi="Times New Roman" w:cs="Times New Roman" w:eastAsia="Times New Roman"/>
          <w:b/>
          <w:sz w:val="22"/>
        </w:rPr>
        <w:t xml:space="preserve">D4 (Measurement of the outcome) — All trials: Low risk</w:t>
      </w:r>
    </w:p>
    <w:p>
      <w:pPr>
        <w:pStyle w:val="Compact"/>
        <w:numPr>
          <w:ilvl w:val="0"/>
          <w:numId w:val="1006"/>
        </w:numPr>
        <w:spacing w:lineRule="auto" w:line="276" w:before="0" w:after="120"/>
        <w:jc w:val="both"/>
      </w:pPr>
      <w:r>
        <w:rPr>
          <w:rFonts w:ascii="Times New Roman" w:hAnsi="Times New Roman" w:cs="Times New Roman" w:eastAsia="Times New Roman"/>
          <w:b/>
          <w:bCs/>
          <w:sz w:val="22"/>
        </w:rPr>
        <w:t xml:space="preserve">PFS</w:t>
      </w:r>
      <w:r>
        <w:rPr>
          <w:rFonts w:ascii="Times New Roman" w:hAnsi="Times New Roman" w:cs="Times New Roman" w:eastAsia="Times New Roman"/>
          <w:sz w:val="22"/>
        </w:rPr>
        <w:t xml:space="preserve">: All trials used blinded independent central review (BICR) — robust against open-label bias</w:t>
      </w:r>
    </w:p>
    <w:p>
      <w:pPr>
        <w:pStyle w:val="Compact"/>
        <w:numPr>
          <w:ilvl w:val="0"/>
          <w:numId w:val="1006"/>
        </w:numPr>
        <w:spacing w:lineRule="auto" w:line="276" w:before="0" w:after="120"/>
        <w:jc w:val="both"/>
      </w:pPr>
      <w:r>
        <w:rPr>
          <w:rFonts w:ascii="Times New Roman" w:hAnsi="Times New Roman" w:cs="Times New Roman" w:eastAsia="Times New Roman"/>
          <w:b/>
          <w:bCs/>
          <w:sz w:val="22"/>
        </w:rPr>
        <w:t xml:space="preserve">OS</w:t>
      </w:r>
      <w:r>
        <w:rPr>
          <w:rFonts w:ascii="Times New Roman" w:hAnsi="Times New Roman" w:cs="Times New Roman" w:eastAsia="Times New Roman"/>
          <w:sz w:val="22"/>
        </w:rPr>
        <w:t xml:space="preserve">: An objective endpoint, not subject to assessor bias</w:t>
      </w:r>
    </w:p>
    <w:p>
      <w:pPr>
        <w:pStyle w:val="Compact"/>
        <w:numPr>
          <w:ilvl w:val="0"/>
          <w:numId w:val="1006"/>
        </w:numPr>
        <w:spacing w:lineRule="auto" w:line="276" w:before="0" w:after="120"/>
        <w:jc w:val="both"/>
      </w:pPr>
      <w:r>
        <w:rPr>
          <w:rFonts w:ascii="Times New Roman" w:hAnsi="Times New Roman" w:cs="Times New Roman" w:eastAsia="Times New Roman"/>
          <w:b/>
          <w:bCs/>
          <w:sz w:val="22"/>
        </w:rPr>
        <w:t xml:space="preserve">AEs</w:t>
      </w:r>
      <w:r>
        <w:rPr>
          <w:rFonts w:ascii="Times New Roman" w:hAnsi="Times New Roman" w:cs="Times New Roman" w:eastAsia="Times New Roman"/>
          <w:sz w:val="22"/>
        </w:rPr>
        <w:t xml:space="preserve">: Graded per CTCAE version applicable at each trial; standard methodology</w:t>
      </w:r>
    </w:p>
    <w:bookmarkEnd w:id="16"/>
    <w:bookmarkStart w:id="17" w:name="X80eb4a2f5db5d4c48609b12fdb84ff85c332efa"/>
    <w:p>
      <w:pPr>
        <w:pStyle w:val="Heading3"/>
        <w:spacing w:lineRule="auto" w:line="276" w:before="0" w:after="120"/>
      </w:pPr>
      <w:r>
        <w:rPr>
          <w:rFonts w:ascii="Times New Roman" w:hAnsi="Times New Roman" w:cs="Times New Roman" w:eastAsia="Times New Roman"/>
          <w:b/>
          <w:sz w:val="22"/>
        </w:rPr>
        <w:t xml:space="preserve">D5 (Selection of the reported result) — All trials: Low risk</w:t>
      </w:r>
    </w:p>
    <w:p>
      <w:pPr>
        <w:pStyle w:val="Compact"/>
        <w:numPr>
          <w:ilvl w:val="0"/>
          <w:numId w:val="1007"/>
        </w:numPr>
        <w:spacing w:lineRule="auto" w:line="276" w:before="0" w:after="120"/>
        <w:jc w:val="both"/>
      </w:pPr>
      <w:r>
        <w:rPr>
          <w:rFonts w:ascii="Times New Roman" w:hAnsi="Times New Roman" w:cs="Times New Roman" w:eastAsia="Times New Roman"/>
          <w:sz w:val="22"/>
        </w:rPr>
        <w:t xml:space="preserve">All three trials had pre-specified primary and secondary endpoints registered on ClinicalTrials.gov</w:t>
      </w:r>
    </w:p>
    <w:p>
      <w:pPr>
        <w:pStyle w:val="Compact"/>
        <w:numPr>
          <w:ilvl w:val="0"/>
          <w:numId w:val="1007"/>
        </w:numPr>
        <w:spacing w:lineRule="auto" w:line="276" w:before="0" w:after="120"/>
        <w:jc w:val="both"/>
      </w:pPr>
      <w:r>
        <w:rPr>
          <w:rFonts w:ascii="Times New Roman" w:hAnsi="Times New Roman" w:cs="Times New Roman" w:eastAsia="Times New Roman"/>
          <w:sz w:val="22"/>
        </w:rPr>
        <w:t xml:space="preserve">Statistical analysis plans available</w:t>
      </w:r>
    </w:p>
    <w:p>
      <w:pPr>
        <w:pStyle w:val="Compact"/>
        <w:numPr>
          <w:ilvl w:val="0"/>
          <w:numId w:val="1007"/>
        </w:numPr>
        <w:spacing w:lineRule="auto" w:line="276" w:before="0" w:after="120"/>
        <w:jc w:val="both"/>
      </w:pPr>
      <w:r>
        <w:rPr>
          <w:rFonts w:ascii="Times New Roman" w:hAnsi="Times New Roman" w:cs="Times New Roman" w:eastAsia="Times New Roman"/>
          <w:sz w:val="22"/>
        </w:rPr>
        <w:t xml:space="preserve">Each trial’s HR-positive, HER2-negative population is the randomized population of that trial, not a subgroup extracted from a broader trial, so selective subgroup reporting does not arise for any included estimate</w:t>
      </w:r>
    </w:p>
    <w:p>
      <w:pPr>
        <w:spacing w:lineRule="auto" w:line="276" w:before="0" w:after="120"/>
        <w:jc w:val="both"/>
      </w:pPr>
      <w:r>
        <w:rPr>
          <w:rFonts w:ascii="Times New Roman" w:hAnsi="Times New Roman" w:cs="Times New Roman" w:eastAsia="Times New Roman"/>
          <w:sz w:val="22"/>
        </w:rPr>
        <w:pict>
          <v:rect style="width:0;height:1.5pt" o:hralign="center" o:hrstd="t" o:hr="t"/>
        </w:pict>
      </w:r>
    </w:p>
    <w:bookmarkEnd w:id="17"/>
    <w:bookmarkEnd w:id="18"/>
    <w:bookmarkStart w:id="19" w:name="overall-risk-of-bias-summary"/>
    <w:p>
      <w:pPr>
        <w:pStyle w:val="Heading2"/>
        <w:spacing w:lineRule="auto" w:line="276" w:before="0" w:after="120"/>
      </w:pPr>
      <w:r>
        <w:rPr>
          <w:rFonts w:ascii="Times New Roman" w:hAnsi="Times New Roman" w:cs="Times New Roman" w:eastAsia="Times New Roman"/>
          <w:b/>
          <w:sz w:val="24"/>
        </w:rPr>
        <w:t xml:space="preserve">Overall Risk of Bias Summary</w:t>
      </w:r>
    </w:p>
    <w:p>
      <w:pPr>
        <w:pStyle w:val="Compact"/>
        <w:numPr>
          <w:ilvl w:val="0"/>
          <w:numId w:val="1008"/>
        </w:numPr>
        <w:spacing w:lineRule="auto" w:line="276" w:before="0" w:after="120"/>
        <w:jc w:val="both"/>
      </w:pPr>
      <w:r>
        <w:rPr>
          <w:rFonts w:ascii="Times New Roman" w:hAnsi="Times New Roman" w:cs="Times New Roman" w:eastAsia="Times New Roman"/>
          <w:b/>
          <w:bCs/>
          <w:sz w:val="22"/>
        </w:rPr>
        <w:t xml:space="preserve">No trial was rated at high risk of bias overall</w:t>
      </w:r>
    </w:p>
    <w:p>
      <w:pPr>
        <w:pStyle w:val="Compact"/>
        <w:numPr>
          <w:ilvl w:val="0"/>
          <w:numId w:val="1008"/>
        </w:numPr>
        <w:spacing w:lineRule="auto" w:line="276" w:before="0" w:after="120"/>
        <w:jc w:val="both"/>
      </w:pPr>
      <w:r>
        <w:rPr>
          <w:rFonts w:ascii="Times New Roman" w:hAnsi="Times New Roman" w:cs="Times New Roman" w:eastAsia="Times New Roman"/>
          <w:sz w:val="22"/>
        </w:rPr>
        <w:t xml:space="preserve">All three trials were rated as</w:t>
      </w:r>
      <w:r>
        <w:rPr>
          <w:rFonts w:ascii="Times New Roman" w:hAnsi="Times New Roman" w:cs="Times New Roman" w:eastAsia="Times New Roman"/>
          <w:sz w:val="22"/>
        </w:rPr>
        <w:t xml:space="preserve"> </w:t>
      </w:r>
      <w:r>
        <w:rPr>
          <w:rFonts w:ascii="Times New Roman" w:hAnsi="Times New Roman" w:cs="Times New Roman" w:eastAsia="Times New Roman"/>
          <w:b/>
          <w:bCs/>
          <w:sz w:val="22"/>
        </w:rPr>
        <w:t xml:space="preserve">“Some concerns”</w:t>
      </w:r>
      <w:r>
        <w:rPr>
          <w:rFonts w:ascii="Times New Roman" w:hAnsi="Times New Roman" w:cs="Times New Roman" w:eastAsia="Times New Roman"/>
          <w:sz w:val="22"/>
        </w:rPr>
        <w:t xml:space="preserve"> </w:t>
      </w:r>
      <w:r>
        <w:rPr>
          <w:rFonts w:ascii="Times New Roman" w:hAnsi="Times New Roman" w:cs="Times New Roman" w:eastAsia="Times New Roman"/>
          <w:sz w:val="22"/>
        </w:rPr>
        <w:t xml:space="preserve">overall, driven by the open-label design (D2)</w:t>
      </w:r>
    </w:p>
    <w:p>
      <w:pPr>
        <w:pStyle w:val="Compact"/>
        <w:numPr>
          <w:ilvl w:val="0"/>
          <w:numId w:val="1008"/>
        </w:numPr>
        <w:spacing w:lineRule="auto" w:line="276" w:before="0" w:after="120"/>
        <w:jc w:val="both"/>
      </w:pPr>
      <w:r>
        <w:rPr>
          <w:rFonts w:ascii="Times New Roman" w:hAnsi="Times New Roman" w:cs="Times New Roman" w:eastAsia="Times New Roman"/>
          <w:sz w:val="22"/>
        </w:rPr>
        <w:t xml:space="preserve">The open-label design was not carried forward as a GRADE downgrade for progression-free survival, because PFS was assessed by blinded independent central review in all three trials, nor for overall survival, because death is not subject to assessor influence (see Additional file 4)</w:t>
      </w:r>
    </w:p>
    <w:p>
      <w:pPr>
        <w:pStyle w:val="Compact"/>
        <w:numPr>
          <w:ilvl w:val="0"/>
          <w:numId w:val="1008"/>
        </w:numPr>
        <w:spacing w:lineRule="auto" w:line="276" w:before="0" w:after="120"/>
        <w:jc w:val="both"/>
      </w:pPr>
      <w:r>
        <w:rPr>
          <w:rFonts w:ascii="Times New Roman" w:hAnsi="Times New Roman" w:cs="Times New Roman" w:eastAsia="Times New Roman"/>
          <w:sz w:val="22"/>
        </w:rPr>
        <w:t xml:space="preserve">The specific concern that did affect certainty is the imbalanced subsequent ADC therapy in TROPION-Breast01, recorded as risk of bias for the Dato-DXd and indirect overall survival estimates</w:t>
      </w:r>
    </w:p>
    <w:bookmarkEnd w:id="19"/>
    <w:bookmarkEnd w:id="20"/>
    <w:sectPr>
      <w:footerReference w:type="default" r:id="rId9"/>
      <w:footnotePr>
        <w:numRestart w:val="eachSect"/>
      </w:footnotePr>
      <w:pgSz w:w="12240" w:h="15840"/>
      <w:pgMar w:top="1440" w:bottom="1440" w:left="1440" w:right="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cs="Times New Roman" w:eastAsia="Times New Roman"/>
        <w:sz w:val="20"/>
      </w:rPr>
      <w:fldChar w:fldCharType="begin"/>
      <w:instrText>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2026-08-09T14:43:28Z</dcterms:created>
  <dcterms:modified xsi:type="dcterms:W3CDTF">2026-08-09T14:43:28Z</dcterms:modified>
</cp:coreProperties>
</file>

<file path=docProps/custom.xml><?xml version="1.0" encoding="utf-8"?>
<Properties xmlns="http://schemas.openxmlformats.org/officeDocument/2006/custom-properties" xmlns:vt="http://schemas.openxmlformats.org/officeDocument/2006/docPropsVTypes"/>
</file>