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4" w:name="Xe6173797843456304c6d50e60c9612a044866ec"/>
    <w:p>
      <w:pPr>
        <w:pStyle w:val="Heading1"/>
        <w:spacing w:lineRule="auto" w:line="276" w:before="0" w:after="240"/>
        <w:jc w:val="left"/>
      </w:pPr>
      <w:r>
        <w:rPr>
          <w:rFonts w:ascii="Times New Roman" w:hAnsi="Times New Roman" w:cs="Times New Roman" w:eastAsia="Times New Roman"/>
          <w:b/>
          <w:sz w:val="28"/>
        </w:rPr>
        <w:t>Additional file 6. Trial Sequential Analysis</w:t>
      </w:r>
    </w:p>
    <w:p>
      <w:pPr>
        <w:pStyle w:val="FirstParagraph"/>
        <w:spacing w:lineRule="auto" w:line="276" w:before="0" w:after="120"/>
        <w:jc w:val="both"/>
      </w:pPr>
      <w:r>
        <w:rPr>
          <w:rFonts w:ascii="Times New Roman" w:hAnsi="Times New Roman" w:cs="Times New Roman" w:eastAsia="Times New Roman"/>
          <w:sz w:val="22"/>
        </w:rPr>
        <w:t xml:space="preserve">Sacituzumab govitecan versus physician’s-choice chemotherapy, cumulative evidence by endpoint.</w:t>
      </w:r>
    </w:p>
    <w:p>
      <w:pPr>
        <w:pStyle w:val="BodyText"/>
        <w:spacing w:lineRule="auto" w:line="276" w:before="0" w:after="120"/>
        <w:jc w:val="both"/>
      </w:pPr>
      <w:r>
        <w:rPr>
          <w:rFonts w:ascii="Times New Roman" w:hAnsi="Times New Roman" w:cs="Times New Roman" w:eastAsia="Times New Roman"/>
          <w:sz w:val="22"/>
        </w:rPr>
        <w:t xml:space="preserve">This analysis is presented as a table rather than as a cumulative Z-curve. With two contributing trials per endpoint a Z-curve has two points, and plotting it as a line invites interpolation of a trajectory that the data do not describe.</w:t>
      </w:r>
    </w:p>
    <w:bookmarkStart w:id="9" w:name="pfs"/>
    <w:p>
      <w:pPr>
        <w:pStyle w:val="Heading2"/>
        <w:spacing w:lineRule="auto" w:line="276" w:before="0" w:after="120"/>
      </w:pPr>
      <w:r>
        <w:rPr>
          <w:rFonts w:ascii="Times New Roman" w:hAnsi="Times New Roman" w:cs="Times New Roman" w:eastAsia="Times New Roman"/>
          <w:b/>
          <w:sz w:val="24"/>
        </w:rPr>
        <w:t xml:space="preserve">PFS</w:t>
      </w:r>
    </w:p>
    <w:tbl>
      <w:tblPr>
        <w:tblStyle w:val="Table"/>
        <w:tblW w:type="dxa" w:w="12528"/>
        <w:tblLayout w:type="fixed"/>
        <w:tblLook w:firstRow="1" w:lastRow="0" w:firstColumn="0" w:lastColumn="0" w:noHBand="0" w:noVBand="0" w:val="0020"/>
        <w:jc w:val="left"/>
        <w:tblBorders>
          <w:top w:val="single" w:sz="12" w:color="000000"/>
          <w:bottom w:val="single" w:sz="12" w:color="000000"/>
          <w:left w:val="nil"/>
          <w:right w:val="nil"/>
          <w:insideH w:val="nil"/>
          <w:insideV w:val="nil"/>
        </w:tblBorders>
      </w:tblPr>
      <w:tblGrid>
        <w:gridCol w:w="792"/>
        <w:gridCol w:w="1656"/>
        <w:gridCol w:w="1224"/>
        <w:gridCol w:w="1512"/>
        <w:gridCol w:w="1512"/>
        <w:gridCol w:w="1512"/>
        <w:gridCol w:w="864"/>
        <w:gridCol w:w="1728"/>
        <w:gridCol w:w="1728"/>
      </w:tblGrid>
      <w:tr>
        <w:trPr>
          <w:tblHeader w:val="true"/>
          <w:cantSplit/>
        </w:trPr>
        <w:tc>
          <w:tcPr>
            <w:tcBorders>
              <w:bottom w:val="single" w:sz="8" w:color="000000"/>
            </w:tcBorders>
            <w:tcW w:type="dxa" w:w="792"/>
          </w:tcPr>
          <w:p>
            <w:pPr>
              <w:pStyle w:val="Compact"/>
              <w:spacing w:line="240" w:lineRule="auto" w:before="40" w:after="40"/>
            </w:pPr>
            <w:r>
              <w:rPr>
                <w:rFonts w:ascii="Times New Roman" w:hAnsi="Times New Roman" w:cs="Times New Roman" w:eastAsia="Times New Roman"/>
                <w:b/>
                <w:sz w:val="18"/>
              </w:rPr>
              <w:t xml:space="preserve">Look</w:t>
            </w:r>
          </w:p>
        </w:tc>
        <w:tc>
          <w:tcPr>
            <w:tcBorders>
              <w:bottom w:val="single" w:sz="8" w:color="000000"/>
            </w:tcBorders>
            <w:tcW w:type="dxa" w:w="1656"/>
          </w:tcPr>
          <w:p>
            <w:pPr>
              <w:pStyle w:val="Compact"/>
              <w:spacing w:line="240" w:lineRule="auto" w:before="40" w:after="40"/>
            </w:pPr>
            <w:r>
              <w:rPr>
                <w:rFonts w:ascii="Times New Roman" w:hAnsi="Times New Roman" w:cs="Times New Roman" w:eastAsia="Times New Roman"/>
                <w:b/>
                <w:sz w:val="18"/>
              </w:rPr>
              <w:t xml:space="preserve">Trial added</w:t>
            </w:r>
          </w:p>
        </w:tc>
        <w:tc>
          <w:tcPr>
            <w:tcBorders>
              <w:bottom w:val="single" w:sz="8" w:color="000000"/>
            </w:tcBorders>
            <w:tcW w:type="dxa" w:w="1224"/>
          </w:tcPr>
          <w:p>
            <w:pPr>
              <w:pStyle w:val="Compact"/>
              <w:spacing w:line="240" w:lineRule="auto" w:before="40" w:after="40"/>
            </w:pPr>
            <w:r>
              <w:rPr>
                <w:rFonts w:ascii="Times New Roman" w:hAnsi="Times New Roman" w:cs="Times New Roman" w:eastAsia="Times New Roman"/>
                <w:b/>
                <w:sz w:val="18"/>
              </w:rPr>
              <w:t xml:space="preserve">Cumulative n</w:t>
            </w:r>
          </w:p>
        </w:tc>
        <w:tc>
          <w:tcPr>
            <w:tcBorders>
              <w:bottom w:val="single" w:sz="8" w:color="000000"/>
            </w:tcBorders>
            <w:tcW w:type="dxa" w:w="1512"/>
          </w:tcPr>
          <w:p>
            <w:pPr>
              <w:pStyle w:val="Compact"/>
              <w:spacing w:line="240" w:lineRule="auto" w:before="40" w:after="40"/>
            </w:pPr>
            <w:r>
              <w:rPr>
                <w:rFonts w:ascii="Times New Roman" w:hAnsi="Times New Roman" w:cs="Times New Roman" w:eastAsia="Times New Roman"/>
                <w:b/>
                <w:sz w:val="18"/>
              </w:rPr>
              <w:t xml:space="preserve">Pooled HR (95% CI)</w:t>
            </w:r>
          </w:p>
        </w:tc>
        <w:tc>
          <w:tcPr>
            <w:tcBorders>
              <w:bottom w:val="single" w:sz="8" w:color="000000"/>
            </w:tcBorders>
            <w:tcW w:type="dxa" w:w="1512"/>
          </w:tcPr>
          <w:p>
            <w:pPr>
              <w:pStyle w:val="Compact"/>
              <w:spacing w:line="240" w:lineRule="auto" w:before="40" w:after="40"/>
            </w:pPr>
            <w:r>
              <w:rPr>
                <w:rFonts w:ascii="Times New Roman" w:hAnsi="Times New Roman" w:cs="Times New Roman" w:eastAsia="Times New Roman"/>
                <w:b/>
                <w:sz w:val="18"/>
              </w:rPr>
              <w:t xml:space="preserve">Accrued information</w:t>
            </w:r>
          </w:p>
        </w:tc>
        <w:tc>
          <w:tcPr>
            <w:tcBorders>
              <w:bottom w:val="single" w:sz="8" w:color="000000"/>
            </w:tcBorders>
            <w:tcW w:type="dxa" w:w="1512"/>
          </w:tcPr>
          <w:p>
            <w:pPr>
              <w:pStyle w:val="Compact"/>
              <w:spacing w:line="240" w:lineRule="auto" w:before="40" w:after="40"/>
            </w:pPr>
            <w:r>
              <w:rPr>
                <w:rFonts w:ascii="Times New Roman" w:hAnsi="Times New Roman" w:cs="Times New Roman" w:eastAsia="Times New Roman"/>
                <w:b/>
                <w:sz w:val="18"/>
              </w:rPr>
              <w:t xml:space="preserve">Information fraction</w:t>
            </w:r>
          </w:p>
        </w:tc>
        <w:tc>
          <w:tcPr>
            <w:tcBorders>
              <w:bottom w:val="single" w:sz="8" w:color="000000"/>
            </w:tcBorders>
            <w:tcW w:type="dxa" w:w="864"/>
          </w:tcPr>
          <w:p>
            <w:pPr>
              <w:pStyle w:val="Compact"/>
              <w:spacing w:line="240" w:lineRule="auto" w:before="40" w:after="40"/>
            </w:pPr>
            <w:r>
              <w:rPr>
                <w:rFonts w:ascii="Times New Roman" w:hAnsi="Times New Roman" w:cs="Times New Roman" w:eastAsia="Times New Roman"/>
                <w:b/>
                <w:sz w:val="18"/>
              </w:rPr>
              <w:t xml:space="preserve">|Z|</w:t>
            </w:r>
          </w:p>
        </w:tc>
        <w:tc>
          <w:tcPr>
            <w:tcBorders>
              <w:bottom w:val="single" w:sz="8" w:color="000000"/>
            </w:tcBorders>
            <w:tcW w:type="dxa" w:w="1728"/>
          </w:tcPr>
          <w:p>
            <w:pPr>
              <w:pStyle w:val="Compact"/>
              <w:spacing w:line="240" w:lineRule="auto" w:before="40" w:after="40"/>
            </w:pPr>
            <w:r>
              <w:rPr>
                <w:rFonts w:ascii="Times New Roman" w:hAnsi="Times New Roman" w:cs="Times New Roman" w:eastAsia="Times New Roman"/>
                <w:b/>
                <w:sz w:val="18"/>
              </w:rPr>
              <w:t xml:space="preserve">Adjusted boundary</w:t>
            </w:r>
          </w:p>
        </w:tc>
        <w:tc>
          <w:tcPr>
            <w:tcBorders>
              <w:bottom w:val="single" w:sz="8" w:color="000000"/>
            </w:tcBorders>
            <w:tcW w:type="dxa" w:w="1728"/>
          </w:tcPr>
          <w:p>
            <w:pPr>
              <w:pStyle w:val="Compact"/>
              <w:spacing w:line="240" w:lineRule="auto" w:before="40" w:after="40"/>
            </w:pPr>
            <w:r>
              <w:rPr>
                <w:rFonts w:ascii="Times New Roman" w:hAnsi="Times New Roman" w:cs="Times New Roman" w:eastAsia="Times New Roman"/>
                <w:b/>
                <w:sz w:val="18"/>
              </w:rPr>
              <w:t xml:space="preserve">Crosses boundary</w:t>
            </w:r>
          </w:p>
        </w:tc>
      </w:tr>
      <w:tr>
        <w:trPr>
          <w:cantSplit/>
        </w:trPr>
        <w:tc>
          <w:tcPr>
            <w:tcW w:type="dxa" w:w="792"/>
          </w:tcPr>
          <w:p>
            <w:pPr>
              <w:pStyle w:val="Compact"/>
              <w:spacing w:line="240" w:lineRule="auto" w:before="40" w:after="40"/>
            </w:pPr>
            <w:r>
              <w:rPr>
                <w:rFonts w:ascii="Times New Roman" w:hAnsi="Times New Roman" w:cs="Times New Roman" w:eastAsia="Times New Roman"/>
                <w:sz w:val="18"/>
              </w:rPr>
              <w:t xml:space="preserve">1</w:t>
            </w:r>
          </w:p>
        </w:tc>
        <w:tc>
          <w:tcPr>
            <w:tcW w:type="dxa" w:w="1656"/>
          </w:tcPr>
          <w:p>
            <w:pPr>
              <w:pStyle w:val="Compact"/>
              <w:spacing w:line="240" w:lineRule="auto" w:before="40" w:after="40"/>
            </w:pPr>
            <w:r>
              <w:rPr>
                <w:rFonts w:ascii="Times New Roman" w:hAnsi="Times New Roman" w:cs="Times New Roman" w:eastAsia="Times New Roman"/>
                <w:sz w:val="18"/>
              </w:rPr>
              <w:t xml:space="preserve">TROPiCS-02</w:t>
            </w:r>
          </w:p>
        </w:tc>
        <w:tc>
          <w:tcPr>
            <w:tcW w:type="dxa" w:w="1224"/>
          </w:tcPr>
          <w:p>
            <w:pPr>
              <w:pStyle w:val="Compact"/>
              <w:spacing w:line="240" w:lineRule="auto" w:before="40" w:after="40"/>
            </w:pPr>
            <w:r>
              <w:rPr>
                <w:rFonts w:ascii="Times New Roman" w:hAnsi="Times New Roman" w:cs="Times New Roman" w:eastAsia="Times New Roman"/>
                <w:sz w:val="18"/>
              </w:rPr>
              <w:t xml:space="preserve">543</w:t>
            </w:r>
          </w:p>
        </w:tc>
        <w:tc>
          <w:tcPr>
            <w:tcW w:type="dxa" w:w="1512"/>
          </w:tcPr>
          <w:p>
            <w:pPr>
              <w:pStyle w:val="Compact"/>
              <w:spacing w:line="240" w:lineRule="auto" w:before="40" w:after="40"/>
            </w:pPr>
            <w:r>
              <w:rPr>
                <w:rFonts w:ascii="Times New Roman" w:hAnsi="Times New Roman" w:cs="Times New Roman" w:eastAsia="Times New Roman"/>
                <w:sz w:val="18"/>
              </w:rPr>
              <w:t xml:space="preserve">0.66 (0.53–0.83)</w:t>
            </w:r>
          </w:p>
        </w:tc>
        <w:tc>
          <w:tcPr>
            <w:tcW w:type="dxa" w:w="1512"/>
          </w:tcPr>
          <w:p>
            <w:pPr>
              <w:pStyle w:val="Compact"/>
              <w:spacing w:line="240" w:lineRule="auto" w:before="40" w:after="40"/>
            </w:pPr>
            <w:r>
              <w:rPr>
                <w:rFonts w:ascii="Times New Roman" w:hAnsi="Times New Roman" w:cs="Times New Roman" w:eastAsia="Times New Roman"/>
                <w:sz w:val="18"/>
              </w:rPr>
              <w:t xml:space="preserve">76.4</w:t>
            </w:r>
          </w:p>
        </w:tc>
        <w:tc>
          <w:tcPr>
            <w:tcW w:type="dxa" w:w="1512"/>
          </w:tcPr>
          <w:p>
            <w:pPr>
              <w:pStyle w:val="Compact"/>
              <w:spacing w:line="240" w:lineRule="auto" w:before="40" w:after="40"/>
            </w:pPr>
            <w:r>
              <w:rPr>
                <w:rFonts w:ascii="Times New Roman" w:hAnsi="Times New Roman" w:cs="Times New Roman" w:eastAsia="Times New Roman"/>
                <w:sz w:val="18"/>
              </w:rPr>
              <w:t xml:space="preserve">1.628</w:t>
            </w:r>
          </w:p>
        </w:tc>
        <w:tc>
          <w:tcPr>
            <w:tcW w:type="dxa" w:w="864"/>
          </w:tcPr>
          <w:p>
            <w:pPr>
              <w:pStyle w:val="Compact"/>
              <w:spacing w:line="240" w:lineRule="auto" w:before="40" w:after="40"/>
            </w:pPr>
            <w:r>
              <w:rPr>
                <w:rFonts w:ascii="Times New Roman" w:hAnsi="Times New Roman" w:cs="Times New Roman" w:eastAsia="Times New Roman"/>
                <w:sz w:val="18"/>
              </w:rPr>
              <w:t xml:space="preserve">3.631</w:t>
            </w:r>
          </w:p>
        </w:tc>
        <w:tc>
          <w:tcPr>
            <w:tcW w:type="dxa" w:w="1728"/>
          </w:tcPr>
          <w:p>
            <w:pPr>
              <w:pStyle w:val="Compact"/>
              <w:spacing w:line="240" w:lineRule="auto" w:before="40" w:after="40"/>
            </w:pPr>
            <w:r>
              <w:rPr>
                <w:rFonts w:ascii="Times New Roman" w:hAnsi="Times New Roman" w:cs="Times New Roman" w:eastAsia="Times New Roman"/>
                <w:sz w:val="18"/>
              </w:rPr>
              <w:t xml:space="preserve">1.960</w:t>
            </w:r>
          </w:p>
        </w:tc>
        <w:tc>
          <w:tcPr>
            <w:tcW w:type="dxa" w:w="1728"/>
          </w:tcPr>
          <w:p>
            <w:pPr>
              <w:pStyle w:val="Compact"/>
              <w:spacing w:line="240" w:lineRule="auto" w:before="40" w:after="40"/>
            </w:pPr>
            <w:r>
              <w:rPr>
                <w:rFonts w:ascii="Times New Roman" w:hAnsi="Times New Roman" w:cs="Times New Roman" w:eastAsia="Times New Roman"/>
                <w:sz w:val="18"/>
              </w:rPr>
              <w:t xml:space="preserve">Yes</w:t>
            </w:r>
          </w:p>
        </w:tc>
      </w:tr>
      <w:tr>
        <w:trPr>
          <w:cantSplit/>
        </w:trPr>
        <w:tc>
          <w:tcPr>
            <w:tcW w:type="dxa" w:w="792"/>
          </w:tcPr>
          <w:p>
            <w:pPr>
              <w:pStyle w:val="Compact"/>
              <w:spacing w:line="240" w:lineRule="auto" w:before="40" w:after="40"/>
            </w:pPr>
            <w:r>
              <w:rPr>
                <w:rFonts w:ascii="Times New Roman" w:hAnsi="Times New Roman" w:cs="Times New Roman" w:eastAsia="Times New Roman"/>
                <w:sz w:val="18"/>
              </w:rPr>
              <w:t xml:space="preserve">2</w:t>
            </w:r>
          </w:p>
        </w:tc>
        <w:tc>
          <w:tcPr>
            <w:tcW w:type="dxa" w:w="1656"/>
          </w:tcPr>
          <w:p>
            <w:pPr>
              <w:pStyle w:val="Compact"/>
              <w:spacing w:line="240" w:lineRule="auto" w:before="40" w:after="40"/>
            </w:pPr>
            <w:r>
              <w:rPr>
                <w:rFonts w:ascii="Times New Roman" w:hAnsi="Times New Roman" w:cs="Times New Roman" w:eastAsia="Times New Roman"/>
                <w:sz w:val="18"/>
              </w:rPr>
              <w:t xml:space="preserve">EVER-132-002</w:t>
            </w:r>
          </w:p>
        </w:tc>
        <w:tc>
          <w:tcPr>
            <w:tcW w:type="dxa" w:w="1224"/>
          </w:tcPr>
          <w:p>
            <w:pPr>
              <w:pStyle w:val="Compact"/>
              <w:spacing w:line="240" w:lineRule="auto" w:before="40" w:after="40"/>
            </w:pPr>
            <w:r>
              <w:rPr>
                <w:rFonts w:ascii="Times New Roman" w:hAnsi="Times New Roman" w:cs="Times New Roman" w:eastAsia="Times New Roman"/>
                <w:sz w:val="18"/>
              </w:rPr>
              <w:t xml:space="preserve">874</w:t>
            </w:r>
          </w:p>
        </w:tc>
        <w:tc>
          <w:tcPr>
            <w:tcW w:type="dxa" w:w="1512"/>
          </w:tcPr>
          <w:p>
            <w:pPr>
              <w:pStyle w:val="Compact"/>
              <w:spacing w:line="240" w:lineRule="auto" w:before="40" w:after="40"/>
            </w:pPr>
            <w:r>
              <w:rPr>
                <w:rFonts w:ascii="Times New Roman" w:hAnsi="Times New Roman" w:cs="Times New Roman" w:eastAsia="Times New Roman"/>
                <w:sz w:val="18"/>
              </w:rPr>
              <w:t xml:space="preserve">0.66 (0.56–0.79)</w:t>
            </w:r>
          </w:p>
        </w:tc>
        <w:tc>
          <w:tcPr>
            <w:tcW w:type="dxa" w:w="1512"/>
          </w:tcPr>
          <w:p>
            <w:pPr>
              <w:pStyle w:val="Compact"/>
              <w:spacing w:line="240" w:lineRule="auto" w:before="40" w:after="40"/>
            </w:pPr>
            <w:r>
              <w:rPr>
                <w:rFonts w:ascii="Times New Roman" w:hAnsi="Times New Roman" w:cs="Times New Roman" w:eastAsia="Times New Roman"/>
                <w:sz w:val="18"/>
              </w:rPr>
              <w:t xml:space="preserve">134.4</w:t>
            </w:r>
          </w:p>
        </w:tc>
        <w:tc>
          <w:tcPr>
            <w:tcW w:type="dxa" w:w="1512"/>
          </w:tcPr>
          <w:p>
            <w:pPr>
              <w:pStyle w:val="Compact"/>
              <w:spacing w:line="240" w:lineRule="auto" w:before="40" w:after="40"/>
            </w:pPr>
            <w:r>
              <w:rPr>
                <w:rFonts w:ascii="Times New Roman" w:hAnsi="Times New Roman" w:cs="Times New Roman" w:eastAsia="Times New Roman"/>
                <w:sz w:val="18"/>
              </w:rPr>
              <w:t xml:space="preserve">2.864</w:t>
            </w:r>
          </w:p>
        </w:tc>
        <w:tc>
          <w:tcPr>
            <w:tcW w:type="dxa" w:w="864"/>
          </w:tcPr>
          <w:p>
            <w:pPr>
              <w:pStyle w:val="Compact"/>
              <w:spacing w:line="240" w:lineRule="auto" w:before="40" w:after="40"/>
            </w:pPr>
            <w:r>
              <w:rPr>
                <w:rFonts w:ascii="Times New Roman" w:hAnsi="Times New Roman" w:cs="Times New Roman" w:eastAsia="Times New Roman"/>
                <w:sz w:val="18"/>
              </w:rPr>
              <w:t xml:space="preserve">4.742</w:t>
            </w:r>
          </w:p>
        </w:tc>
        <w:tc>
          <w:tcPr>
            <w:tcW w:type="dxa" w:w="1728"/>
          </w:tcPr>
          <w:p>
            <w:pPr>
              <w:pStyle w:val="Compact"/>
              <w:spacing w:line="240" w:lineRule="auto" w:before="40" w:after="40"/>
            </w:pPr>
            <w:r>
              <w:rPr>
                <w:rFonts w:ascii="Times New Roman" w:hAnsi="Times New Roman" w:cs="Times New Roman" w:eastAsia="Times New Roman"/>
                <w:sz w:val="18"/>
              </w:rPr>
              <w:t xml:space="preserve">1.960</w:t>
            </w:r>
          </w:p>
        </w:tc>
        <w:tc>
          <w:tcPr>
            <w:tcW w:type="dxa" w:w="1728"/>
          </w:tcPr>
          <w:p>
            <w:pPr>
              <w:pStyle w:val="Compact"/>
              <w:spacing w:line="240" w:lineRule="auto" w:before="40" w:after="40"/>
            </w:pPr>
            <w:r>
              <w:rPr>
                <w:rFonts w:ascii="Times New Roman" w:hAnsi="Times New Roman" w:cs="Times New Roman" w:eastAsia="Times New Roman"/>
                <w:sz w:val="18"/>
              </w:rPr>
              <w:t xml:space="preserve">Yes</w:t>
            </w:r>
          </w:p>
        </w:tc>
      </w:tr>
    </w:tbl>
    <w:p>
      <w:pPr>
        <w:pStyle w:val="BodyText"/>
        <w:spacing w:lineRule="auto" w:line="276" w:before="0" w:after="120"/>
        <w:jc w:val="both"/>
      </w:pPr>
      <w:r>
        <w:rPr>
          <w:rFonts w:ascii="Times New Roman" w:hAnsi="Times New Roman" w:cs="Times New Roman" w:eastAsia="Times New Roman"/>
          <w:sz w:val="22"/>
        </w:rPr>
        <w:t xml:space="preserve">Between-trial heterogeneity: Cochran’s Q = 0.007, df = 1, I² = 0.0%, τ² = 0.0000. Required information = 46.9 (unadjusted 46.9, diversity-adjustment factor 1.000).</w:t>
      </w:r>
    </w:p>
    <w:bookmarkEnd w:id="9"/>
    <w:bookmarkStart w:id="10" w:name="os"/>
    <w:p>
      <w:pPr>
        <w:pStyle w:val="Heading2"/>
        <w:spacing w:lineRule="auto" w:line="276" w:before="0" w:after="120"/>
      </w:pPr>
      <w:r>
        <w:rPr>
          <w:rFonts w:ascii="Times New Roman" w:hAnsi="Times New Roman" w:cs="Times New Roman" w:eastAsia="Times New Roman"/>
          <w:b/>
          <w:sz w:val="24"/>
        </w:rPr>
        <w:t xml:space="preserve">OS</w:t>
      </w:r>
    </w:p>
    <w:tbl>
      <w:tblPr>
        <w:tblStyle w:val="Table"/>
        <w:tblW w:type="dxa" w:w="12528"/>
        <w:tblLayout w:type="fixed"/>
        <w:tblLook w:firstRow="1" w:lastRow="0" w:firstColumn="0" w:lastColumn="0" w:noHBand="0" w:noVBand="0" w:val="0020"/>
        <w:jc w:val="left"/>
        <w:tblBorders>
          <w:top w:val="single" w:sz="12" w:color="000000"/>
          <w:bottom w:val="single" w:sz="12" w:color="000000"/>
          <w:left w:val="nil"/>
          <w:right w:val="nil"/>
          <w:insideH w:val="nil"/>
          <w:insideV w:val="nil"/>
        </w:tblBorders>
      </w:tblPr>
      <w:tblGrid>
        <w:gridCol w:w="792"/>
        <w:gridCol w:w="1656"/>
        <w:gridCol w:w="1224"/>
        <w:gridCol w:w="1512"/>
        <w:gridCol w:w="1512"/>
        <w:gridCol w:w="1512"/>
        <w:gridCol w:w="864"/>
        <w:gridCol w:w="1728"/>
        <w:gridCol w:w="1728"/>
      </w:tblGrid>
      <w:tr>
        <w:trPr>
          <w:tblHeader w:val="true"/>
          <w:cantSplit/>
        </w:trPr>
        <w:tc>
          <w:tcPr>
            <w:tcBorders>
              <w:bottom w:val="single" w:sz="8" w:color="000000"/>
            </w:tcBorders>
            <w:tcW w:type="dxa" w:w="792"/>
          </w:tcPr>
          <w:p>
            <w:pPr>
              <w:pStyle w:val="Compact"/>
              <w:spacing w:line="240" w:lineRule="auto" w:before="40" w:after="40"/>
            </w:pPr>
            <w:r>
              <w:rPr>
                <w:rFonts w:ascii="Times New Roman" w:hAnsi="Times New Roman" w:cs="Times New Roman" w:eastAsia="Times New Roman"/>
                <w:b/>
                <w:sz w:val="18"/>
              </w:rPr>
              <w:t xml:space="preserve">Look</w:t>
            </w:r>
          </w:p>
        </w:tc>
        <w:tc>
          <w:tcPr>
            <w:tcBorders>
              <w:bottom w:val="single" w:sz="8" w:color="000000"/>
            </w:tcBorders>
            <w:tcW w:type="dxa" w:w="1656"/>
          </w:tcPr>
          <w:p>
            <w:pPr>
              <w:pStyle w:val="Compact"/>
              <w:spacing w:line="240" w:lineRule="auto" w:before="40" w:after="40"/>
            </w:pPr>
            <w:r>
              <w:rPr>
                <w:rFonts w:ascii="Times New Roman" w:hAnsi="Times New Roman" w:cs="Times New Roman" w:eastAsia="Times New Roman"/>
                <w:b/>
                <w:sz w:val="18"/>
              </w:rPr>
              <w:t xml:space="preserve">Trial added</w:t>
            </w:r>
          </w:p>
        </w:tc>
        <w:tc>
          <w:tcPr>
            <w:tcBorders>
              <w:bottom w:val="single" w:sz="8" w:color="000000"/>
            </w:tcBorders>
            <w:tcW w:type="dxa" w:w="1224"/>
          </w:tcPr>
          <w:p>
            <w:pPr>
              <w:pStyle w:val="Compact"/>
              <w:spacing w:line="240" w:lineRule="auto" w:before="40" w:after="40"/>
            </w:pPr>
            <w:r>
              <w:rPr>
                <w:rFonts w:ascii="Times New Roman" w:hAnsi="Times New Roman" w:cs="Times New Roman" w:eastAsia="Times New Roman"/>
                <w:b/>
                <w:sz w:val="18"/>
              </w:rPr>
              <w:t xml:space="preserve">Cumulative n</w:t>
            </w:r>
          </w:p>
        </w:tc>
        <w:tc>
          <w:tcPr>
            <w:tcBorders>
              <w:bottom w:val="single" w:sz="8" w:color="000000"/>
            </w:tcBorders>
            <w:tcW w:type="dxa" w:w="1512"/>
          </w:tcPr>
          <w:p>
            <w:pPr>
              <w:pStyle w:val="Compact"/>
              <w:spacing w:line="240" w:lineRule="auto" w:before="40" w:after="40"/>
            </w:pPr>
            <w:r>
              <w:rPr>
                <w:rFonts w:ascii="Times New Roman" w:hAnsi="Times New Roman" w:cs="Times New Roman" w:eastAsia="Times New Roman"/>
                <w:b/>
                <w:sz w:val="18"/>
              </w:rPr>
              <w:t xml:space="preserve">Pooled HR (95% CI)</w:t>
            </w:r>
          </w:p>
        </w:tc>
        <w:tc>
          <w:tcPr>
            <w:tcBorders>
              <w:bottom w:val="single" w:sz="8" w:color="000000"/>
            </w:tcBorders>
            <w:tcW w:type="dxa" w:w="1512"/>
          </w:tcPr>
          <w:p>
            <w:pPr>
              <w:pStyle w:val="Compact"/>
              <w:spacing w:line="240" w:lineRule="auto" w:before="40" w:after="40"/>
            </w:pPr>
            <w:r>
              <w:rPr>
                <w:rFonts w:ascii="Times New Roman" w:hAnsi="Times New Roman" w:cs="Times New Roman" w:eastAsia="Times New Roman"/>
                <w:b/>
                <w:sz w:val="18"/>
              </w:rPr>
              <w:t xml:space="preserve">Accrued information</w:t>
            </w:r>
          </w:p>
        </w:tc>
        <w:tc>
          <w:tcPr>
            <w:tcBorders>
              <w:bottom w:val="single" w:sz="8" w:color="000000"/>
            </w:tcBorders>
            <w:tcW w:type="dxa" w:w="1512"/>
          </w:tcPr>
          <w:p>
            <w:pPr>
              <w:pStyle w:val="Compact"/>
              <w:spacing w:line="240" w:lineRule="auto" w:before="40" w:after="40"/>
            </w:pPr>
            <w:r>
              <w:rPr>
                <w:rFonts w:ascii="Times New Roman" w:hAnsi="Times New Roman" w:cs="Times New Roman" w:eastAsia="Times New Roman"/>
                <w:b/>
                <w:sz w:val="18"/>
              </w:rPr>
              <w:t xml:space="preserve">Information fraction</w:t>
            </w:r>
          </w:p>
        </w:tc>
        <w:tc>
          <w:tcPr>
            <w:tcBorders>
              <w:bottom w:val="single" w:sz="8" w:color="000000"/>
            </w:tcBorders>
            <w:tcW w:type="dxa" w:w="864"/>
          </w:tcPr>
          <w:p>
            <w:pPr>
              <w:pStyle w:val="Compact"/>
              <w:spacing w:line="240" w:lineRule="auto" w:before="40" w:after="40"/>
            </w:pPr>
            <w:r>
              <w:rPr>
                <w:rFonts w:ascii="Times New Roman" w:hAnsi="Times New Roman" w:cs="Times New Roman" w:eastAsia="Times New Roman"/>
                <w:b/>
                <w:sz w:val="18"/>
              </w:rPr>
              <w:t xml:space="preserve">|Z|</w:t>
            </w:r>
          </w:p>
        </w:tc>
        <w:tc>
          <w:tcPr>
            <w:tcBorders>
              <w:bottom w:val="single" w:sz="8" w:color="000000"/>
            </w:tcBorders>
            <w:tcW w:type="dxa" w:w="1728"/>
          </w:tcPr>
          <w:p>
            <w:pPr>
              <w:pStyle w:val="Compact"/>
              <w:spacing w:line="240" w:lineRule="auto" w:before="40" w:after="40"/>
            </w:pPr>
            <w:r>
              <w:rPr>
                <w:rFonts w:ascii="Times New Roman" w:hAnsi="Times New Roman" w:cs="Times New Roman" w:eastAsia="Times New Roman"/>
                <w:b/>
                <w:sz w:val="18"/>
              </w:rPr>
              <w:t xml:space="preserve">Adjusted boundary</w:t>
            </w:r>
          </w:p>
        </w:tc>
        <w:tc>
          <w:tcPr>
            <w:tcBorders>
              <w:bottom w:val="single" w:sz="8" w:color="000000"/>
            </w:tcBorders>
            <w:tcW w:type="dxa" w:w="1728"/>
          </w:tcPr>
          <w:p>
            <w:pPr>
              <w:pStyle w:val="Compact"/>
              <w:spacing w:line="240" w:lineRule="auto" w:before="40" w:after="40"/>
            </w:pPr>
            <w:r>
              <w:rPr>
                <w:rFonts w:ascii="Times New Roman" w:hAnsi="Times New Roman" w:cs="Times New Roman" w:eastAsia="Times New Roman"/>
                <w:b/>
                <w:sz w:val="18"/>
              </w:rPr>
              <w:t xml:space="preserve">Crosses boundary</w:t>
            </w:r>
          </w:p>
        </w:tc>
      </w:tr>
      <w:tr>
        <w:trPr>
          <w:cantSplit/>
        </w:trPr>
        <w:tc>
          <w:tcPr>
            <w:tcW w:type="dxa" w:w="792"/>
          </w:tcPr>
          <w:p>
            <w:pPr>
              <w:pStyle w:val="Compact"/>
              <w:spacing w:line="240" w:lineRule="auto" w:before="40" w:after="40"/>
            </w:pPr>
            <w:r>
              <w:rPr>
                <w:rFonts w:ascii="Times New Roman" w:hAnsi="Times New Roman" w:cs="Times New Roman" w:eastAsia="Times New Roman"/>
                <w:sz w:val="18"/>
              </w:rPr>
              <w:t xml:space="preserve">1</w:t>
            </w:r>
          </w:p>
        </w:tc>
        <w:tc>
          <w:tcPr>
            <w:tcW w:type="dxa" w:w="1656"/>
          </w:tcPr>
          <w:p>
            <w:pPr>
              <w:pStyle w:val="Compact"/>
              <w:spacing w:line="240" w:lineRule="auto" w:before="40" w:after="40"/>
            </w:pPr>
            <w:r>
              <w:rPr>
                <w:rFonts w:ascii="Times New Roman" w:hAnsi="Times New Roman" w:cs="Times New Roman" w:eastAsia="Times New Roman"/>
                <w:sz w:val="18"/>
              </w:rPr>
              <w:t xml:space="preserve">TROPiCS-02</w:t>
            </w:r>
          </w:p>
        </w:tc>
        <w:tc>
          <w:tcPr>
            <w:tcW w:type="dxa" w:w="1224"/>
          </w:tcPr>
          <w:p>
            <w:pPr>
              <w:pStyle w:val="Compact"/>
              <w:spacing w:line="240" w:lineRule="auto" w:before="40" w:after="40"/>
            </w:pPr>
            <w:r>
              <w:rPr>
                <w:rFonts w:ascii="Times New Roman" w:hAnsi="Times New Roman" w:cs="Times New Roman" w:eastAsia="Times New Roman"/>
                <w:sz w:val="18"/>
              </w:rPr>
              <w:t xml:space="preserve">543</w:t>
            </w:r>
          </w:p>
        </w:tc>
        <w:tc>
          <w:tcPr>
            <w:tcW w:type="dxa" w:w="1512"/>
          </w:tcPr>
          <w:p>
            <w:pPr>
              <w:pStyle w:val="Compact"/>
              <w:spacing w:line="240" w:lineRule="auto" w:before="40" w:after="40"/>
            </w:pPr>
            <w:r>
              <w:rPr>
                <w:rFonts w:ascii="Times New Roman" w:hAnsi="Times New Roman" w:cs="Times New Roman" w:eastAsia="Times New Roman"/>
                <w:sz w:val="18"/>
              </w:rPr>
              <w:t xml:space="preserve">0.79 (0.65–0.96)</w:t>
            </w:r>
          </w:p>
        </w:tc>
        <w:tc>
          <w:tcPr>
            <w:tcW w:type="dxa" w:w="1512"/>
          </w:tcPr>
          <w:p>
            <w:pPr>
              <w:pStyle w:val="Compact"/>
              <w:spacing w:line="240" w:lineRule="auto" w:before="40" w:after="40"/>
            </w:pPr>
            <w:r>
              <w:rPr>
                <w:rFonts w:ascii="Times New Roman" w:hAnsi="Times New Roman" w:cs="Times New Roman" w:eastAsia="Times New Roman"/>
                <w:sz w:val="18"/>
              </w:rPr>
              <w:t xml:space="preserve">101.0</w:t>
            </w:r>
          </w:p>
        </w:tc>
        <w:tc>
          <w:tcPr>
            <w:tcW w:type="dxa" w:w="1512"/>
          </w:tcPr>
          <w:p>
            <w:pPr>
              <w:pStyle w:val="Compact"/>
              <w:spacing w:line="240" w:lineRule="auto" w:before="40" w:after="40"/>
            </w:pPr>
            <w:r>
              <w:rPr>
                <w:rFonts w:ascii="Times New Roman" w:hAnsi="Times New Roman" w:cs="Times New Roman" w:eastAsia="Times New Roman"/>
                <w:sz w:val="18"/>
              </w:rPr>
              <w:t xml:space="preserve">0.951</w:t>
            </w:r>
          </w:p>
        </w:tc>
        <w:tc>
          <w:tcPr>
            <w:tcW w:type="dxa" w:w="864"/>
          </w:tcPr>
          <w:p>
            <w:pPr>
              <w:pStyle w:val="Compact"/>
              <w:spacing w:line="240" w:lineRule="auto" w:before="40" w:after="40"/>
            </w:pPr>
            <w:r>
              <w:rPr>
                <w:rFonts w:ascii="Times New Roman" w:hAnsi="Times New Roman" w:cs="Times New Roman" w:eastAsia="Times New Roman"/>
                <w:sz w:val="18"/>
              </w:rPr>
              <w:t xml:space="preserve">2.370</w:t>
            </w:r>
          </w:p>
        </w:tc>
        <w:tc>
          <w:tcPr>
            <w:tcW w:type="dxa" w:w="1728"/>
          </w:tcPr>
          <w:p>
            <w:pPr>
              <w:pStyle w:val="Compact"/>
              <w:spacing w:line="240" w:lineRule="auto" w:before="40" w:after="40"/>
            </w:pPr>
            <w:r>
              <w:rPr>
                <w:rFonts w:ascii="Times New Roman" w:hAnsi="Times New Roman" w:cs="Times New Roman" w:eastAsia="Times New Roman"/>
                <w:sz w:val="18"/>
              </w:rPr>
              <w:t xml:space="preserve">2.010</w:t>
            </w:r>
          </w:p>
        </w:tc>
        <w:tc>
          <w:tcPr>
            <w:tcW w:type="dxa" w:w="1728"/>
          </w:tcPr>
          <w:p>
            <w:pPr>
              <w:pStyle w:val="Compact"/>
              <w:spacing w:line="240" w:lineRule="auto" w:before="40" w:after="40"/>
            </w:pPr>
            <w:r>
              <w:rPr>
                <w:rFonts w:ascii="Times New Roman" w:hAnsi="Times New Roman" w:cs="Times New Roman" w:eastAsia="Times New Roman"/>
                <w:sz w:val="18"/>
              </w:rPr>
              <w:t xml:space="preserve">Yes</w:t>
            </w:r>
          </w:p>
        </w:tc>
      </w:tr>
      <w:tr>
        <w:trPr>
          <w:cantSplit/>
        </w:trPr>
        <w:tc>
          <w:tcPr>
            <w:tcW w:type="dxa" w:w="792"/>
          </w:tcPr>
          <w:p>
            <w:pPr>
              <w:pStyle w:val="Compact"/>
              <w:spacing w:line="240" w:lineRule="auto" w:before="40" w:after="40"/>
            </w:pPr>
            <w:r>
              <w:rPr>
                <w:rFonts w:ascii="Times New Roman" w:hAnsi="Times New Roman" w:cs="Times New Roman" w:eastAsia="Times New Roman"/>
                <w:sz w:val="18"/>
              </w:rPr>
              <w:t xml:space="preserve">2</w:t>
            </w:r>
          </w:p>
        </w:tc>
        <w:tc>
          <w:tcPr>
            <w:tcW w:type="dxa" w:w="1656"/>
          </w:tcPr>
          <w:p>
            <w:pPr>
              <w:pStyle w:val="Compact"/>
              <w:spacing w:line="240" w:lineRule="auto" w:before="40" w:after="40"/>
            </w:pPr>
            <w:r>
              <w:rPr>
                <w:rFonts w:ascii="Times New Roman" w:hAnsi="Times New Roman" w:cs="Times New Roman" w:eastAsia="Times New Roman"/>
                <w:sz w:val="18"/>
              </w:rPr>
              <w:t xml:space="preserve">EVER-132-002</w:t>
            </w:r>
          </w:p>
        </w:tc>
        <w:tc>
          <w:tcPr>
            <w:tcW w:type="dxa" w:w="1224"/>
          </w:tcPr>
          <w:p>
            <w:pPr>
              <w:pStyle w:val="Compact"/>
              <w:spacing w:line="240" w:lineRule="auto" w:before="40" w:after="40"/>
            </w:pPr>
            <w:r>
              <w:rPr>
                <w:rFonts w:ascii="Times New Roman" w:hAnsi="Times New Roman" w:cs="Times New Roman" w:eastAsia="Times New Roman"/>
                <w:sz w:val="18"/>
              </w:rPr>
              <w:t xml:space="preserve">874</w:t>
            </w:r>
          </w:p>
        </w:tc>
        <w:tc>
          <w:tcPr>
            <w:tcW w:type="dxa" w:w="1512"/>
          </w:tcPr>
          <w:p>
            <w:pPr>
              <w:pStyle w:val="Compact"/>
              <w:spacing w:line="240" w:lineRule="auto" w:before="40" w:after="40"/>
            </w:pPr>
            <w:r>
              <w:rPr>
                <w:rFonts w:ascii="Times New Roman" w:hAnsi="Times New Roman" w:cs="Times New Roman" w:eastAsia="Times New Roman"/>
                <w:sz w:val="18"/>
              </w:rPr>
              <w:t xml:space="preserve">0.74 (0.61–0.90)</w:t>
            </w:r>
          </w:p>
        </w:tc>
        <w:tc>
          <w:tcPr>
            <w:tcW w:type="dxa" w:w="1512"/>
          </w:tcPr>
          <w:p>
            <w:pPr>
              <w:pStyle w:val="Compact"/>
              <w:spacing w:line="240" w:lineRule="auto" w:before="40" w:after="40"/>
            </w:pPr>
            <w:r>
              <w:rPr>
                <w:rFonts w:ascii="Times New Roman" w:hAnsi="Times New Roman" w:cs="Times New Roman" w:eastAsia="Times New Roman"/>
                <w:sz w:val="18"/>
              </w:rPr>
              <w:t xml:space="preserve">103.2</w:t>
            </w:r>
          </w:p>
        </w:tc>
        <w:tc>
          <w:tcPr>
            <w:tcW w:type="dxa" w:w="1512"/>
          </w:tcPr>
          <w:p>
            <w:pPr>
              <w:pStyle w:val="Compact"/>
              <w:spacing w:line="240" w:lineRule="auto" w:before="40" w:after="40"/>
            </w:pPr>
            <w:r>
              <w:rPr>
                <w:rFonts w:ascii="Times New Roman" w:hAnsi="Times New Roman" w:cs="Times New Roman" w:eastAsia="Times New Roman"/>
                <w:sz w:val="18"/>
              </w:rPr>
              <w:t xml:space="preserve">0.971</w:t>
            </w:r>
          </w:p>
        </w:tc>
        <w:tc>
          <w:tcPr>
            <w:tcW w:type="dxa" w:w="864"/>
          </w:tcPr>
          <w:p>
            <w:pPr>
              <w:pStyle w:val="Compact"/>
              <w:spacing w:line="240" w:lineRule="auto" w:before="40" w:after="40"/>
            </w:pPr>
            <w:r>
              <w:rPr>
                <w:rFonts w:ascii="Times New Roman" w:hAnsi="Times New Roman" w:cs="Times New Roman" w:eastAsia="Times New Roman"/>
                <w:sz w:val="18"/>
              </w:rPr>
              <w:t xml:space="preserve">3.085</w:t>
            </w:r>
          </w:p>
        </w:tc>
        <w:tc>
          <w:tcPr>
            <w:tcW w:type="dxa" w:w="1728"/>
          </w:tcPr>
          <w:p>
            <w:pPr>
              <w:pStyle w:val="Compact"/>
              <w:spacing w:line="240" w:lineRule="auto" w:before="40" w:after="40"/>
            </w:pPr>
            <w:r>
              <w:rPr>
                <w:rFonts w:ascii="Times New Roman" w:hAnsi="Times New Roman" w:cs="Times New Roman" w:eastAsia="Times New Roman"/>
                <w:sz w:val="18"/>
              </w:rPr>
              <w:t xml:space="preserve">1.989</w:t>
            </w:r>
          </w:p>
        </w:tc>
        <w:tc>
          <w:tcPr>
            <w:tcW w:type="dxa" w:w="1728"/>
          </w:tcPr>
          <w:p>
            <w:pPr>
              <w:pStyle w:val="Compact"/>
              <w:spacing w:line="240" w:lineRule="auto" w:before="40" w:after="40"/>
            </w:pPr>
            <w:r>
              <w:rPr>
                <w:rFonts w:ascii="Times New Roman" w:hAnsi="Times New Roman" w:cs="Times New Roman" w:eastAsia="Times New Roman"/>
                <w:sz w:val="18"/>
              </w:rPr>
              <w:t xml:space="preserve">Yes</w:t>
            </w:r>
          </w:p>
        </w:tc>
      </w:tr>
    </w:tbl>
    <w:p>
      <w:pPr>
        <w:pStyle w:val="BodyText"/>
        <w:spacing w:lineRule="auto" w:line="276" w:before="0" w:after="120"/>
        <w:jc w:val="both"/>
      </w:pPr>
      <w:r>
        <w:rPr>
          <w:rFonts w:ascii="Times New Roman" w:hAnsi="Times New Roman" w:cs="Times New Roman" w:eastAsia="Times New Roman"/>
          <w:sz w:val="22"/>
        </w:rPr>
        <w:t xml:space="preserve">Between-trial heterogeneity: Cochran’s Q = 1.249, df = 1, I² = 19.9%, τ² = 0.0044. Required information = 106.3 (unadjusted 85.1, diversity-adjustment factor 1.249).</w:t>
      </w:r>
    </w:p>
    <w:bookmarkEnd w:id="10"/>
    <w:bookmarkStart w:id="11" w:name="methods"/>
    <w:p>
      <w:pPr>
        <w:pStyle w:val="Heading2"/>
        <w:spacing w:lineRule="auto" w:line="276" w:before="0" w:after="120"/>
      </w:pPr>
      <w:r>
        <w:rPr>
          <w:rFonts w:ascii="Times New Roman" w:hAnsi="Times New Roman" w:cs="Times New Roman" w:eastAsia="Times New Roman"/>
          <w:b/>
          <w:sz w:val="24"/>
        </w:rPr>
        <w:t xml:space="preserve">Methods</w:t>
      </w:r>
    </w:p>
    <w:p>
      <w:pPr>
        <w:pStyle w:val="FirstParagraph"/>
        <w:spacing w:lineRule="auto" w:line="276" w:before="0" w:after="120"/>
        <w:jc w:val="both"/>
      </w:pPr>
      <w:r>
        <w:rPr>
          <w:rFonts w:ascii="Times New Roman" w:hAnsi="Times New Roman" w:cs="Times New Roman" w:eastAsia="Times New Roman"/>
          <w:sz w:val="22"/>
        </w:rPr>
        <w:t xml:space="preserve">Information is expressed in the variance metric,</w:t>
      </w:r>
      <w:r>
        <w:rPr>
          <w:rFonts w:ascii="Times New Roman" w:hAnsi="Times New Roman" w:cs="Times New Roman" w:eastAsia="Times New Roman"/>
          <w:sz w:val="22"/>
        </w:rPr>
        <w:t xml:space="preserve"> </w:t>
      </w:r>
      <w:r>
        <w:rPr>
          <w:rFonts w:ascii="Times New Roman" w:hAnsi="Times New Roman" w:cs="Times New Roman" w:eastAsia="Times New Roman"/>
          <w:i/>
          <w:iCs/>
          <w:sz w:val="22"/>
        </w:rPr>
        <w:t xml:space="preserve">I</w:t>
      </w:r>
      <w:r>
        <w:rPr>
          <w:rFonts w:ascii="Times New Roman" w:hAnsi="Times New Roman" w:cs="Times New Roman" w:eastAsia="Times New Roman"/>
          <w:sz w:val="22"/>
        </w:rPr>
        <w:t xml:space="preserve"> </w:t>
      </w:r>
      <w:r>
        <w:rPr>
          <w:rFonts w:ascii="Times New Roman" w:hAnsi="Times New Roman" w:cs="Times New Roman" w:eastAsia="Times New Roman"/>
          <w:sz w:val="22"/>
        </w:rPr>
        <w:t xml:space="preserve">= 1 / SE(log HR)², rather than as a number of patients or events. Endpoint-specific event counts for the control arms of both trials could not be verified from source, so an events-based required information size could not be computed without assuming them; the variance metric requires no such assumption, because every standard error is derived from a published hazard ratio and its confidence interval.</w:t>
      </w:r>
    </w:p>
    <w:p>
      <w:pPr>
        <w:pStyle w:val="BodyText"/>
        <w:spacing w:lineRule="auto" w:line="276" w:before="0" w:after="120"/>
        <w:jc w:val="both"/>
      </w:pPr>
      <w:r>
        <w:rPr>
          <w:rFonts w:ascii="Times New Roman" w:hAnsi="Times New Roman" w:cs="Times New Roman" w:eastAsia="Times New Roman"/>
          <w:sz w:val="22"/>
        </w:rPr>
        <w:t xml:space="preserve">The required information size is</w:t>
      </w:r>
      <w:r>
        <w:rPr>
          <w:rFonts w:ascii="Times New Roman" w:hAnsi="Times New Roman" w:cs="Times New Roman" w:eastAsia="Times New Roman"/>
          <w:sz w:val="22"/>
        </w:rPr>
        <w:t xml:space="preserve"> </w:t>
      </w:r>
      <w:r>
        <w:rPr>
          <w:rFonts w:ascii="Times New Roman" w:hAnsi="Times New Roman" w:cs="Times New Roman" w:eastAsia="Times New Roman"/>
          <w:i/>
          <w:iCs/>
          <w:sz w:val="22"/>
        </w:rPr>
        <w:t xml:space="preserve">I</w:t>
      </w:r>
      <w:r>
        <w:rPr>
          <w:rFonts w:ascii="Times New Roman" w:hAnsi="Times New Roman" w:cs="Times New Roman" w:eastAsia="Times New Roman"/>
          <w:sz w:val="22"/>
        </w:rPr>
        <w:t xml:space="preserve">ᵣₑₐ = ((zₐ + zᵦ) / log HR)² × 1 / (1 − I²), with two-sided α = 0.05, power 0.80, the anticipated effect taken as the final random-effects pooled estimate, and the final term the diversity adjustment for between-trial heterogeneity. The monitoring boundary is an O’Brien–Fleming-type α-spending boundary in Lan–DeMets form, approximated as zₐ / √(information fraction) and floored at zₐ.</w:t>
      </w:r>
    </w:p>
    <w:p>
      <w:pPr>
        <w:pStyle w:val="BodyText"/>
        <w:spacing w:lineRule="auto" w:line="276" w:before="0" w:after="120"/>
        <w:jc w:val="both"/>
      </w:pPr>
      <w:r>
        <w:rPr>
          <w:rFonts w:ascii="Times New Roman" w:hAnsi="Times New Roman" w:cs="Times New Roman" w:eastAsia="Times New Roman"/>
          <w:sz w:val="22"/>
        </w:rPr>
        <w:t xml:space="preserve">Pooling is by DerSimonian–Laird random effects. At the first look τ² is not estimable and is set to zero; the value estimated from the complete pool is applied at subsequent looks and in the diversity adjustment.</w:t>
      </w:r>
    </w:p>
    <w:bookmarkEnd w:id="11"/>
    <w:bookmarkStart w:id="12" w:name="interpretation-and-limitations"/>
    <w:p>
      <w:pPr>
        <w:pStyle w:val="Heading2"/>
        <w:spacing w:lineRule="auto" w:line="276" w:before="0" w:after="120"/>
      </w:pPr>
      <w:r>
        <w:rPr>
          <w:rFonts w:ascii="Times New Roman" w:hAnsi="Times New Roman" w:cs="Times New Roman" w:eastAsia="Times New Roman"/>
          <w:b/>
          <w:sz w:val="24"/>
        </w:rPr>
        <w:t xml:space="preserve">Interpretation and limitations</w:t>
      </w:r>
    </w:p>
    <w:p>
      <w:pPr>
        <w:pStyle w:val="FirstParagraph"/>
        <w:spacing w:lineRule="auto" w:line="276" w:before="0" w:after="120"/>
        <w:jc w:val="both"/>
      </w:pPr>
      <w:r>
        <w:rPr>
          <w:rFonts w:ascii="Times New Roman" w:hAnsi="Times New Roman" w:cs="Times New Roman" w:eastAsia="Times New Roman"/>
          <w:sz w:val="22"/>
        </w:rPr>
        <w:t xml:space="preserve">With two trials per endpoint, a trial sequential analysis cannot serve its usual purpose of controlling type I error across a sequence of interim looks; there is no sequence. What it does provide here is an explicit statement of how much information the pooled estimate rests on relative to how much would be required to detect the observed effect at conventional α and power. That comparison is reported above and should be read as descriptive. It is not a basis for concluding that further trials are unnecessary.</w:t>
      </w:r>
    </w:p>
    <w:p>
      <w:pPr>
        <w:pStyle w:val="BodyText"/>
        <w:spacing w:lineRule="auto" w:line="276" w:before="0" w:after="120"/>
        <w:jc w:val="both"/>
      </w:pPr>
      <w:r>
        <w:rPr>
          <w:rFonts w:ascii="Times New Roman" w:hAnsi="Times New Roman" w:cs="Times New Roman" w:eastAsia="Times New Roman"/>
          <w:sz w:val="22"/>
        </w:rPr>
        <w:t xml:space="preserve">The required information size is derived from the observed pooled effect rather than from an externally specified target effect, so it describes the precision attained relative to the effect actually seen. The diversity adjustment depends on</w:t>
      </w:r>
      <w:r>
        <w:rPr>
          <w:rFonts w:ascii="Times New Roman" w:hAnsi="Times New Roman" w:cs="Times New Roman" w:eastAsia="Times New Roman"/>
          <w:sz w:val="22"/>
        </w:rPr>
        <w:t xml:space="preserve"> </w:t>
      </w:r>
      <w:r>
        <w:rPr>
          <w:rFonts w:ascii="Times New Roman" w:hAnsi="Times New Roman" w:cs="Times New Roman" w:eastAsia="Times New Roman"/>
          <w:i/>
          <w:iCs/>
          <w:sz w:val="22"/>
        </w:rPr>
        <w:t xml:space="preserve">I</w:t>
      </w:r>
      <w:r>
        <w:rPr>
          <w:rFonts w:ascii="Times New Roman" w:hAnsi="Times New Roman" w:cs="Times New Roman" w:eastAsia="Times New Roman"/>
          <w:sz w:val="22"/>
        </w:rPr>
        <w:t xml:space="preserve">², which two trials cannot estimate with useful precision. Neither result is used to support or offset any certainty rating in Table 2 of the main manuscript.</w:t>
      </w:r>
    </w:p>
    <w:bookmarkEnd w:id="12"/>
    <w:bookmarkStart w:id="13" w:name="source-data"/>
    <w:p>
      <w:pPr>
        <w:pStyle w:val="Heading2"/>
        <w:spacing w:lineRule="auto" w:line="276" w:before="0" w:after="120"/>
      </w:pPr>
      <w:r>
        <w:rPr>
          <w:rFonts w:ascii="Times New Roman" w:hAnsi="Times New Roman" w:cs="Times New Roman" w:eastAsia="Times New Roman"/>
          <w:b/>
          <w:sz w:val="24"/>
        </w:rPr>
        <w:t xml:space="preserve">Source data</w:t>
      </w:r>
    </w:p>
    <w:tbl>
      <w:tblPr>
        <w:tblStyle w:val="Table"/>
        <w:tblW w:type="dxa" w:w="12960"/>
        <w:tblLayout w:type="fixed"/>
        <w:tblLook w:firstRow="1" w:lastRow="0" w:firstColumn="0" w:lastColumn="0" w:noHBand="0" w:noVBand="0" w:val="0020"/>
        <w:jc w:val="left"/>
        <w:tblBorders>
          <w:top w:val="single" w:sz="12" w:color="000000"/>
          <w:bottom w:val="single" w:sz="12" w:color="000000"/>
          <w:left w:val="nil"/>
          <w:right w:val="nil"/>
          <w:insideH w:val="nil"/>
          <w:insideV w:val="nil"/>
        </w:tblBorders>
      </w:tblPr>
      <w:tblGrid>
        <w:gridCol w:w="1728"/>
        <w:gridCol w:w="2016"/>
        <w:gridCol w:w="2016"/>
        <w:gridCol w:w="7200"/>
      </w:tblGrid>
      <w:tr>
        <w:trPr>
          <w:tblHeader w:val="true"/>
          <w:cantSplit/>
        </w:trPr>
        <w:tc>
          <w:tcPr>
            <w:tcBorders>
              <w:bottom w:val="single" w:sz="8" w:color="000000"/>
            </w:tcBorders>
            <w:tcW w:type="dxa" w:w="1728"/>
          </w:tcPr>
          <w:p>
            <w:pPr>
              <w:pStyle w:val="Compact"/>
              <w:spacing w:line="240" w:lineRule="auto" w:before="40" w:after="40"/>
            </w:pPr>
            <w:r>
              <w:rPr>
                <w:rFonts w:ascii="Times New Roman" w:hAnsi="Times New Roman" w:cs="Times New Roman" w:eastAsia="Times New Roman"/>
                <w:b/>
                <w:sz w:val="18"/>
              </w:rPr>
              <w:t xml:space="preserve">Endpoint</w:t>
            </w:r>
          </w:p>
        </w:tc>
        <w:tc>
          <w:tcPr>
            <w:tcBorders>
              <w:bottom w:val="single" w:sz="8" w:color="000000"/>
            </w:tcBorders>
            <w:tcW w:type="dxa" w:w="2016"/>
          </w:tcPr>
          <w:p>
            <w:pPr>
              <w:pStyle w:val="Compact"/>
              <w:spacing w:line="240" w:lineRule="auto" w:before="40" w:after="40"/>
            </w:pPr>
            <w:r>
              <w:rPr>
                <w:rFonts w:ascii="Times New Roman" w:hAnsi="Times New Roman" w:cs="Times New Roman" w:eastAsia="Times New Roman"/>
                <w:b/>
                <w:sz w:val="18"/>
              </w:rPr>
              <w:t xml:space="preserve">Trial</w:t>
            </w:r>
          </w:p>
        </w:tc>
        <w:tc>
          <w:tcPr>
            <w:tcBorders>
              <w:bottom w:val="single" w:sz="8" w:color="000000"/>
            </w:tcBorders>
            <w:tcW w:type="dxa" w:w="2016"/>
          </w:tcPr>
          <w:p>
            <w:pPr>
              <w:pStyle w:val="Compact"/>
              <w:spacing w:line="240" w:lineRule="auto" w:before="40" w:after="40"/>
            </w:pPr>
            <w:r>
              <w:rPr>
                <w:rFonts w:ascii="Times New Roman" w:hAnsi="Times New Roman" w:cs="Times New Roman" w:eastAsia="Times New Roman"/>
                <w:b/>
                <w:sz w:val="18"/>
              </w:rPr>
              <w:t xml:space="preserve">HR (95% CI)</w:t>
            </w:r>
          </w:p>
        </w:tc>
        <w:tc>
          <w:tcPr>
            <w:tcBorders>
              <w:bottom w:val="single" w:sz="8" w:color="000000"/>
            </w:tcBorders>
            <w:tcW w:type="dxa" w:w="7200"/>
          </w:tcPr>
          <w:p>
            <w:pPr>
              <w:pStyle w:val="Compact"/>
              <w:spacing w:line="240" w:lineRule="auto" w:before="40" w:after="40"/>
            </w:pPr>
            <w:r>
              <w:rPr>
                <w:rFonts w:ascii="Times New Roman" w:hAnsi="Times New Roman" w:cs="Times New Roman" w:eastAsia="Times New Roman"/>
                <w:b/>
                <w:sz w:val="18"/>
              </w:rPr>
              <w:t xml:space="preserve">Source</w:t>
            </w:r>
          </w:p>
        </w:tc>
      </w:tr>
      <w:tr>
        <w:trPr>
          <w:cantSplit/>
        </w:trPr>
        <w:tc>
          <w:tcPr>
            <w:tcW w:type="dxa" w:w="1728"/>
          </w:tcPr>
          <w:p>
            <w:pPr>
              <w:pStyle w:val="Compact"/>
              <w:spacing w:line="240" w:lineRule="auto" w:before="40" w:after="40"/>
            </w:pPr>
            <w:r>
              <w:rPr>
                <w:rFonts w:ascii="Times New Roman" w:hAnsi="Times New Roman" w:cs="Times New Roman" w:eastAsia="Times New Roman"/>
                <w:sz w:val="18"/>
              </w:rPr>
              <w:t xml:space="preserve">PFS</w:t>
            </w:r>
          </w:p>
        </w:tc>
        <w:tc>
          <w:tcPr>
            <w:tcW w:type="dxa" w:w="2016"/>
          </w:tcPr>
          <w:p>
            <w:pPr>
              <w:pStyle w:val="Compact"/>
              <w:spacing w:line="240" w:lineRule="auto" w:before="40" w:after="40"/>
            </w:pPr>
            <w:r>
              <w:rPr>
                <w:rFonts w:ascii="Times New Roman" w:hAnsi="Times New Roman" w:cs="Times New Roman" w:eastAsia="Times New Roman"/>
                <w:sz w:val="18"/>
              </w:rPr>
              <w:t xml:space="preserve">TROPiCS-02</w:t>
            </w:r>
          </w:p>
        </w:tc>
        <w:tc>
          <w:tcPr>
            <w:tcW w:type="dxa" w:w="2016"/>
          </w:tcPr>
          <w:p>
            <w:pPr>
              <w:pStyle w:val="Compact"/>
              <w:spacing w:line="240" w:lineRule="auto" w:before="40" w:after="40"/>
            </w:pPr>
            <w:r>
              <w:rPr>
                <w:rFonts w:ascii="Times New Roman" w:hAnsi="Times New Roman" w:cs="Times New Roman" w:eastAsia="Times New Roman"/>
                <w:sz w:val="18"/>
              </w:rPr>
              <w:t xml:space="preserve">0.66 (0.53–0.83)</w:t>
            </w:r>
          </w:p>
        </w:tc>
        <w:tc>
          <w:tcPr>
            <w:tcW w:type="dxa" w:w="7200"/>
          </w:tcPr>
          <w:p>
            <w:pPr>
              <w:pStyle w:val="Compact"/>
              <w:spacing w:line="240" w:lineRule="auto" w:before="40" w:after="40"/>
            </w:pPr>
            <w:r>
              <w:rPr>
                <w:rFonts w:ascii="Times New Roman" w:hAnsi="Times New Roman" w:cs="Times New Roman" w:eastAsia="Times New Roman"/>
                <w:sz w:val="18"/>
              </w:rPr>
              <w:t xml:space="preserve">Rugo JCO 2022;40:3365-3376</w:t>
            </w:r>
          </w:p>
        </w:tc>
      </w:tr>
      <w:tr>
        <w:trPr>
          <w:cantSplit/>
        </w:trPr>
        <w:tc>
          <w:tcPr>
            <w:tcW w:type="dxa" w:w="1728"/>
          </w:tcPr>
          <w:p>
            <w:pPr>
              <w:pStyle w:val="Compact"/>
              <w:spacing w:line="240" w:lineRule="auto" w:before="40" w:after="40"/>
            </w:pPr>
            <w:r>
              <w:rPr>
                <w:rFonts w:ascii="Times New Roman" w:hAnsi="Times New Roman" w:cs="Times New Roman" w:eastAsia="Times New Roman"/>
                <w:sz w:val="18"/>
              </w:rPr>
              <w:t xml:space="preserve">PFS</w:t>
            </w:r>
          </w:p>
        </w:tc>
        <w:tc>
          <w:tcPr>
            <w:tcW w:type="dxa" w:w="2016"/>
          </w:tcPr>
          <w:p>
            <w:pPr>
              <w:pStyle w:val="Compact"/>
              <w:spacing w:line="240" w:lineRule="auto" w:before="40" w:after="40"/>
            </w:pPr>
            <w:r>
              <w:rPr>
                <w:rFonts w:ascii="Times New Roman" w:hAnsi="Times New Roman" w:cs="Times New Roman" w:eastAsia="Times New Roman"/>
                <w:sz w:val="18"/>
              </w:rPr>
              <w:t xml:space="preserve">EVER-132-002</w:t>
            </w:r>
          </w:p>
        </w:tc>
        <w:tc>
          <w:tcPr>
            <w:tcW w:type="dxa" w:w="2016"/>
          </w:tcPr>
          <w:p>
            <w:pPr>
              <w:pStyle w:val="Compact"/>
              <w:spacing w:line="240" w:lineRule="auto" w:before="40" w:after="40"/>
            </w:pPr>
            <w:r>
              <w:rPr>
                <w:rFonts w:ascii="Times New Roman" w:hAnsi="Times New Roman" w:cs="Times New Roman" w:eastAsia="Times New Roman"/>
                <w:sz w:val="18"/>
              </w:rPr>
              <w:t xml:space="preserve">0.67 (0.52–0.87)</w:t>
            </w:r>
          </w:p>
        </w:tc>
        <w:tc>
          <w:tcPr>
            <w:tcW w:type="dxa" w:w="7200"/>
          </w:tcPr>
          <w:p>
            <w:pPr>
              <w:pStyle w:val="Compact"/>
              <w:spacing w:line="240" w:lineRule="auto" w:before="40" w:after="40"/>
            </w:pPr>
            <w:r>
              <w:rPr>
                <w:rFonts w:ascii="Times New Roman" w:hAnsi="Times New Roman" w:cs="Times New Roman" w:eastAsia="Times New Roman"/>
                <w:sz w:val="18"/>
              </w:rPr>
              <w:t xml:space="preserve">Xu Nat Med 2024;30:3709-3716</w:t>
            </w:r>
          </w:p>
        </w:tc>
      </w:tr>
      <w:tr>
        <w:trPr>
          <w:cantSplit/>
        </w:trPr>
        <w:tc>
          <w:tcPr>
            <w:tcW w:type="dxa" w:w="1728"/>
          </w:tcPr>
          <w:p>
            <w:pPr>
              <w:pStyle w:val="Compact"/>
              <w:spacing w:line="240" w:lineRule="auto" w:before="40" w:after="40"/>
            </w:pPr>
            <w:r>
              <w:rPr>
                <w:rFonts w:ascii="Times New Roman" w:hAnsi="Times New Roman" w:cs="Times New Roman" w:eastAsia="Times New Roman"/>
                <w:sz w:val="18"/>
              </w:rPr>
              <w:t xml:space="preserve">OS</w:t>
            </w:r>
          </w:p>
        </w:tc>
        <w:tc>
          <w:tcPr>
            <w:tcW w:type="dxa" w:w="2016"/>
          </w:tcPr>
          <w:p>
            <w:pPr>
              <w:pStyle w:val="Compact"/>
              <w:spacing w:line="240" w:lineRule="auto" w:before="40" w:after="40"/>
            </w:pPr>
            <w:r>
              <w:rPr>
                <w:rFonts w:ascii="Times New Roman" w:hAnsi="Times New Roman" w:cs="Times New Roman" w:eastAsia="Times New Roman"/>
                <w:sz w:val="18"/>
              </w:rPr>
              <w:t xml:space="preserve">TROPiCS-02</w:t>
            </w:r>
          </w:p>
        </w:tc>
        <w:tc>
          <w:tcPr>
            <w:tcW w:type="dxa" w:w="2016"/>
          </w:tcPr>
          <w:p>
            <w:pPr>
              <w:pStyle w:val="Compact"/>
              <w:spacing w:line="240" w:lineRule="auto" w:before="40" w:after="40"/>
            </w:pPr>
            <w:r>
              <w:rPr>
                <w:rFonts w:ascii="Times New Roman" w:hAnsi="Times New Roman" w:cs="Times New Roman" w:eastAsia="Times New Roman"/>
                <w:sz w:val="18"/>
              </w:rPr>
              <w:t xml:space="preserve">0.79 (0.65–0.96)</w:t>
            </w:r>
          </w:p>
        </w:tc>
        <w:tc>
          <w:tcPr>
            <w:tcW w:type="dxa" w:w="7200"/>
          </w:tcPr>
          <w:p>
            <w:pPr>
              <w:pStyle w:val="Compact"/>
              <w:spacing w:line="240" w:lineRule="auto" w:before="40" w:after="40"/>
            </w:pPr>
            <w:r>
              <w:rPr>
                <w:rFonts w:ascii="Times New Roman" w:hAnsi="Times New Roman" w:cs="Times New Roman" w:eastAsia="Times New Roman"/>
                <w:sz w:val="18"/>
              </w:rPr>
              <w:t xml:space="preserve">Rugo Lancet 2023;402:1423-1433</w:t>
            </w:r>
          </w:p>
        </w:tc>
      </w:tr>
      <w:tr>
        <w:trPr>
          <w:cantSplit/>
        </w:trPr>
        <w:tc>
          <w:tcPr>
            <w:tcW w:type="dxa" w:w="1728"/>
          </w:tcPr>
          <w:p>
            <w:pPr>
              <w:pStyle w:val="Compact"/>
              <w:spacing w:line="240" w:lineRule="auto" w:before="40" w:after="40"/>
            </w:pPr>
            <w:r>
              <w:rPr>
                <w:rFonts w:ascii="Times New Roman" w:hAnsi="Times New Roman" w:cs="Times New Roman" w:eastAsia="Times New Roman"/>
                <w:sz w:val="18"/>
              </w:rPr>
              <w:t xml:space="preserve">OS</w:t>
            </w:r>
          </w:p>
        </w:tc>
        <w:tc>
          <w:tcPr>
            <w:tcW w:type="dxa" w:w="2016"/>
          </w:tcPr>
          <w:p>
            <w:pPr>
              <w:pStyle w:val="Compact"/>
              <w:spacing w:line="240" w:lineRule="auto" w:before="40" w:after="40"/>
            </w:pPr>
            <w:r>
              <w:rPr>
                <w:rFonts w:ascii="Times New Roman" w:hAnsi="Times New Roman" w:cs="Times New Roman" w:eastAsia="Times New Roman"/>
                <w:sz w:val="18"/>
              </w:rPr>
              <w:t xml:space="preserve">EVER-132-002</w:t>
            </w:r>
          </w:p>
        </w:tc>
        <w:tc>
          <w:tcPr>
            <w:tcW w:type="dxa" w:w="2016"/>
          </w:tcPr>
          <w:p>
            <w:pPr>
              <w:pStyle w:val="Compact"/>
              <w:spacing w:line="240" w:lineRule="auto" w:before="40" w:after="40"/>
            </w:pPr>
            <w:r>
              <w:rPr>
                <w:rFonts w:ascii="Times New Roman" w:hAnsi="Times New Roman" w:cs="Times New Roman" w:eastAsia="Times New Roman"/>
                <w:sz w:val="18"/>
              </w:rPr>
              <w:t xml:space="preserve">0.64 (0.47–0.88)</w:t>
            </w:r>
          </w:p>
        </w:tc>
        <w:tc>
          <w:tcPr>
            <w:tcW w:type="dxa" w:w="7200"/>
          </w:tcPr>
          <w:p>
            <w:pPr>
              <w:pStyle w:val="Compact"/>
              <w:spacing w:line="240" w:lineRule="auto" w:before="40" w:after="40"/>
            </w:pPr>
            <w:r>
              <w:rPr>
                <w:rFonts w:ascii="Times New Roman" w:hAnsi="Times New Roman" w:cs="Times New Roman" w:eastAsia="Times New Roman"/>
                <w:sz w:val="18"/>
              </w:rPr>
              <w:t xml:space="preserve">Xu Nat Med 2024;30:3709-3716</w:t>
            </w:r>
          </w:p>
        </w:tc>
      </w:tr>
    </w:tbl>
    <w:p>
      <w:pPr>
        <w:pStyle w:val="BodyText"/>
        <w:spacing w:lineRule="auto" w:line="276" w:before="0" w:after="120"/>
        <w:jc w:val="both"/>
      </w:pPr>
      <w:r>
        <w:rPr>
          <w:rFonts w:ascii="Times New Roman" w:hAnsi="Times New Roman" w:cs="Times New Roman" w:eastAsia="Times New Roman"/>
          <w:sz w:val="22"/>
        </w:rPr>
        <w:t xml:space="preserve">All quantities above are derived from the trial-level hazard ratios in the source data table by the formulae given under Method.</w:t>
      </w:r>
    </w:p>
    <w:bookmarkEnd w:id="13"/>
    <w:bookmarkEnd w:id="14"/>
    <w:sectPr>
      <w:footerReference w:type="default" r:id="rId9"/>
      <w:footnotePr>
        <w:numRestart w:val="eachSect"/>
      </w:footnotePr>
      <w:pgSz w:w="15840" w:h="12240"/>
      <w:pgMar w:top="1440" w:bottom="1440" w:left="1440" w:right="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cs="Times New Roman" w:eastAsia="Times New Roman"/>
        <w:sz w:val="20"/>
      </w:rPr>
      <w:fldChar w:fldCharType="begin"/>
      <w:instrText>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2026-08-09T14:43:29Z</dcterms:created>
  <dcterms:modified xsi:type="dcterms:W3CDTF">2026-08-09T14:43:29Z</dcterms:modified>
</cp:coreProperties>
</file>

<file path=docProps/custom.xml><?xml version="1.0" encoding="utf-8"?>
<Properties xmlns="http://schemas.openxmlformats.org/officeDocument/2006/custom-properties" xmlns:vt="http://schemas.openxmlformats.org/officeDocument/2006/docPropsVTypes"/>
</file>