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288" w:before="0" w:after="120"/>
        <w:ind w:hanging="0" w:left="0" w:right="0"/>
        <w:jc w:val="both"/>
        <w:rPr>
          <w:b w:val="false"/>
        </w:rPr>
      </w:pPr>
      <w:bookmarkStart w:id="0" w:name="docs-internal-guid-e51017ee-7fff-c28a-66"/>
      <w:bookmarkEnd w:id="0"/>
      <w:r>
        <w:rPr>
          <w:rFonts w:ascii="Times New Roman;serif" w:hAnsi="Times New Roman;serif"/>
          <w:b/>
          <w:i w:val="false"/>
          <w:caps w:val="false"/>
          <w:smallCaps w:val="false"/>
          <w:strike w:val="false"/>
          <w:dstrike w:val="false"/>
          <w:color w:val="000000"/>
          <w:sz w:val="24"/>
          <w:u w:val="none"/>
          <w:effect w:val="none"/>
          <w:shd w:fill="auto" w:val="clear"/>
        </w:rPr>
        <w:t>Supplementary Table S1. Patient-level diagnostic evidence, treatment, response, transplantation, relapse, and outcomes of literature-derived adult patients with t(10;17)(p15;q21)/</w:t>
      </w:r>
      <w:r>
        <w:rPr>
          <w:rFonts w:ascii="Times New Roman;serif" w:hAnsi="Times New Roman;serif"/>
          <w:b/>
          <w:i/>
          <w:caps w:val="false"/>
          <w:smallCaps w:val="false"/>
          <w:strike w:val="false"/>
          <w:dstrike w:val="false"/>
          <w:color w:val="000000"/>
          <w:sz w:val="24"/>
          <w:u w:val="none"/>
          <w:effect w:val="none"/>
          <w:shd w:fill="auto" w:val="clear"/>
        </w:rPr>
        <w:t>ZMYND11::MBTD1</w:t>
      </w:r>
      <w:r>
        <w:rPr>
          <w:rFonts w:ascii="Times New Roman;serif" w:hAnsi="Times New Roman;serif"/>
          <w:b/>
          <w:i w:val="false"/>
          <w:caps w:val="false"/>
          <w:smallCaps w:val="false"/>
          <w:strike w:val="false"/>
          <w:dstrike w:val="false"/>
          <w:color w:val="000000"/>
          <w:sz w:val="24"/>
          <w:u w:val="none"/>
          <w:effect w:val="none"/>
          <w:shd w:fill="auto" w:val="clear"/>
        </w:rPr>
        <w:t>-associated AML.</w:t>
      </w:r>
    </w:p>
    <w:tbl>
      <w:tblPr>
        <w:tblW w:w="10548" w:type="dxa"/>
        <w:jc w:val="left"/>
        <w:tblInd w:w="0" w:type="dxa"/>
        <w:tblLayout w:type="fixed"/>
        <w:tblCellMar>
          <w:top w:w="0" w:type="dxa"/>
          <w:left w:w="0" w:type="dxa"/>
          <w:bottom w:w="28" w:type="dxa"/>
          <w:right w:w="0" w:type="dxa"/>
        </w:tblCellMar>
      </w:tblPr>
      <w:tblGrid>
        <w:gridCol w:w="450"/>
        <w:gridCol w:w="413"/>
        <w:gridCol w:w="801"/>
        <w:gridCol w:w="1963"/>
        <w:gridCol w:w="1386"/>
        <w:gridCol w:w="968"/>
        <w:gridCol w:w="941"/>
        <w:gridCol w:w="1206"/>
        <w:gridCol w:w="639"/>
        <w:gridCol w:w="839"/>
        <w:gridCol w:w="942"/>
      </w:tblGrid>
      <w:tr>
        <w:trPr>
          <w:tblHeader w:val="true"/>
        </w:trPr>
        <w:tc>
          <w:tcPr>
            <w:tcW w:w="450" w:type="dxa"/>
            <w:tcBorders>
              <w:bottom w:val="single" w:sz="4" w:space="0" w:color="000000"/>
            </w:tcBorders>
            <w:vAlign w:val="center"/>
          </w:tcPr>
          <w:p>
            <w:pPr>
              <w:pStyle w:val="TableHeading"/>
              <w:bidi w:val="0"/>
              <w:spacing w:lineRule="auto" w:line="429" w:before="0" w:after="0"/>
              <w:ind w:hanging="0" w:left="0" w:right="0"/>
              <w:rPr>
                <w:rFonts w:ascii="Times New Roman;serif" w:hAnsi="Times New Roman;serif"/>
                <w:b/>
                <w:i w:val="false"/>
                <w:caps w:val="false"/>
                <w:smallCaps w:val="false"/>
                <w:strike w:val="false"/>
                <w:dstrike w:val="false"/>
                <w:color w:val="000000"/>
                <w:sz w:val="16"/>
                <w:u w:val="none"/>
                <w:effect w:val="none"/>
                <w:shd w:fill="auto" w:val="clear"/>
              </w:rPr>
            </w:pPr>
            <w:r>
              <w:rPr>
                <w:rFonts w:ascii="Times New Roman;serif" w:hAnsi="Times New Roman;serif"/>
                <w:b/>
                <w:i w:val="false"/>
                <w:caps w:val="false"/>
                <w:smallCaps w:val="false"/>
                <w:strike w:val="false"/>
                <w:dstrike w:val="false"/>
                <w:color w:val="000000"/>
                <w:sz w:val="16"/>
                <w:u w:val="none"/>
                <w:effect w:val="none"/>
                <w:shd w:fill="auto" w:val="clear"/>
              </w:rPr>
              <w:t>Case*</w:t>
            </w:r>
          </w:p>
        </w:tc>
        <w:tc>
          <w:tcPr>
            <w:tcW w:w="413" w:type="dxa"/>
            <w:tcBorders>
              <w:bottom w:val="single" w:sz="4" w:space="0" w:color="000000"/>
            </w:tcBorders>
            <w:vAlign w:val="center"/>
          </w:tcPr>
          <w:p>
            <w:pPr>
              <w:pStyle w:val="TableHeading"/>
              <w:bidi w:val="0"/>
              <w:spacing w:lineRule="auto" w:line="429" w:before="0" w:after="0"/>
              <w:ind w:hanging="0" w:left="0" w:right="0"/>
              <w:rPr>
                <w:rFonts w:ascii="Times New Roman;serif" w:hAnsi="Times New Roman;serif"/>
                <w:b/>
                <w:i w:val="false"/>
                <w:caps w:val="false"/>
                <w:smallCaps w:val="false"/>
                <w:strike w:val="false"/>
                <w:dstrike w:val="false"/>
                <w:color w:val="000000"/>
                <w:sz w:val="16"/>
                <w:u w:val="none"/>
                <w:effect w:val="none"/>
                <w:shd w:fill="auto" w:val="clear"/>
              </w:rPr>
            </w:pPr>
            <w:r>
              <w:rPr>
                <w:rFonts w:ascii="Times New Roman;serif" w:hAnsi="Times New Roman;serif"/>
                <w:b/>
                <w:i w:val="false"/>
                <w:caps w:val="false"/>
                <w:smallCaps w:val="false"/>
                <w:strike w:val="false"/>
                <w:dstrike w:val="false"/>
                <w:color w:val="000000"/>
                <w:sz w:val="16"/>
                <w:u w:val="none"/>
                <w:effect w:val="none"/>
                <w:shd w:fill="auto" w:val="clear"/>
              </w:rPr>
              <w:t>Sex/Age, years</w:t>
            </w:r>
          </w:p>
        </w:tc>
        <w:tc>
          <w:tcPr>
            <w:tcW w:w="801" w:type="dxa"/>
            <w:tcBorders>
              <w:bottom w:val="single" w:sz="4" w:space="0" w:color="000000"/>
            </w:tcBorders>
            <w:vAlign w:val="center"/>
          </w:tcPr>
          <w:p>
            <w:pPr>
              <w:pStyle w:val="TableHeading"/>
              <w:bidi w:val="0"/>
              <w:spacing w:lineRule="auto" w:line="429" w:before="0" w:after="0"/>
              <w:ind w:hanging="0" w:left="0" w:right="0"/>
              <w:rPr>
                <w:rFonts w:ascii="Times New Roman;serif" w:hAnsi="Times New Roman;serif"/>
                <w:b/>
                <w:i w:val="false"/>
                <w:caps w:val="false"/>
                <w:smallCaps w:val="false"/>
                <w:strike w:val="false"/>
                <w:dstrike w:val="false"/>
                <w:color w:val="000000"/>
                <w:sz w:val="16"/>
                <w:u w:val="none"/>
                <w:effect w:val="none"/>
                <w:shd w:fill="auto" w:val="clear"/>
              </w:rPr>
            </w:pPr>
            <w:r>
              <w:rPr>
                <w:rFonts w:ascii="Times New Roman;serif" w:hAnsi="Times New Roman;serif"/>
                <w:b/>
                <w:i w:val="false"/>
                <w:caps w:val="false"/>
                <w:smallCaps w:val="false"/>
                <w:strike w:val="false"/>
                <w:dstrike w:val="false"/>
                <w:color w:val="000000"/>
                <w:sz w:val="16"/>
                <w:u w:val="none"/>
                <w:effect w:val="none"/>
                <w:shd w:fill="auto" w:val="clear"/>
              </w:rPr>
              <w:t>Source</w:t>
            </w:r>
          </w:p>
        </w:tc>
        <w:tc>
          <w:tcPr>
            <w:tcW w:w="1963" w:type="dxa"/>
            <w:tcBorders>
              <w:bottom w:val="single" w:sz="4" w:space="0" w:color="000000"/>
            </w:tcBorders>
            <w:vAlign w:val="center"/>
          </w:tcPr>
          <w:p>
            <w:pPr>
              <w:pStyle w:val="TableHeading"/>
              <w:bidi w:val="0"/>
              <w:spacing w:lineRule="auto" w:line="429" w:before="0" w:after="0"/>
              <w:ind w:hanging="0" w:left="0" w:right="0"/>
              <w:rPr>
                <w:rFonts w:ascii="Times New Roman;serif" w:hAnsi="Times New Roman;serif"/>
                <w:b/>
                <w:i w:val="false"/>
                <w:caps w:val="false"/>
                <w:smallCaps w:val="false"/>
                <w:strike w:val="false"/>
                <w:dstrike w:val="false"/>
                <w:color w:val="000000"/>
                <w:sz w:val="16"/>
                <w:u w:val="none"/>
                <w:effect w:val="none"/>
                <w:shd w:fill="auto" w:val="clear"/>
              </w:rPr>
            </w:pPr>
            <w:r>
              <w:rPr>
                <w:rFonts w:ascii="Times New Roman;serif" w:hAnsi="Times New Roman;serif"/>
                <w:b/>
                <w:i w:val="false"/>
                <w:caps w:val="false"/>
                <w:smallCaps w:val="false"/>
                <w:strike w:val="false"/>
                <w:dstrike w:val="false"/>
                <w:color w:val="000000"/>
                <w:sz w:val="16"/>
                <w:u w:val="none"/>
                <w:effect w:val="none"/>
                <w:shd w:fill="auto" w:val="clear"/>
              </w:rPr>
              <w:t>Fusion evidence/detection method</w:t>
            </w:r>
          </w:p>
        </w:tc>
        <w:tc>
          <w:tcPr>
            <w:tcW w:w="1386" w:type="dxa"/>
            <w:tcBorders>
              <w:bottom w:val="single" w:sz="4" w:space="0" w:color="000000"/>
            </w:tcBorders>
            <w:vAlign w:val="center"/>
          </w:tcPr>
          <w:p>
            <w:pPr>
              <w:pStyle w:val="TableHeading"/>
              <w:bidi w:val="0"/>
              <w:spacing w:lineRule="auto" w:line="429" w:before="0" w:after="0"/>
              <w:ind w:hanging="0" w:left="0" w:right="0"/>
              <w:rPr>
                <w:rFonts w:ascii="Times New Roman;serif" w:hAnsi="Times New Roman;serif"/>
                <w:b/>
                <w:i w:val="false"/>
                <w:caps w:val="false"/>
                <w:smallCaps w:val="false"/>
                <w:strike w:val="false"/>
                <w:dstrike w:val="false"/>
                <w:color w:val="000000"/>
                <w:sz w:val="16"/>
                <w:u w:val="none"/>
                <w:effect w:val="none"/>
                <w:shd w:fill="auto" w:val="clear"/>
              </w:rPr>
            </w:pPr>
            <w:r>
              <w:rPr>
                <w:rFonts w:ascii="Times New Roman;serif" w:hAnsi="Times New Roman;serif"/>
                <w:b/>
                <w:i w:val="false"/>
                <w:caps w:val="false"/>
                <w:smallCaps w:val="false"/>
                <w:strike w:val="false"/>
                <w:dstrike w:val="false"/>
                <w:color w:val="000000"/>
                <w:sz w:val="16"/>
                <w:u w:val="none"/>
                <w:effect w:val="none"/>
                <w:shd w:fill="auto" w:val="clear"/>
              </w:rPr>
              <w:t>Key immunophenotype</w:t>
            </w:r>
          </w:p>
        </w:tc>
        <w:tc>
          <w:tcPr>
            <w:tcW w:w="968" w:type="dxa"/>
            <w:tcBorders>
              <w:bottom w:val="single" w:sz="4" w:space="0" w:color="000000"/>
            </w:tcBorders>
            <w:vAlign w:val="center"/>
          </w:tcPr>
          <w:p>
            <w:pPr>
              <w:pStyle w:val="TableHeading"/>
              <w:bidi w:val="0"/>
              <w:spacing w:lineRule="auto" w:line="429" w:before="0" w:after="0"/>
              <w:ind w:hanging="0" w:left="0" w:right="0"/>
              <w:rPr>
                <w:rFonts w:ascii="Times New Roman;serif" w:hAnsi="Times New Roman;serif"/>
                <w:b/>
                <w:i w:val="false"/>
                <w:caps w:val="false"/>
                <w:smallCaps w:val="false"/>
                <w:strike w:val="false"/>
                <w:dstrike w:val="false"/>
                <w:color w:val="000000"/>
                <w:sz w:val="16"/>
                <w:u w:val="none"/>
                <w:effect w:val="none"/>
                <w:shd w:fill="auto" w:val="clear"/>
              </w:rPr>
            </w:pPr>
            <w:r>
              <w:rPr>
                <w:rFonts w:ascii="Times New Roman;serif" w:hAnsi="Times New Roman;serif"/>
                <w:b/>
                <w:i w:val="false"/>
                <w:caps w:val="false"/>
                <w:smallCaps w:val="false"/>
                <w:strike w:val="false"/>
                <w:dstrike w:val="false"/>
                <w:color w:val="000000"/>
                <w:sz w:val="16"/>
                <w:u w:val="none"/>
                <w:effect w:val="none"/>
                <w:shd w:fill="auto" w:val="clear"/>
              </w:rPr>
              <w:t>Initial treatment</w:t>
            </w:r>
          </w:p>
        </w:tc>
        <w:tc>
          <w:tcPr>
            <w:tcW w:w="941" w:type="dxa"/>
            <w:tcBorders>
              <w:bottom w:val="single" w:sz="4" w:space="0" w:color="000000"/>
            </w:tcBorders>
            <w:vAlign w:val="center"/>
          </w:tcPr>
          <w:p>
            <w:pPr>
              <w:pStyle w:val="TableHeading"/>
              <w:bidi w:val="0"/>
              <w:spacing w:lineRule="auto" w:line="429" w:before="0" w:after="0"/>
              <w:ind w:hanging="0" w:left="0" w:right="0"/>
              <w:rPr>
                <w:rFonts w:ascii="Times New Roman;serif" w:hAnsi="Times New Roman;serif"/>
                <w:b/>
                <w:i w:val="false"/>
                <w:caps w:val="false"/>
                <w:smallCaps w:val="false"/>
                <w:strike w:val="false"/>
                <w:dstrike w:val="false"/>
                <w:color w:val="000000"/>
                <w:sz w:val="16"/>
                <w:u w:val="none"/>
                <w:effect w:val="none"/>
                <w:shd w:fill="auto" w:val="clear"/>
              </w:rPr>
            </w:pPr>
            <w:r>
              <w:rPr>
                <w:rFonts w:ascii="Times New Roman;serif" w:hAnsi="Times New Roman;serif"/>
                <w:b/>
                <w:i w:val="false"/>
                <w:caps w:val="false"/>
                <w:smallCaps w:val="false"/>
                <w:strike w:val="false"/>
                <w:dstrike w:val="false"/>
                <w:color w:val="000000"/>
                <w:sz w:val="16"/>
                <w:u w:val="none"/>
                <w:effect w:val="none"/>
                <w:shd w:fill="auto" w:val="clear"/>
              </w:rPr>
              <w:t>Best response as reported</w:t>
            </w:r>
          </w:p>
        </w:tc>
        <w:tc>
          <w:tcPr>
            <w:tcW w:w="1206" w:type="dxa"/>
            <w:tcBorders>
              <w:bottom w:val="single" w:sz="4" w:space="0" w:color="000000"/>
            </w:tcBorders>
            <w:vAlign w:val="center"/>
          </w:tcPr>
          <w:p>
            <w:pPr>
              <w:pStyle w:val="TableHeading"/>
              <w:bidi w:val="0"/>
              <w:spacing w:lineRule="auto" w:line="429" w:before="0" w:after="0"/>
              <w:ind w:hanging="0" w:left="0" w:right="0"/>
              <w:rPr>
                <w:rFonts w:ascii="Times New Roman;serif" w:hAnsi="Times New Roman;serif"/>
                <w:b/>
                <w:i w:val="false"/>
                <w:caps w:val="false"/>
                <w:smallCaps w:val="false"/>
                <w:strike w:val="false"/>
                <w:dstrike w:val="false"/>
                <w:color w:val="000000"/>
                <w:sz w:val="16"/>
                <w:u w:val="none"/>
                <w:effect w:val="none"/>
                <w:shd w:fill="auto" w:val="clear"/>
              </w:rPr>
            </w:pPr>
            <w:r>
              <w:rPr>
                <w:rFonts w:ascii="Times New Roman;serif" w:hAnsi="Times New Roman;serif"/>
                <w:b/>
                <w:i w:val="false"/>
                <w:caps w:val="false"/>
                <w:smallCaps w:val="false"/>
                <w:strike w:val="false"/>
                <w:dstrike w:val="false"/>
                <w:color w:val="000000"/>
                <w:sz w:val="16"/>
                <w:u w:val="none"/>
                <w:effect w:val="none"/>
                <w:shd w:fill="auto" w:val="clear"/>
              </w:rPr>
              <w:t>Transplantation</w:t>
            </w:r>
          </w:p>
        </w:tc>
        <w:tc>
          <w:tcPr>
            <w:tcW w:w="639" w:type="dxa"/>
            <w:tcBorders>
              <w:bottom w:val="single" w:sz="4" w:space="0" w:color="000000"/>
            </w:tcBorders>
            <w:vAlign w:val="center"/>
          </w:tcPr>
          <w:p>
            <w:pPr>
              <w:pStyle w:val="TableHeading"/>
              <w:bidi w:val="0"/>
              <w:spacing w:lineRule="auto" w:line="429" w:before="0" w:after="0"/>
              <w:ind w:hanging="0" w:left="0" w:right="0"/>
              <w:rPr>
                <w:rFonts w:ascii="Times New Roman;serif" w:hAnsi="Times New Roman;serif"/>
                <w:b/>
                <w:i w:val="false"/>
                <w:caps w:val="false"/>
                <w:smallCaps w:val="false"/>
                <w:strike w:val="false"/>
                <w:dstrike w:val="false"/>
                <w:color w:val="000000"/>
                <w:sz w:val="16"/>
                <w:u w:val="none"/>
                <w:effect w:val="none"/>
                <w:shd w:fill="auto" w:val="clear"/>
              </w:rPr>
            </w:pPr>
            <w:r>
              <w:rPr>
                <w:rFonts w:ascii="Times New Roman;serif" w:hAnsi="Times New Roman;serif"/>
                <w:b/>
                <w:i w:val="false"/>
                <w:caps w:val="false"/>
                <w:smallCaps w:val="false"/>
                <w:strike w:val="false"/>
                <w:dstrike w:val="false"/>
                <w:color w:val="000000"/>
                <w:sz w:val="16"/>
                <w:u w:val="none"/>
                <w:effect w:val="none"/>
                <w:shd w:fill="auto" w:val="clear"/>
              </w:rPr>
              <w:t>Relapse</w:t>
            </w:r>
          </w:p>
        </w:tc>
        <w:tc>
          <w:tcPr>
            <w:tcW w:w="839" w:type="dxa"/>
            <w:tcBorders>
              <w:bottom w:val="single" w:sz="4" w:space="0" w:color="000000"/>
            </w:tcBorders>
            <w:vAlign w:val="center"/>
          </w:tcPr>
          <w:p>
            <w:pPr>
              <w:pStyle w:val="TableHeading"/>
              <w:bidi w:val="0"/>
              <w:spacing w:lineRule="auto" w:line="429" w:before="0" w:after="0"/>
              <w:ind w:hanging="0" w:left="0" w:right="0"/>
              <w:rPr>
                <w:rFonts w:ascii="Times New Roman;serif" w:hAnsi="Times New Roman;serif"/>
                <w:b/>
                <w:i w:val="false"/>
                <w:caps w:val="false"/>
                <w:smallCaps w:val="false"/>
                <w:strike w:val="false"/>
                <w:dstrike w:val="false"/>
                <w:color w:val="000000"/>
                <w:sz w:val="16"/>
                <w:u w:val="none"/>
                <w:effect w:val="none"/>
                <w:shd w:fill="auto" w:val="clear"/>
              </w:rPr>
            </w:pPr>
            <w:r>
              <w:rPr>
                <w:rFonts w:ascii="Times New Roman;serif" w:hAnsi="Times New Roman;serif"/>
                <w:b/>
                <w:i w:val="false"/>
                <w:caps w:val="false"/>
                <w:smallCaps w:val="false"/>
                <w:strike w:val="false"/>
                <w:dstrike w:val="false"/>
                <w:color w:val="000000"/>
                <w:sz w:val="16"/>
                <w:u w:val="none"/>
                <w:effect w:val="none"/>
                <w:shd w:fill="auto" w:val="clear"/>
              </w:rPr>
              <w:t>Follow-up, months</w:t>
            </w:r>
          </w:p>
        </w:tc>
        <w:tc>
          <w:tcPr>
            <w:tcW w:w="942" w:type="dxa"/>
            <w:tcBorders>
              <w:bottom w:val="single" w:sz="4" w:space="0" w:color="000000"/>
            </w:tcBorders>
            <w:vAlign w:val="center"/>
          </w:tcPr>
          <w:p>
            <w:pPr>
              <w:pStyle w:val="TableHeading"/>
              <w:bidi w:val="0"/>
              <w:spacing w:lineRule="auto" w:line="429" w:before="0" w:after="0"/>
              <w:ind w:hanging="0" w:left="0" w:right="0"/>
              <w:rPr>
                <w:rFonts w:ascii="Times New Roman;serif" w:hAnsi="Times New Roman;serif"/>
                <w:b/>
                <w:i w:val="false"/>
                <w:caps w:val="false"/>
                <w:smallCaps w:val="false"/>
                <w:strike w:val="false"/>
                <w:dstrike w:val="false"/>
                <w:color w:val="000000"/>
                <w:sz w:val="16"/>
                <w:u w:val="none"/>
                <w:effect w:val="none"/>
                <w:shd w:fill="auto" w:val="clear"/>
              </w:rPr>
            </w:pPr>
            <w:r>
              <w:rPr>
                <w:rFonts w:ascii="Times New Roman;serif" w:hAnsi="Times New Roman;serif"/>
                <w:b/>
                <w:i w:val="false"/>
                <w:caps w:val="false"/>
                <w:smallCaps w:val="false"/>
                <w:strike w:val="false"/>
                <w:dstrike w:val="false"/>
                <w:color w:val="000000"/>
                <w:sz w:val="16"/>
                <w:u w:val="none"/>
                <w:effect w:val="none"/>
                <w:shd w:fill="auto" w:val="clear"/>
              </w:rPr>
              <w:t>Status at last follow-up</w:t>
            </w:r>
          </w:p>
        </w:tc>
      </w:tr>
      <w:tr>
        <w:trPr/>
        <w:tc>
          <w:tcPr>
            <w:tcW w:w="450" w:type="dxa"/>
            <w:tcBorders>
              <w:top w:val="single" w:sz="4" w:space="0" w:color="000000"/>
            </w:tcBorders>
            <w:tcMar>
              <w:top w:w="28" w:type="dxa"/>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1</w:t>
            </w:r>
          </w:p>
        </w:tc>
        <w:tc>
          <w:tcPr>
            <w:tcW w:w="413" w:type="dxa"/>
            <w:tcBorders>
              <w:top w:val="single" w:sz="4" w:space="0" w:color="000000"/>
            </w:tcBorders>
            <w:tcMar>
              <w:top w:w="28" w:type="dxa"/>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M/40</w:t>
            </w:r>
          </w:p>
        </w:tc>
        <w:tc>
          <w:tcPr>
            <w:tcW w:w="801" w:type="dxa"/>
            <w:tcBorders>
              <w:top w:val="single" w:sz="4" w:space="0" w:color="000000"/>
            </w:tcBorders>
            <w:tcMar>
              <w:top w:w="28" w:type="dxa"/>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Wei et al.</w:t>
            </w:r>
          </w:p>
        </w:tc>
        <w:tc>
          <w:tcPr>
            <w:tcW w:w="1963" w:type="dxa"/>
            <w:tcBorders>
              <w:top w:val="single" w:sz="4" w:space="0" w:color="000000"/>
            </w:tcBorders>
            <w:tcMar>
              <w:top w:w="28" w:type="dxa"/>
              <w:bottom w:w="0" w:type="dxa"/>
            </w:tcMar>
            <w:vAlign w:val="center"/>
          </w:tcPr>
          <w:p>
            <w:pPr>
              <w:pStyle w:val="TableContents"/>
              <w:bidi w:val="0"/>
              <w:spacing w:lineRule="auto" w:line="429" w:before="0" w:after="0"/>
              <w:ind w:hanging="0" w:left="0" w:right="0"/>
              <w:rPr/>
            </w:pPr>
            <w:r>
              <w:rPr>
                <w:rFonts w:ascii="Times New Roman;serif" w:hAnsi="Times New Roman;serif"/>
                <w:b w:val="false"/>
                <w:i w:val="false"/>
                <w:caps w:val="false"/>
                <w:smallCaps w:val="false"/>
                <w:strike w:val="false"/>
                <w:dstrike w:val="false"/>
                <w:color w:val="000000"/>
                <w:sz w:val="16"/>
                <w:u w:val="none"/>
                <w:effect w:val="none"/>
                <w:shd w:fill="auto" w:val="clear"/>
              </w:rPr>
              <w:t>OGM; </w:t>
            </w:r>
            <w:r>
              <w:rPr>
                <w:rFonts w:ascii="Times New Roman;serif" w:hAnsi="Times New Roman;serif"/>
                <w:b w:val="false"/>
                <w:i/>
                <w:caps w:val="false"/>
                <w:smallCaps w:val="false"/>
                <w:strike w:val="false"/>
                <w:dstrike w:val="false"/>
                <w:color w:val="000000"/>
                <w:sz w:val="16"/>
                <w:u w:val="none"/>
                <w:effect w:val="none"/>
                <w:shd w:fill="auto" w:val="clear"/>
              </w:rPr>
              <w:t>ZMYND11::MBTD1</w:t>
            </w:r>
            <w:r>
              <w:rPr>
                <w:rFonts w:ascii="Times New Roman;serif" w:hAnsi="Times New Roman;serif"/>
                <w:b w:val="false"/>
                <w:i w:val="false"/>
                <w:caps w:val="false"/>
                <w:smallCaps w:val="false"/>
                <w:strike w:val="false"/>
                <w:dstrike w:val="false"/>
                <w:color w:val="000000"/>
                <w:sz w:val="16"/>
                <w:u w:val="none"/>
                <w:effect w:val="none"/>
                <w:shd w:fill="auto" w:val="clear"/>
              </w:rPr>
              <w:t>detected</w:t>
            </w:r>
          </w:p>
        </w:tc>
        <w:tc>
          <w:tcPr>
            <w:tcW w:w="1386" w:type="dxa"/>
            <w:tcBorders>
              <w:top w:val="single" w:sz="4" w:space="0" w:color="000000"/>
            </w:tcBorders>
            <w:tcMar>
              <w:top w:w="28" w:type="dxa"/>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CD7 uniform+, CD33+, CD34+, CD56 bright+, CD117+, HLA-DR−, MPO−</w:t>
            </w:r>
          </w:p>
        </w:tc>
        <w:tc>
          <w:tcPr>
            <w:tcW w:w="968" w:type="dxa"/>
            <w:tcBorders>
              <w:top w:val="single" w:sz="4" w:space="0" w:color="000000"/>
            </w:tcBorders>
            <w:tcMar>
              <w:top w:w="28" w:type="dxa"/>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CLIA + venetoclax</w:t>
            </w:r>
          </w:p>
        </w:tc>
        <w:tc>
          <w:tcPr>
            <w:tcW w:w="941" w:type="dxa"/>
            <w:tcBorders>
              <w:top w:val="single" w:sz="4" w:space="0" w:color="000000"/>
            </w:tcBorders>
            <w:tcMar>
              <w:top w:w="28" w:type="dxa"/>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CR</w:t>
            </w:r>
          </w:p>
        </w:tc>
        <w:tc>
          <w:tcPr>
            <w:tcW w:w="1206" w:type="dxa"/>
            <w:tcBorders>
              <w:top w:val="single" w:sz="4" w:space="0" w:color="000000"/>
            </w:tcBorders>
            <w:tcMar>
              <w:top w:w="28" w:type="dxa"/>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No transplantation reported</w:t>
            </w:r>
          </w:p>
        </w:tc>
        <w:tc>
          <w:tcPr>
            <w:tcW w:w="639" w:type="dxa"/>
            <w:tcBorders>
              <w:top w:val="single" w:sz="4" w:space="0" w:color="000000"/>
            </w:tcBorders>
            <w:tcMar>
              <w:top w:w="28" w:type="dxa"/>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Yes, at 23 months</w:t>
            </w:r>
          </w:p>
        </w:tc>
        <w:tc>
          <w:tcPr>
            <w:tcW w:w="839" w:type="dxa"/>
            <w:tcBorders>
              <w:top w:val="single" w:sz="4" w:space="0" w:color="000000"/>
            </w:tcBorders>
            <w:tcMar>
              <w:top w:w="28" w:type="dxa"/>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34</w:t>
            </w:r>
          </w:p>
        </w:tc>
        <w:tc>
          <w:tcPr>
            <w:tcW w:w="942" w:type="dxa"/>
            <w:tcBorders>
              <w:top w:val="single" w:sz="4" w:space="0" w:color="000000"/>
            </w:tcBorders>
            <w:tcMar>
              <w:top w:w="28" w:type="dxa"/>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Died</w:t>
            </w:r>
          </w:p>
        </w:tc>
      </w:tr>
      <w:tr>
        <w:trPr/>
        <w:tc>
          <w:tcPr>
            <w:tcW w:w="450"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2</w:t>
            </w:r>
          </w:p>
        </w:tc>
        <w:tc>
          <w:tcPr>
            <w:tcW w:w="413"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F/73</w:t>
            </w:r>
          </w:p>
        </w:tc>
        <w:tc>
          <w:tcPr>
            <w:tcW w:w="801"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Wei et al.</w:t>
            </w:r>
          </w:p>
        </w:tc>
        <w:tc>
          <w:tcPr>
            <w:tcW w:w="1963" w:type="dxa"/>
            <w:tcBorders/>
            <w:tcMar>
              <w:bottom w:w="0" w:type="dxa"/>
            </w:tcMar>
            <w:vAlign w:val="center"/>
          </w:tcPr>
          <w:p>
            <w:pPr>
              <w:pStyle w:val="TableContents"/>
              <w:bidi w:val="0"/>
              <w:spacing w:lineRule="auto" w:line="429" w:before="0" w:after="0"/>
              <w:ind w:hanging="0" w:left="0" w:right="0"/>
              <w:rPr/>
            </w:pPr>
            <w:r>
              <w:rPr>
                <w:rFonts w:ascii="Times New Roman;serif" w:hAnsi="Times New Roman;serif"/>
                <w:b w:val="false"/>
                <w:i w:val="false"/>
                <w:caps w:val="false"/>
                <w:smallCaps w:val="false"/>
                <w:strike w:val="false"/>
                <w:dstrike w:val="false"/>
                <w:color w:val="000000"/>
                <w:sz w:val="16"/>
                <w:u w:val="none"/>
                <w:effect w:val="none"/>
                <w:shd w:fill="auto" w:val="clear"/>
              </w:rPr>
              <w:t>OGM; </w:t>
            </w:r>
            <w:r>
              <w:rPr>
                <w:rFonts w:ascii="Times New Roman;serif" w:hAnsi="Times New Roman;serif"/>
                <w:b w:val="false"/>
                <w:i/>
                <w:caps w:val="false"/>
                <w:smallCaps w:val="false"/>
                <w:strike w:val="false"/>
                <w:dstrike w:val="false"/>
                <w:color w:val="000000"/>
                <w:sz w:val="16"/>
                <w:u w:val="none"/>
                <w:effect w:val="none"/>
                <w:shd w:fill="auto" w:val="clear"/>
              </w:rPr>
              <w:t>ZMYND11::MBTD1</w:t>
            </w:r>
            <w:r>
              <w:rPr>
                <w:rFonts w:ascii="Times New Roman;serif" w:hAnsi="Times New Roman;serif"/>
                <w:b w:val="false"/>
                <w:i w:val="false"/>
                <w:caps w:val="false"/>
                <w:smallCaps w:val="false"/>
                <w:strike w:val="false"/>
                <w:dstrike w:val="false"/>
                <w:color w:val="000000"/>
                <w:sz w:val="16"/>
                <w:u w:val="none"/>
                <w:effect w:val="none"/>
                <w:shd w:fill="auto" w:val="clear"/>
              </w:rPr>
              <w:t>detected</w:t>
            </w:r>
          </w:p>
        </w:tc>
        <w:tc>
          <w:tcPr>
            <w:tcW w:w="1386"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CD7 uniform+, CD33+, CD34−, CD56 bright+, CD117+, HLA-DR−, MPO−</w:t>
            </w:r>
          </w:p>
        </w:tc>
        <w:tc>
          <w:tcPr>
            <w:tcW w:w="968"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Cladribine + cytarabine + venetoclax</w:t>
            </w:r>
          </w:p>
        </w:tc>
        <w:tc>
          <w:tcPr>
            <w:tcW w:w="941"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Persistent/refractory disease</w:t>
            </w:r>
          </w:p>
        </w:tc>
        <w:tc>
          <w:tcPr>
            <w:tcW w:w="1206"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No transplantation reported</w:t>
            </w:r>
          </w:p>
        </w:tc>
        <w:tc>
          <w:tcPr>
            <w:tcW w:w="639"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NA†</w:t>
            </w:r>
          </w:p>
        </w:tc>
        <w:tc>
          <w:tcPr>
            <w:tcW w:w="839"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2</w:t>
            </w:r>
          </w:p>
        </w:tc>
        <w:tc>
          <w:tcPr>
            <w:tcW w:w="942"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Lost to follow-up</w:t>
            </w:r>
          </w:p>
        </w:tc>
      </w:tr>
      <w:tr>
        <w:trPr/>
        <w:tc>
          <w:tcPr>
            <w:tcW w:w="450"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3</w:t>
            </w:r>
          </w:p>
        </w:tc>
        <w:tc>
          <w:tcPr>
            <w:tcW w:w="413"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F/60</w:t>
            </w:r>
          </w:p>
        </w:tc>
        <w:tc>
          <w:tcPr>
            <w:tcW w:w="801"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Wei et al.</w:t>
            </w:r>
          </w:p>
        </w:tc>
        <w:tc>
          <w:tcPr>
            <w:tcW w:w="1963"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t(10;17) by conventional cytogenetics; molecular fusion confirmation not reported</w:t>
            </w:r>
          </w:p>
        </w:tc>
        <w:tc>
          <w:tcPr>
            <w:tcW w:w="1386"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CD7 uniform+, CD33+, CD34−, CD56 bright+, CD117+, HLA-DR positive in a small subset, MPO−</w:t>
            </w:r>
          </w:p>
        </w:tc>
        <w:tc>
          <w:tcPr>
            <w:tcW w:w="968"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7+3 induction</w:t>
            </w:r>
          </w:p>
        </w:tc>
        <w:tc>
          <w:tcPr>
            <w:tcW w:w="941"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Morphologic remission‡</w:t>
            </w:r>
          </w:p>
        </w:tc>
        <w:tc>
          <w:tcPr>
            <w:tcW w:w="1206"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Allo-HCT at 8 months</w:t>
            </w:r>
          </w:p>
        </w:tc>
        <w:tc>
          <w:tcPr>
            <w:tcW w:w="639"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Yes, 3 months after HSCT</w:t>
            </w:r>
          </w:p>
        </w:tc>
        <w:tc>
          <w:tcPr>
            <w:tcW w:w="839"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15</w:t>
            </w:r>
          </w:p>
        </w:tc>
        <w:tc>
          <w:tcPr>
            <w:tcW w:w="942"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Died</w:t>
            </w:r>
          </w:p>
        </w:tc>
      </w:tr>
      <w:tr>
        <w:trPr/>
        <w:tc>
          <w:tcPr>
            <w:tcW w:w="450"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4</w:t>
            </w:r>
          </w:p>
        </w:tc>
        <w:tc>
          <w:tcPr>
            <w:tcW w:w="413"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M/42</w:t>
            </w:r>
          </w:p>
        </w:tc>
        <w:tc>
          <w:tcPr>
            <w:tcW w:w="801"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Wei et al.</w:t>
            </w:r>
          </w:p>
        </w:tc>
        <w:tc>
          <w:tcPr>
            <w:tcW w:w="1963"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t(10;17) by conventional cytogenetics; molecular fusion confirmation not reported</w:t>
            </w:r>
          </w:p>
        </w:tc>
        <w:tc>
          <w:tcPr>
            <w:tcW w:w="1386"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CD7 uniform+, CD33+, CD34+, CD56 bright+, CD117+, HLA-DR−, MPO−</w:t>
            </w:r>
          </w:p>
        </w:tc>
        <w:tc>
          <w:tcPr>
            <w:tcW w:w="968"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7+3 induction</w:t>
            </w:r>
          </w:p>
        </w:tc>
        <w:tc>
          <w:tcPr>
            <w:tcW w:w="941"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CR; second remission after first relapse</w:t>
            </w:r>
          </w:p>
        </w:tc>
        <w:tc>
          <w:tcPr>
            <w:tcW w:w="1206"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Allo-HCT ×2, at 4 and 36 months</w:t>
            </w:r>
          </w:p>
        </w:tc>
        <w:tc>
          <w:tcPr>
            <w:tcW w:w="639"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Yes; at 30 and 45 months</w:t>
            </w:r>
          </w:p>
        </w:tc>
        <w:tc>
          <w:tcPr>
            <w:tcW w:w="839"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57</w:t>
            </w:r>
          </w:p>
        </w:tc>
        <w:tc>
          <w:tcPr>
            <w:tcW w:w="942"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Died</w:t>
            </w:r>
          </w:p>
        </w:tc>
      </w:tr>
      <w:tr>
        <w:trPr/>
        <w:tc>
          <w:tcPr>
            <w:tcW w:w="450"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5</w:t>
            </w:r>
          </w:p>
        </w:tc>
        <w:tc>
          <w:tcPr>
            <w:tcW w:w="413"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F/78</w:t>
            </w:r>
          </w:p>
        </w:tc>
        <w:tc>
          <w:tcPr>
            <w:tcW w:w="801"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Wei et al.</w:t>
            </w:r>
          </w:p>
        </w:tc>
        <w:tc>
          <w:tcPr>
            <w:tcW w:w="1963"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t(10;17) by conventional cytogenetics; molecular fusion confirmation not reported</w:t>
            </w:r>
          </w:p>
        </w:tc>
        <w:tc>
          <w:tcPr>
            <w:tcW w:w="1386"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CD7 uniform+, CD33+, CD34 in a small subset, CD56 bright+, CD117+, HLA-DR−, MPO−</w:t>
            </w:r>
          </w:p>
        </w:tc>
        <w:tc>
          <w:tcPr>
            <w:tcW w:w="968"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Azacitidine ×4 cycles</w:t>
            </w:r>
          </w:p>
        </w:tc>
        <w:tc>
          <w:tcPr>
            <w:tcW w:w="941"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Persistent/refractory disease</w:t>
            </w:r>
          </w:p>
        </w:tc>
        <w:tc>
          <w:tcPr>
            <w:tcW w:w="1206"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No transplantation reported</w:t>
            </w:r>
          </w:p>
        </w:tc>
        <w:tc>
          <w:tcPr>
            <w:tcW w:w="639"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NA†</w:t>
            </w:r>
          </w:p>
        </w:tc>
        <w:tc>
          <w:tcPr>
            <w:tcW w:w="839"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11</w:t>
            </w:r>
          </w:p>
        </w:tc>
        <w:tc>
          <w:tcPr>
            <w:tcW w:w="942"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Died</w:t>
            </w:r>
          </w:p>
        </w:tc>
      </w:tr>
      <w:tr>
        <w:trPr/>
        <w:tc>
          <w:tcPr>
            <w:tcW w:w="450"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7</w:t>
            </w:r>
          </w:p>
        </w:tc>
        <w:tc>
          <w:tcPr>
            <w:tcW w:w="413"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F/40</w:t>
            </w:r>
          </w:p>
        </w:tc>
        <w:tc>
          <w:tcPr>
            <w:tcW w:w="801"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Tempescul et al.; De Braekeleer et al.</w:t>
            </w:r>
          </w:p>
        </w:tc>
        <w:tc>
          <w:tcPr>
            <w:tcW w:w="1963" w:type="dxa"/>
            <w:tcBorders/>
            <w:tcMar>
              <w:bottom w:w="0" w:type="dxa"/>
            </w:tcMar>
            <w:vAlign w:val="center"/>
          </w:tcPr>
          <w:p>
            <w:pPr>
              <w:pStyle w:val="TableContents"/>
              <w:bidi w:val="0"/>
              <w:spacing w:lineRule="auto" w:line="429" w:before="0" w:after="0"/>
              <w:ind w:hanging="0" w:left="0" w:right="0"/>
              <w:rPr/>
            </w:pPr>
            <w:r>
              <w:rPr>
                <w:rFonts w:ascii="Times New Roman;serif" w:hAnsi="Times New Roman;serif"/>
                <w:b w:val="false"/>
                <w:i w:val="false"/>
                <w:caps w:val="false"/>
                <w:smallCaps w:val="false"/>
                <w:strike w:val="false"/>
                <w:dstrike w:val="false"/>
                <w:color w:val="000000"/>
                <w:sz w:val="16"/>
                <w:u w:val="none"/>
                <w:effect w:val="none"/>
                <w:shd w:fill="auto" w:val="clear"/>
              </w:rPr>
              <w:t>FISH showing colocalization of </w:t>
            </w:r>
            <w:r>
              <w:rPr>
                <w:rFonts w:ascii="Times New Roman;serif" w:hAnsi="Times New Roman;serif"/>
                <w:b w:val="false"/>
                <w:i/>
                <w:caps w:val="false"/>
                <w:smallCaps w:val="false"/>
                <w:strike w:val="false"/>
                <w:dstrike w:val="false"/>
                <w:color w:val="000000"/>
                <w:sz w:val="16"/>
                <w:u w:val="none"/>
                <w:effect w:val="none"/>
                <w:shd w:fill="auto" w:val="clear"/>
              </w:rPr>
              <w:t>ZMYND11</w:t>
            </w:r>
            <w:r>
              <w:rPr>
                <w:caps w:val="false"/>
                <w:smallCaps w:val="false"/>
                <w:strike w:val="false"/>
                <w:dstrike w:val="false"/>
                <w:color w:val="000000"/>
                <w:u w:val="none"/>
                <w:effect w:val="none"/>
                <w:shd w:fill="auto" w:val="clear"/>
              </w:rPr>
              <w:t> </w:t>
            </w:r>
            <w:r>
              <w:rPr>
                <w:rFonts w:ascii="Times New Roman;serif" w:hAnsi="Times New Roman;serif"/>
                <w:b w:val="false"/>
                <w:i w:val="false"/>
                <w:caps w:val="false"/>
                <w:smallCaps w:val="false"/>
                <w:strike w:val="false"/>
                <w:dstrike w:val="false"/>
                <w:color w:val="000000"/>
                <w:sz w:val="16"/>
                <w:u w:val="none"/>
                <w:effect w:val="none"/>
                <w:shd w:fill="auto" w:val="clear"/>
              </w:rPr>
              <w:t>and </w:t>
            </w:r>
            <w:r>
              <w:rPr>
                <w:rFonts w:ascii="Times New Roman;serif" w:hAnsi="Times New Roman;serif"/>
                <w:b w:val="false"/>
                <w:i/>
                <w:caps w:val="false"/>
                <w:smallCaps w:val="false"/>
                <w:strike w:val="false"/>
                <w:dstrike w:val="false"/>
                <w:color w:val="000000"/>
                <w:sz w:val="16"/>
                <w:u w:val="none"/>
                <w:effect w:val="none"/>
                <w:shd w:fill="auto" w:val="clear"/>
              </w:rPr>
              <w:t>MBTD1</w:t>
            </w:r>
            <w:r>
              <w:rPr>
                <w:rFonts w:ascii="Times New Roman;serif" w:hAnsi="Times New Roman;serif"/>
                <w:b w:val="false"/>
                <w:i w:val="false"/>
                <w:caps w:val="false"/>
                <w:smallCaps w:val="false"/>
                <w:strike w:val="false"/>
                <w:dstrike w:val="false"/>
                <w:color w:val="000000"/>
                <w:sz w:val="16"/>
                <w:u w:val="none"/>
                <w:effect w:val="none"/>
                <w:shd w:fill="auto" w:val="clear"/>
              </w:rPr>
              <w:t>; fusion transcript not directly demonstrated§</w:t>
            </w:r>
          </w:p>
        </w:tc>
        <w:tc>
          <w:tcPr>
            <w:tcW w:w="1386"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CD7+, CD13+, CD33+, CD34+, CD56+, CD117+; HLA-DR and MPO not reported</w:t>
            </w:r>
          </w:p>
        </w:tc>
        <w:tc>
          <w:tcPr>
            <w:tcW w:w="968"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Induction followed by consolidation</w:t>
            </w:r>
          </w:p>
        </w:tc>
        <w:tc>
          <w:tcPr>
            <w:tcW w:w="941"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CR; subsequently achieved a second CR</w:t>
            </w:r>
          </w:p>
        </w:tc>
        <w:tc>
          <w:tcPr>
            <w:tcW w:w="1206"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Allo-HCT ×2</w:t>
            </w:r>
          </w:p>
        </w:tc>
        <w:tc>
          <w:tcPr>
            <w:tcW w:w="639"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Yes; two relapses reported</w:t>
            </w:r>
          </w:p>
        </w:tc>
        <w:tc>
          <w:tcPr>
            <w:tcW w:w="839"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37</w:t>
            </w:r>
          </w:p>
        </w:tc>
        <w:tc>
          <w:tcPr>
            <w:tcW w:w="942"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Died</w:t>
            </w:r>
          </w:p>
        </w:tc>
      </w:tr>
      <w:tr>
        <w:trPr/>
        <w:tc>
          <w:tcPr>
            <w:tcW w:w="450"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9</w:t>
            </w:r>
          </w:p>
        </w:tc>
        <w:tc>
          <w:tcPr>
            <w:tcW w:w="413"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M/67</w:t>
            </w:r>
          </w:p>
        </w:tc>
        <w:tc>
          <w:tcPr>
            <w:tcW w:w="801"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Yamamoto et al.</w:t>
            </w:r>
          </w:p>
        </w:tc>
        <w:tc>
          <w:tcPr>
            <w:tcW w:w="1963" w:type="dxa"/>
            <w:tcBorders/>
            <w:tcMar>
              <w:bottom w:w="0" w:type="dxa"/>
            </w:tcMar>
            <w:vAlign w:val="center"/>
          </w:tcPr>
          <w:p>
            <w:pPr>
              <w:pStyle w:val="TableContents"/>
              <w:bidi w:val="0"/>
              <w:spacing w:lineRule="auto" w:line="429" w:before="0" w:after="0"/>
              <w:ind w:hanging="0" w:left="0" w:right="0"/>
              <w:rPr/>
            </w:pPr>
            <w:r>
              <w:rPr>
                <w:rFonts w:ascii="Times New Roman;serif" w:hAnsi="Times New Roman;serif"/>
                <w:b w:val="false"/>
                <w:i w:val="false"/>
                <w:caps w:val="false"/>
                <w:smallCaps w:val="false"/>
                <w:strike w:val="false"/>
                <w:dstrike w:val="false"/>
                <w:color w:val="000000"/>
                <w:sz w:val="16"/>
                <w:u w:val="none"/>
                <w:effect w:val="none"/>
                <w:shd w:fill="auto" w:val="clear"/>
              </w:rPr>
              <w:t>RT-PCR and sequencing; </w:t>
            </w:r>
            <w:r>
              <w:rPr>
                <w:rFonts w:ascii="Times New Roman;serif" w:hAnsi="Times New Roman;serif"/>
                <w:b w:val="false"/>
                <w:i/>
                <w:caps w:val="false"/>
                <w:smallCaps w:val="false"/>
                <w:strike w:val="false"/>
                <w:dstrike w:val="false"/>
                <w:color w:val="000000"/>
                <w:sz w:val="16"/>
                <w:u w:val="none"/>
                <w:effect w:val="none"/>
                <w:shd w:fill="auto" w:val="clear"/>
              </w:rPr>
              <w:t>ZMYND11</w:t>
            </w:r>
            <w:r>
              <w:rPr>
                <w:caps w:val="false"/>
                <w:smallCaps w:val="false"/>
                <w:strike w:val="false"/>
                <w:dstrike w:val="false"/>
                <w:color w:val="000000"/>
                <w:u w:val="none"/>
                <w:effect w:val="none"/>
                <w:shd w:fill="auto" w:val="clear"/>
              </w:rPr>
              <w:t> </w:t>
            </w:r>
            <w:r>
              <w:rPr>
                <w:rFonts w:ascii="Times New Roman;serif" w:hAnsi="Times New Roman;serif"/>
                <w:b w:val="false"/>
                <w:i w:val="false"/>
                <w:caps w:val="false"/>
                <w:smallCaps w:val="false"/>
                <w:strike w:val="false"/>
                <w:dstrike w:val="false"/>
                <w:color w:val="000000"/>
                <w:sz w:val="16"/>
                <w:u w:val="none"/>
                <w:effect w:val="none"/>
                <w:shd w:fill="auto" w:val="clear"/>
              </w:rPr>
              <w:t>exon 11::</w:t>
            </w:r>
            <w:r>
              <w:rPr>
                <w:rFonts w:ascii="Times New Roman;serif" w:hAnsi="Times New Roman;serif"/>
                <w:b w:val="false"/>
                <w:i/>
                <w:caps w:val="false"/>
                <w:smallCaps w:val="false"/>
                <w:strike w:val="false"/>
                <w:dstrike w:val="false"/>
                <w:color w:val="000000"/>
                <w:sz w:val="16"/>
                <w:u w:val="none"/>
                <w:effect w:val="none"/>
                <w:shd w:fill="auto" w:val="clear"/>
              </w:rPr>
              <w:t>MBTD1</w:t>
            </w:r>
            <w:r>
              <w:rPr>
                <w:caps w:val="false"/>
                <w:smallCaps w:val="false"/>
                <w:strike w:val="false"/>
                <w:dstrike w:val="false"/>
                <w:color w:val="000000"/>
                <w:u w:val="none"/>
                <w:effect w:val="none"/>
                <w:shd w:fill="auto" w:val="clear"/>
              </w:rPr>
              <w:t> </w:t>
            </w:r>
            <w:r>
              <w:rPr>
                <w:rFonts w:ascii="Times New Roman;serif" w:hAnsi="Times New Roman;serif"/>
                <w:b w:val="false"/>
                <w:i w:val="false"/>
                <w:caps w:val="false"/>
                <w:smallCaps w:val="false"/>
                <w:strike w:val="false"/>
                <w:dstrike w:val="false"/>
                <w:color w:val="000000"/>
                <w:sz w:val="16"/>
                <w:u w:val="none"/>
                <w:effect w:val="none"/>
                <w:shd w:fill="auto" w:val="clear"/>
              </w:rPr>
              <w:t>exon 3</w:t>
            </w:r>
          </w:p>
        </w:tc>
        <w:tc>
          <w:tcPr>
            <w:tcW w:w="1386"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CD7+, CD13+, CD33+, CD34+, CD56+, HLA-DR+; MPO−</w:t>
            </w:r>
          </w:p>
        </w:tc>
        <w:tc>
          <w:tcPr>
            <w:tcW w:w="968"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Idarubicin + cytarabine</w:t>
            </w:r>
          </w:p>
        </w:tc>
        <w:tc>
          <w:tcPr>
            <w:tcW w:w="941"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CR</w:t>
            </w:r>
          </w:p>
        </w:tc>
        <w:tc>
          <w:tcPr>
            <w:tcW w:w="1206"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No transplantation reported</w:t>
            </w:r>
          </w:p>
        </w:tc>
        <w:tc>
          <w:tcPr>
            <w:tcW w:w="639"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No relapse reported</w:t>
            </w:r>
          </w:p>
        </w:tc>
        <w:tc>
          <w:tcPr>
            <w:tcW w:w="839"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&gt;14</w:t>
            </w:r>
          </w:p>
        </w:tc>
        <w:tc>
          <w:tcPr>
            <w:tcW w:w="942"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Alive in hematologic and cytogenetic CR</w:t>
            </w:r>
          </w:p>
        </w:tc>
      </w:tr>
      <w:tr>
        <w:trPr/>
        <w:tc>
          <w:tcPr>
            <w:tcW w:w="450"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10</w:t>
            </w:r>
          </w:p>
        </w:tc>
        <w:tc>
          <w:tcPr>
            <w:tcW w:w="413"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M/19</w:t>
            </w:r>
          </w:p>
        </w:tc>
        <w:tc>
          <w:tcPr>
            <w:tcW w:w="801"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Plesa and Sujobert</w:t>
            </w:r>
          </w:p>
        </w:tc>
        <w:tc>
          <w:tcPr>
            <w:tcW w:w="1963" w:type="dxa"/>
            <w:tcBorders/>
            <w:tcMar>
              <w:bottom w:w="0" w:type="dxa"/>
            </w:tcMar>
            <w:vAlign w:val="center"/>
          </w:tcPr>
          <w:p>
            <w:pPr>
              <w:pStyle w:val="TableContents"/>
              <w:bidi w:val="0"/>
              <w:spacing w:lineRule="auto" w:line="429" w:before="0" w:after="0"/>
              <w:ind w:hanging="0" w:left="0" w:right="0"/>
              <w:rPr/>
            </w:pPr>
            <w:r>
              <w:rPr>
                <w:rFonts w:ascii="Times New Roman;serif" w:hAnsi="Times New Roman;serif"/>
                <w:b w:val="false"/>
                <w:i w:val="false"/>
                <w:caps w:val="false"/>
                <w:smallCaps w:val="false"/>
                <w:strike w:val="false"/>
                <w:dstrike w:val="false"/>
                <w:color w:val="000000"/>
                <w:sz w:val="16"/>
                <w:u w:val="none"/>
                <w:effect w:val="none"/>
                <w:shd w:fill="auto" w:val="clear"/>
              </w:rPr>
              <w:t>RT-PCR and sequencing; </w:t>
            </w:r>
            <w:r>
              <w:rPr>
                <w:rFonts w:ascii="Times New Roman;serif" w:hAnsi="Times New Roman;serif"/>
                <w:b w:val="false"/>
                <w:i/>
                <w:caps w:val="false"/>
                <w:smallCaps w:val="false"/>
                <w:strike w:val="false"/>
                <w:dstrike w:val="false"/>
                <w:color w:val="000000"/>
                <w:sz w:val="16"/>
                <w:u w:val="none"/>
                <w:effect w:val="none"/>
                <w:shd w:fill="auto" w:val="clear"/>
              </w:rPr>
              <w:t>ZMYND11</w:t>
            </w:r>
            <w:r>
              <w:rPr>
                <w:caps w:val="false"/>
                <w:smallCaps w:val="false"/>
                <w:strike w:val="false"/>
                <w:dstrike w:val="false"/>
                <w:color w:val="000000"/>
                <w:u w:val="none"/>
                <w:effect w:val="none"/>
                <w:shd w:fill="auto" w:val="clear"/>
              </w:rPr>
              <w:t> </w:t>
            </w:r>
            <w:r>
              <w:rPr>
                <w:rFonts w:ascii="Times New Roman;serif" w:hAnsi="Times New Roman;serif"/>
                <w:b w:val="false"/>
                <w:i w:val="false"/>
                <w:caps w:val="false"/>
                <w:smallCaps w:val="false"/>
                <w:strike w:val="false"/>
                <w:dstrike w:val="false"/>
                <w:color w:val="000000"/>
                <w:sz w:val="16"/>
                <w:u w:val="none"/>
                <w:effect w:val="none"/>
                <w:shd w:fill="auto" w:val="clear"/>
              </w:rPr>
              <w:t>exon 12::</w:t>
            </w:r>
            <w:r>
              <w:rPr>
                <w:rFonts w:ascii="Times New Roman;serif" w:hAnsi="Times New Roman;serif"/>
                <w:b w:val="false"/>
                <w:i/>
                <w:caps w:val="false"/>
                <w:smallCaps w:val="false"/>
                <w:strike w:val="false"/>
                <w:dstrike w:val="false"/>
                <w:color w:val="000000"/>
                <w:sz w:val="16"/>
                <w:u w:val="none"/>
                <w:effect w:val="none"/>
                <w:shd w:fill="auto" w:val="clear"/>
              </w:rPr>
              <w:t>MBTD1</w:t>
            </w:r>
            <w:r>
              <w:rPr>
                <w:caps w:val="false"/>
                <w:smallCaps w:val="false"/>
                <w:strike w:val="false"/>
                <w:dstrike w:val="false"/>
                <w:color w:val="000000"/>
                <w:u w:val="none"/>
                <w:effect w:val="none"/>
                <w:shd w:fill="auto" w:val="clear"/>
              </w:rPr>
              <w:t> </w:t>
            </w:r>
            <w:r>
              <w:rPr>
                <w:rFonts w:ascii="Times New Roman;serif" w:hAnsi="Times New Roman;serif"/>
                <w:b w:val="false"/>
                <w:i w:val="false"/>
                <w:caps w:val="false"/>
                <w:smallCaps w:val="false"/>
                <w:strike w:val="false"/>
                <w:dstrike w:val="false"/>
                <w:color w:val="000000"/>
                <w:sz w:val="16"/>
                <w:u w:val="none"/>
                <w:effect w:val="none"/>
                <w:shd w:fill="auto" w:val="clear"/>
              </w:rPr>
              <w:t>exon 3</w:t>
            </w:r>
          </w:p>
        </w:tc>
        <w:tc>
          <w:tcPr>
            <w:tcW w:w="1386"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CD7+/−, CD13+/−, CD33+, CD34 high, CD56 bright+, CD117+, CD123+, HLA-DR−</w:t>
            </w:r>
          </w:p>
        </w:tc>
        <w:tc>
          <w:tcPr>
            <w:tcW w:w="968"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7+3 induction</w:t>
            </w:r>
          </w:p>
        </w:tc>
        <w:tc>
          <w:tcPr>
            <w:tcW w:w="941"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CR</w:t>
            </w:r>
          </w:p>
        </w:tc>
        <w:tc>
          <w:tcPr>
            <w:tcW w:w="1206"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No transplantation reported</w:t>
            </w:r>
          </w:p>
        </w:tc>
        <w:tc>
          <w:tcPr>
            <w:tcW w:w="639"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No relapse reported</w:t>
            </w:r>
          </w:p>
        </w:tc>
        <w:tc>
          <w:tcPr>
            <w:tcW w:w="839"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NA</w:t>
            </w:r>
          </w:p>
        </w:tc>
        <w:tc>
          <w:tcPr>
            <w:tcW w:w="942" w:type="dxa"/>
            <w:tcBorders/>
            <w:tcMar>
              <w:bottom w:w="0" w:type="dxa"/>
            </w:tcMar>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Alive in CR at reported follow-up</w:t>
            </w:r>
          </w:p>
        </w:tc>
      </w:tr>
      <w:tr>
        <w:trPr/>
        <w:tc>
          <w:tcPr>
            <w:tcW w:w="450" w:type="dxa"/>
            <w:tcBorders>
              <w:bottom w:val="single" w:sz="12" w:space="0" w:color="000000"/>
            </w:tcBorders>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11</w:t>
            </w:r>
          </w:p>
        </w:tc>
        <w:tc>
          <w:tcPr>
            <w:tcW w:w="413" w:type="dxa"/>
            <w:tcBorders>
              <w:bottom w:val="single" w:sz="12" w:space="0" w:color="000000"/>
            </w:tcBorders>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F/67</w:t>
            </w:r>
          </w:p>
        </w:tc>
        <w:tc>
          <w:tcPr>
            <w:tcW w:w="801" w:type="dxa"/>
            <w:tcBorders>
              <w:bottom w:val="single" w:sz="12" w:space="0" w:color="000000"/>
            </w:tcBorders>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Kawai et al.</w:t>
            </w:r>
          </w:p>
        </w:tc>
        <w:tc>
          <w:tcPr>
            <w:tcW w:w="1963" w:type="dxa"/>
            <w:tcBorders>
              <w:bottom w:val="single" w:sz="12" w:space="0" w:color="000000"/>
            </w:tcBorders>
            <w:vAlign w:val="center"/>
          </w:tcPr>
          <w:p>
            <w:pPr>
              <w:pStyle w:val="TableContents"/>
              <w:bidi w:val="0"/>
              <w:spacing w:lineRule="auto" w:line="429" w:before="0" w:after="0"/>
              <w:ind w:hanging="0" w:left="0" w:right="0"/>
              <w:rPr/>
            </w:pPr>
            <w:r>
              <w:rPr>
                <w:rFonts w:ascii="Times New Roman;serif" w:hAnsi="Times New Roman;serif"/>
                <w:b w:val="false"/>
                <w:i w:val="false"/>
                <w:caps w:val="false"/>
                <w:smallCaps w:val="false"/>
                <w:strike w:val="false"/>
                <w:dstrike w:val="false"/>
                <w:color w:val="000000"/>
                <w:sz w:val="16"/>
                <w:u w:val="none"/>
                <w:effect w:val="none"/>
                <w:shd w:fill="auto" w:val="clear"/>
              </w:rPr>
              <w:t>RT-PCR and sequencing; </w:t>
            </w:r>
            <w:r>
              <w:rPr>
                <w:rFonts w:ascii="Times New Roman;serif" w:hAnsi="Times New Roman;serif"/>
                <w:b w:val="false"/>
                <w:i/>
                <w:caps w:val="false"/>
                <w:smallCaps w:val="false"/>
                <w:strike w:val="false"/>
                <w:dstrike w:val="false"/>
                <w:color w:val="000000"/>
                <w:sz w:val="16"/>
                <w:u w:val="none"/>
                <w:effect w:val="none"/>
                <w:shd w:fill="auto" w:val="clear"/>
              </w:rPr>
              <w:t>ZMYND11</w:t>
            </w:r>
            <w:r>
              <w:rPr>
                <w:caps w:val="false"/>
                <w:smallCaps w:val="false"/>
                <w:strike w:val="false"/>
                <w:dstrike w:val="false"/>
                <w:color w:val="000000"/>
                <w:u w:val="none"/>
                <w:effect w:val="none"/>
                <w:shd w:fill="auto" w:val="clear"/>
              </w:rPr>
              <w:t> </w:t>
            </w:r>
            <w:r>
              <w:rPr>
                <w:rFonts w:ascii="Times New Roman;serif" w:hAnsi="Times New Roman;serif"/>
                <w:b w:val="false"/>
                <w:i w:val="false"/>
                <w:caps w:val="false"/>
                <w:smallCaps w:val="false"/>
                <w:strike w:val="false"/>
                <w:dstrike w:val="false"/>
                <w:color w:val="000000"/>
                <w:sz w:val="16"/>
                <w:u w:val="none"/>
                <w:effect w:val="none"/>
                <w:shd w:fill="auto" w:val="clear"/>
              </w:rPr>
              <w:t>exon 12::</w:t>
            </w:r>
            <w:r>
              <w:rPr>
                <w:rFonts w:ascii="Times New Roman;serif" w:hAnsi="Times New Roman;serif"/>
                <w:b w:val="false"/>
                <w:i/>
                <w:caps w:val="false"/>
                <w:smallCaps w:val="false"/>
                <w:strike w:val="false"/>
                <w:dstrike w:val="false"/>
                <w:color w:val="000000"/>
                <w:sz w:val="16"/>
                <w:u w:val="none"/>
                <w:effect w:val="none"/>
                <w:shd w:fill="auto" w:val="clear"/>
              </w:rPr>
              <w:t>MBTD1</w:t>
            </w:r>
            <w:r>
              <w:rPr>
                <w:caps w:val="false"/>
                <w:smallCaps w:val="false"/>
                <w:strike w:val="false"/>
                <w:dstrike w:val="false"/>
                <w:color w:val="000000"/>
                <w:u w:val="none"/>
                <w:effect w:val="none"/>
                <w:shd w:fill="auto" w:val="clear"/>
              </w:rPr>
              <w:t> </w:t>
            </w:r>
            <w:r>
              <w:rPr>
                <w:rFonts w:ascii="Times New Roman;serif" w:hAnsi="Times New Roman;serif"/>
                <w:b w:val="false"/>
                <w:i w:val="false"/>
                <w:caps w:val="false"/>
                <w:smallCaps w:val="false"/>
                <w:strike w:val="false"/>
                <w:dstrike w:val="false"/>
                <w:color w:val="000000"/>
                <w:sz w:val="16"/>
                <w:u w:val="none"/>
                <w:effect w:val="none"/>
                <w:shd w:fill="auto" w:val="clear"/>
              </w:rPr>
              <w:t>exon 3</w:t>
            </w:r>
          </w:p>
        </w:tc>
        <w:tc>
          <w:tcPr>
            <w:tcW w:w="1386" w:type="dxa"/>
            <w:tcBorders>
              <w:bottom w:val="single" w:sz="12" w:space="0" w:color="000000"/>
            </w:tcBorders>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CD7+, CD13+, CD33+, CD34+, CD56+, CD117+, HLA-DR−, MPO−</w:t>
            </w:r>
          </w:p>
        </w:tc>
        <w:tc>
          <w:tcPr>
            <w:tcW w:w="968" w:type="dxa"/>
            <w:tcBorders>
              <w:bottom w:val="single" w:sz="12" w:space="0" w:color="000000"/>
            </w:tcBorders>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Idarubicin + cytarabine; high-dose cytarabine consolidation ×3</w:t>
            </w:r>
          </w:p>
        </w:tc>
        <w:tc>
          <w:tcPr>
            <w:tcW w:w="941" w:type="dxa"/>
            <w:tcBorders>
              <w:bottom w:val="single" w:sz="12" w:space="0" w:color="000000"/>
            </w:tcBorders>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CR</w:t>
            </w:r>
          </w:p>
        </w:tc>
        <w:tc>
          <w:tcPr>
            <w:tcW w:w="1206" w:type="dxa"/>
            <w:tcBorders>
              <w:bottom w:val="single" w:sz="12" w:space="0" w:color="000000"/>
            </w:tcBorders>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No transplantation reported</w:t>
            </w:r>
          </w:p>
        </w:tc>
        <w:tc>
          <w:tcPr>
            <w:tcW w:w="639" w:type="dxa"/>
            <w:tcBorders>
              <w:bottom w:val="single" w:sz="12" w:space="0" w:color="000000"/>
            </w:tcBorders>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Yes; bone marrow and CNS relapse</w:t>
            </w:r>
          </w:p>
        </w:tc>
        <w:tc>
          <w:tcPr>
            <w:tcW w:w="839" w:type="dxa"/>
            <w:tcBorders>
              <w:bottom w:val="single" w:sz="12" w:space="0" w:color="000000"/>
            </w:tcBorders>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10</w:t>
            </w:r>
          </w:p>
        </w:tc>
        <w:tc>
          <w:tcPr>
            <w:tcW w:w="942" w:type="dxa"/>
            <w:tcBorders>
              <w:bottom w:val="single" w:sz="12" w:space="0" w:color="000000"/>
            </w:tcBorders>
            <w:vAlign w:val="center"/>
          </w:tcPr>
          <w:p>
            <w:pPr>
              <w:pStyle w:val="TableContents"/>
              <w:bidi w:val="0"/>
              <w:spacing w:lineRule="auto" w:line="429" w:before="0" w:after="0"/>
              <w:ind w:hanging="0" w:left="0" w:right="0"/>
              <w:rPr>
                <w:rFonts w:ascii="Times New Roman;serif" w:hAnsi="Times New Roman;serif"/>
                <w:b w:val="false"/>
                <w:i w:val="false"/>
                <w:caps w:val="false"/>
                <w:smallCaps w:val="false"/>
                <w:strike w:val="false"/>
                <w:dstrike w:val="false"/>
                <w:color w:val="000000"/>
                <w:sz w:val="16"/>
                <w:u w:val="none"/>
                <w:effect w:val="none"/>
                <w:shd w:fill="auto" w:val="clear"/>
              </w:rPr>
            </w:pPr>
            <w:r>
              <w:rPr>
                <w:rFonts w:ascii="Times New Roman;serif" w:hAnsi="Times New Roman;serif"/>
                <w:b w:val="false"/>
                <w:i w:val="false"/>
                <w:caps w:val="false"/>
                <w:smallCaps w:val="false"/>
                <w:strike w:val="false"/>
                <w:dstrike w:val="false"/>
                <w:color w:val="000000"/>
                <w:sz w:val="16"/>
                <w:u w:val="none"/>
                <w:effect w:val="none"/>
                <w:shd w:fill="auto" w:val="clear"/>
              </w:rPr>
              <w:t>Died</w:t>
            </w:r>
          </w:p>
        </w:tc>
      </w:tr>
    </w:tbl>
    <w:p>
      <w:pPr>
        <w:pStyle w:val="BodyText"/>
        <w:bidi w:val="0"/>
        <w:spacing w:lineRule="auto" w:line="429" w:before="0" w:after="0"/>
        <w:ind w:hanging="0" w:left="0" w:right="0"/>
        <w:jc w:val="both"/>
        <w:rPr>
          <w:rFonts w:ascii="Times New Roman;serif" w:hAnsi="Times New Roman;serif"/>
          <w:b w:val="false"/>
          <w:i w:val="false"/>
          <w:caps w:val="false"/>
          <w:smallCaps w:val="false"/>
          <w:strike w:val="false"/>
          <w:dstrike w:val="false"/>
          <w:color w:val="000000"/>
          <w:sz w:val="22"/>
          <w:u w:val="none"/>
          <w:effect w:val="none"/>
          <w:shd w:fill="auto" w:val="clear"/>
        </w:rPr>
      </w:pPr>
      <w:r>
        <w:rPr>
          <w:rFonts w:ascii="Times New Roman;serif" w:hAnsi="Times New Roman;serif"/>
          <w:b w:val="false"/>
          <w:i w:val="false"/>
          <w:caps w:val="false"/>
          <w:smallCaps w:val="false"/>
          <w:strike w:val="false"/>
          <w:dstrike w:val="false"/>
          <w:color w:val="000000"/>
          <w:sz w:val="22"/>
          <w:u w:val="none"/>
          <w:effect w:val="none"/>
          <w:shd w:fill="auto" w:val="clear"/>
        </w:rPr>
        <w:t>allo-HCT, allogeneic hematopoietic cell transplantation; CLIA, cladribine, idarubicin, and cytarabine; CNS, central nervous system; CR, complete remission; F, female; M, male; FISH, fluorescence in situ hybridization; MPO, myeloperoxidase; NA, not applicable or not available, as indicated; OGM, optical genome mapping; RT-PCR, reverse-transcription polymerase chain reaction. </w:t>
      </w:r>
    </w:p>
    <w:p>
      <w:pPr>
        <w:pStyle w:val="BodyText"/>
        <w:bidi w:val="0"/>
        <w:spacing w:lineRule="auto" w:line="288" w:before="0" w:after="0"/>
        <w:ind w:hanging="0" w:left="0" w:right="0"/>
        <w:jc w:val="both"/>
        <w:rPr>
          <w:b w:val="false"/>
        </w:rPr>
      </w:pPr>
      <w:r>
        <w:rPr>
          <w:rFonts w:ascii="Times New Roman;serif" w:hAnsi="Times New Roman;serif"/>
          <w:b w:val="false"/>
          <w:i w:val="false"/>
          <w:caps w:val="false"/>
          <w:smallCaps w:val="false"/>
          <w:strike w:val="false"/>
          <w:dstrike w:val="false"/>
          <w:color w:val="000000"/>
          <w:sz w:val="22"/>
          <w:u w:val="none"/>
          <w:effect w:val="none"/>
          <w:shd w:fill="auto" w:val="clear"/>
        </w:rPr>
        <w:t xml:space="preserve">Case numbers correspond to those used by Wei et al. Pediatric cases (cases 6, 8, and 12; aged 13, 13, and 11 years, respectively) were excluded from the present literature-derived adult cohort. Diagnostic evidence for </w:t>
      </w:r>
      <w:r>
        <w:rPr>
          <w:rFonts w:ascii="Times New Roman;serif" w:hAnsi="Times New Roman;serif"/>
          <w:b w:val="false"/>
          <w:i/>
          <w:caps w:val="false"/>
          <w:smallCaps w:val="false"/>
          <w:strike w:val="false"/>
          <w:dstrike w:val="false"/>
          <w:color w:val="000000"/>
          <w:sz w:val="22"/>
          <w:u w:val="none"/>
          <w:effect w:val="none"/>
          <w:shd w:fill="auto" w:val="clear"/>
        </w:rPr>
        <w:t>ZMYND11::MBTD1</w:t>
      </w:r>
      <w:r>
        <w:rPr>
          <w:b w:val="false"/>
          <w:caps w:val="false"/>
          <w:smallCaps w:val="false"/>
          <w:strike w:val="false"/>
          <w:dstrike w:val="false"/>
          <w:color w:val="000000"/>
          <w:u w:val="none"/>
          <w:effect w:val="none"/>
          <w:shd w:fill="auto" w:val="clear"/>
        </w:rPr>
        <w:t xml:space="preserve"> </w:t>
      </w:r>
      <w:r>
        <w:rPr>
          <w:rFonts w:ascii="Times New Roman;serif" w:hAnsi="Times New Roman;serif"/>
          <w:b w:val="false"/>
          <w:i w:val="false"/>
          <w:caps w:val="false"/>
          <w:smallCaps w:val="false"/>
          <w:strike w:val="false"/>
          <w:dstrike w:val="false"/>
          <w:color w:val="000000"/>
          <w:sz w:val="22"/>
          <w:u w:val="none"/>
          <w:effect w:val="none"/>
          <w:shd w:fill="auto" w:val="clear"/>
        </w:rPr>
        <w:t>varied among the literature-derived cases; direct molecular confirmation was not available for all patients. Therefore, these cases are collectively referred to as t(10;17)(p15;q21)/</w:t>
      </w:r>
      <w:r>
        <w:rPr>
          <w:rFonts w:ascii="Times New Roman;serif" w:hAnsi="Times New Roman;serif"/>
          <w:b w:val="false"/>
          <w:i/>
          <w:caps w:val="false"/>
          <w:smallCaps w:val="false"/>
          <w:strike w:val="false"/>
          <w:dstrike w:val="false"/>
          <w:color w:val="000000"/>
          <w:sz w:val="22"/>
          <w:u w:val="none"/>
          <w:effect w:val="none"/>
          <w:shd w:fill="auto" w:val="clear"/>
        </w:rPr>
        <w:t>ZMYND11::MBTD1</w:t>
      </w:r>
      <w:r>
        <w:rPr>
          <w:rFonts w:ascii="Times New Roman;serif" w:hAnsi="Times New Roman;serif"/>
          <w:b w:val="false"/>
          <w:i w:val="false"/>
          <w:caps w:val="false"/>
          <w:smallCaps w:val="false"/>
          <w:strike w:val="false"/>
          <w:dstrike w:val="false"/>
          <w:color w:val="000000"/>
          <w:sz w:val="22"/>
          <w:u w:val="none"/>
          <w:effect w:val="none"/>
          <w:shd w:fill="auto" w:val="clear"/>
        </w:rPr>
        <w:t xml:space="preserve">-associated AML. Treatment responses were recorded as reported in the original publications and were not retrospectively reclassified according to ELN 2022 criteria when complete patient-level hematologic recovery data were unavailable. For case 3, the original report described “morphologic remission,” but insufficient data were available to verify ELN-defined complete remission. For case 7, FISH demonstrated colocalization of </w:t>
      </w:r>
      <w:r>
        <w:rPr>
          <w:rFonts w:ascii="Times New Roman;serif" w:hAnsi="Times New Roman;serif"/>
          <w:b w:val="false"/>
          <w:i/>
          <w:caps w:val="false"/>
          <w:smallCaps w:val="false"/>
          <w:strike w:val="false"/>
          <w:dstrike w:val="false"/>
          <w:color w:val="000000"/>
          <w:sz w:val="22"/>
          <w:u w:val="none"/>
          <w:effect w:val="none"/>
          <w:shd w:fill="auto" w:val="clear"/>
        </w:rPr>
        <w:t xml:space="preserve">ZMYND11 </w:t>
      </w:r>
      <w:r>
        <w:rPr>
          <w:rFonts w:ascii="Times New Roman;serif" w:hAnsi="Times New Roman;serif"/>
          <w:b w:val="false"/>
          <w:i w:val="false"/>
          <w:caps w:val="false"/>
          <w:smallCaps w:val="false"/>
          <w:strike w:val="false"/>
          <w:dstrike w:val="false"/>
          <w:color w:val="000000"/>
          <w:sz w:val="22"/>
          <w:u w:val="none"/>
          <w:effect w:val="none"/>
          <w:shd w:fill="auto" w:val="clear"/>
        </w:rPr>
        <w:t xml:space="preserve">and </w:t>
      </w:r>
      <w:r>
        <w:rPr>
          <w:rFonts w:ascii="Times New Roman;serif" w:hAnsi="Times New Roman;serif"/>
          <w:b w:val="false"/>
          <w:i/>
          <w:caps w:val="false"/>
          <w:smallCaps w:val="false"/>
          <w:strike w:val="false"/>
          <w:dstrike w:val="false"/>
          <w:color w:val="000000"/>
          <w:sz w:val="22"/>
          <w:u w:val="none"/>
          <w:effect w:val="none"/>
          <w:shd w:fill="auto" w:val="clear"/>
        </w:rPr>
        <w:t>MBTD1</w:t>
      </w:r>
      <w:r>
        <w:rPr>
          <w:b w:val="false"/>
          <w:caps w:val="false"/>
          <w:smallCaps w:val="false"/>
          <w:strike w:val="false"/>
          <w:dstrike w:val="false"/>
          <w:color w:val="000000"/>
          <w:u w:val="none"/>
          <w:effect w:val="none"/>
          <w:shd w:fill="auto" w:val="clear"/>
        </w:rPr>
        <w:t xml:space="preserve"> </w:t>
      </w:r>
      <w:r>
        <w:rPr>
          <w:rFonts w:ascii="Times New Roman;serif" w:hAnsi="Times New Roman;serif"/>
          <w:b w:val="false"/>
          <w:i w:val="false"/>
          <w:caps w:val="false"/>
          <w:smallCaps w:val="false"/>
          <w:strike w:val="false"/>
          <w:dstrike w:val="false"/>
          <w:color w:val="000000"/>
          <w:sz w:val="22"/>
          <w:u w:val="none"/>
          <w:effect w:val="none"/>
          <w:shd w:fill="auto" w:val="clear"/>
        </w:rPr>
        <w:t>at the translocation breakpoints, but a fusion transcript was not directly demonstrated because RNA was unavailable. “No transplantation reported” and “no relapse reported” indicate that these events were not documented in the available publications and should not be interpreted as confirmation that they did not occur.</w:t>
      </w:r>
    </w:p>
    <w:p>
      <w:pPr>
        <w:pStyle w:val="BodyText"/>
        <w:bidi w:val="0"/>
        <w:spacing w:lineRule="auto" w:line="276" w:before="0" w:after="140"/>
        <w:jc w:val="left"/>
        <w:rPr/>
      </w:pPr>
      <w:r>
        <w:rPr/>
        <w:b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altName w:val="serif"/>
    <w:charset w:val="00"/>
    <w:family w:val="auto"/>
    <w:pitch w:val="default"/>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LibreOffice/24.2.4.2$Windows_X86_64 LibreOffice_project/51a6219feb6075d9a4c46691dcfe0cd9c4fff3c2</Application>
  <AppVersion>15.0000</AppVersion>
  <Pages>2</Pages>
  <Words>603</Words>
  <Characters>3722</Characters>
  <CharactersWithSpaces>4214</CharactersWithSpaces>
  <Paragraphs>114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2026-09-04T14:46:08Z</dcterms:created>
  <dc:creator/>
  <dc:description/>
  <dc:language>en-US</dc:language>
  <cp:lastModifiedBy/>
  <dcterms:modified xsi:type="dcterms:W3CDTF">2026-09-04T14:46:36Z</dcterms:modified>
  <cp:revision>1</cp:revision>
  <dc:subject/>
  <dc:title/>
</cp:coreProperties>
</file>