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23371" w:type="dxa"/>
        <w:tblInd w:w="-1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6"/>
        <w:gridCol w:w="2550"/>
        <w:gridCol w:w="1734"/>
        <w:gridCol w:w="1753"/>
        <w:gridCol w:w="1997"/>
        <w:gridCol w:w="2363"/>
        <w:gridCol w:w="1921"/>
        <w:gridCol w:w="1435"/>
        <w:gridCol w:w="1640"/>
        <w:gridCol w:w="1660"/>
        <w:gridCol w:w="2681"/>
        <w:gridCol w:w="26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3371"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kern w:val="0"/>
                <w:sz w:val="15"/>
                <w:szCs w:val="15"/>
                <w:u w:val="none"/>
                <w:lang w:val="en-US" w:eastAsia="zh-CN" w:bidi="ar"/>
              </w:rPr>
            </w:pPr>
            <w:r>
              <w:rPr>
                <w:rFonts w:hint="default" w:ascii="Times New Roman" w:hAnsi="Times New Roman" w:eastAsia="Carlito" w:cs="Times New Roman"/>
                <w:i w:val="0"/>
                <w:iCs w:val="0"/>
                <w:color w:val="000000"/>
                <w:kern w:val="0"/>
                <w:sz w:val="15"/>
                <w:szCs w:val="15"/>
                <w:u w:val="none"/>
                <w:lang w:val="en-US" w:eastAsia="zh-CN" w:bidi="ar"/>
              </w:rPr>
              <w:t>Supplementary Table S2. Definitions and data handling of recurrence outcomes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46"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Study</w:t>
            </w:r>
          </w:p>
        </w:tc>
        <w:tc>
          <w:tcPr>
            <w:tcW w:w="2550"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Original recurrence terminology reported in the article</w:t>
            </w:r>
          </w:p>
        </w:tc>
        <w:tc>
          <w:tcPr>
            <w:tcW w:w="1734"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Overall recurrence: definition or extractable term</w:t>
            </w:r>
          </w:p>
        </w:tc>
        <w:tc>
          <w:tcPr>
            <w:tcW w:w="1753"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Locoregional recurrence: definition or extractable term</w:t>
            </w:r>
          </w:p>
        </w:tc>
        <w:tc>
          <w:tcPr>
            <w:tcW w:w="1997"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Distant recurrence/metastasis: definition or extractable term</w:t>
            </w:r>
          </w:p>
        </w:tc>
        <w:tc>
          <w:tcPr>
            <w:tcW w:w="2363"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Combined locoregional plus distant recurrence reported separately</w:t>
            </w:r>
          </w:p>
        </w:tc>
        <w:tc>
          <w:tcPr>
            <w:tcW w:w="1921"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Data type used for recurrence extraction</w:t>
            </w:r>
          </w:p>
        </w:tc>
        <w:tc>
          <w:tcPr>
            <w:tcW w:w="1435"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Included in primary analysis: overall recurrence</w:t>
            </w:r>
          </w:p>
        </w:tc>
        <w:tc>
          <w:tcPr>
            <w:tcW w:w="1640"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Included in primary analysis: locoregional recurrence</w:t>
            </w:r>
          </w:p>
        </w:tc>
        <w:tc>
          <w:tcPr>
            <w:tcW w:w="1660"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Included in primary analysis: distant recurrence/metastasis</w:t>
            </w:r>
          </w:p>
        </w:tc>
        <w:tc>
          <w:tcPr>
            <w:tcW w:w="2681"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Included only in sensitivity analysis using crude recurrence data</w:t>
            </w:r>
          </w:p>
        </w:tc>
        <w:tc>
          <w:tcPr>
            <w:tcW w:w="2691" w:type="dxa"/>
            <w:tcBorders>
              <w:top w:val="single" w:color="000000" w:sz="4" w:space="0"/>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Reason for primary or sensitivity-analysis placement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Chen et al. [17]</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RFS reported; site-specific recurrence events not separately reported</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used for recurrence synthesis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 directly extractable recurrence-site event counts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Deng et al. [18]</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DFS and OS reported; recurrence events not separately reported</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used for recurrence synthesis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 directly extractable recurrence-site event counts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Duan et al. [19]</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Overall recurrence, locoregional recurrence, and distant recurrence/metastasis reported as events</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6/65 vs 18/60</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4/65 vs 7/60</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1/65 vs 8/60</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separately specified in extraction table</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PSM cohort event counts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Directly extractable and aligned with prespecified recurrence endpoints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Guo et al. [11]</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Overall recurrence, locoregional recurrence, and distant recurrence/metastasis reported as events</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126/532 vs 190/532</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98/532 vs 111/532</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72/532 vs 133/532</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separately specified in extraction table</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PSM cohort event counts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Largest matched cohort with directly extractable recurrence events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Jiang et al. [20]</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DFS and OS reported; recurrence events not separately reported</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used for recurrence synthesis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 directly extractable recurrence-site event counts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kern w:val="0"/>
                <w:sz w:val="15"/>
                <w:szCs w:val="15"/>
                <w:u w:val="none"/>
                <w:lang w:val="en-US" w:eastAsia="zh-CN" w:bidi="ar"/>
              </w:rPr>
            </w:pPr>
            <w:bookmarkStart w:id="0" w:name="_GoBack" w:colFirst="11" w:colLast="11"/>
            <w:r>
              <w:rPr>
                <w:rFonts w:hint="default" w:ascii="Times New Roman" w:hAnsi="Times New Roman" w:eastAsia="Carlito" w:cs="Times New Roman"/>
                <w:i w:val="0"/>
                <w:iCs w:val="0"/>
                <w:color w:val="000000"/>
                <w:kern w:val="0"/>
                <w:sz w:val="15"/>
                <w:szCs w:val="15"/>
                <w:u w:val="none"/>
                <w:lang w:val="en-US" w:eastAsia="zh-CN" w:bidi="ar"/>
              </w:rPr>
              <w:t>Lin et al. [21]</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kern w:val="0"/>
                <w:sz w:val="15"/>
                <w:szCs w:val="15"/>
                <w:u w:val="none"/>
                <w:lang w:val="en-US" w:eastAsia="zh-CN" w:bidi="ar"/>
              </w:rPr>
            </w:pPr>
            <w:r>
              <w:rPr>
                <w:rFonts w:hint="default" w:ascii="Times New Roman" w:hAnsi="Times New Roman" w:eastAsia="Carlito" w:cs="Times New Roman"/>
                <w:i w:val="0"/>
                <w:iCs w:val="0"/>
                <w:color w:val="000000"/>
                <w:kern w:val="0"/>
                <w:sz w:val="15"/>
                <w:szCs w:val="15"/>
                <w:u w:val="none"/>
                <w:lang w:val="en-US" w:eastAsia="zh-CN" w:bidi="ar"/>
              </w:rPr>
              <w:t>Disease progression, locoregional recurrence, and distant recurrence/metastasis reported; overall recurrence was not separately reported as a recurrence-only endpoint</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15/112 vs 35/280</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16/112 vs 66/280</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separately specified in extraction table</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Original cohort crude event counts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ascii="Times New Roman" w:hAnsi="Times New Roman" w:eastAsia="宋体" w:cs="Times New Roman"/>
                <w:i w:val="0"/>
                <w:iCs w:val="0"/>
                <w:color w:val="000000"/>
                <w:sz w:val="15"/>
                <w:szCs w:val="15"/>
                <w:u w:val="none"/>
                <w:lang w:val="en-US" w:eastAsia="zh-CN"/>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kern w:val="0"/>
                <w:sz w:val="18"/>
                <w:szCs w:val="18"/>
                <w:u w:val="none"/>
                <w:lang w:val="en-US" w:eastAsia="zh-CN" w:bidi="ar"/>
              </w:rPr>
            </w:pPr>
            <w:r>
              <w:rPr>
                <w:rFonts w:hint="default" w:ascii="Times New Roman" w:hAnsi="Times New Roman" w:eastAsia="Carlito" w:cs="Times New Roman"/>
                <w:i w:val="0"/>
                <w:iCs w:val="0"/>
                <w:color w:val="000000"/>
                <w:kern w:val="0"/>
                <w:sz w:val="18"/>
                <w:szCs w:val="18"/>
                <w:u w:val="none"/>
                <w:lang w:val="en-US" w:eastAsia="zh-CN" w:bidi="ar"/>
              </w:rPr>
              <w:t>Overall recurrence was not directly reported and was excluded; directly reported locoregional and distant recurrence events were retained, with potential follow-up-related ascertainment bias.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Lin et al. [22]</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kern w:val="0"/>
                <w:sz w:val="15"/>
                <w:szCs w:val="15"/>
                <w:u w:val="none"/>
                <w:lang w:val="en-US" w:eastAsia="zh-CN" w:bidi="ar"/>
              </w:rPr>
            </w:pPr>
            <w:r>
              <w:rPr>
                <w:rFonts w:hint="default" w:ascii="Times New Roman" w:hAnsi="Times New Roman" w:eastAsia="Carlito" w:cs="Times New Roman"/>
                <w:i w:val="0"/>
                <w:iCs w:val="0"/>
                <w:color w:val="000000"/>
                <w:kern w:val="0"/>
                <w:sz w:val="15"/>
                <w:szCs w:val="15"/>
                <w:u w:val="none"/>
                <w:lang w:val="en-US" w:eastAsia="zh-CN" w:bidi="ar"/>
              </w:rPr>
              <w:t>Overall recurrence, locoregional recurrence, and distant recurrence/metastasis reported as events</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27/84 vs 25/84</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8/84 vs 6/84</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17/84 vs 15/84</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separately specified in extraction table</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PSM cohort event counts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kern w:val="0"/>
                <w:sz w:val="18"/>
                <w:szCs w:val="18"/>
                <w:u w:val="none"/>
                <w:lang w:val="en-US" w:eastAsia="zh-CN" w:bidi="ar"/>
              </w:rPr>
            </w:pPr>
            <w:r>
              <w:rPr>
                <w:rFonts w:hint="default" w:ascii="Times New Roman" w:hAnsi="Times New Roman" w:eastAsia="Carlito" w:cs="Times New Roman"/>
                <w:i w:val="0"/>
                <w:iCs w:val="0"/>
                <w:color w:val="000000"/>
                <w:kern w:val="0"/>
                <w:sz w:val="18"/>
                <w:szCs w:val="18"/>
                <w:u w:val="none"/>
                <w:lang w:val="en-US" w:eastAsia="zh-CN" w:bidi="ar"/>
              </w:rPr>
              <w:t>Directly extractable and aligned with prespecified recurrence endpoints</w:t>
            </w:r>
          </w:p>
        </w:tc>
      </w:tr>
      <w:bookmarkEnd w:id="0"/>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Liu et al. [23]</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Recurrence/metastasis, locoregional recurrence, and distant recurrence/metastasis reported as events</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34/131 vs 16/50</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10/131 vs 6/50</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24/131 vs 10/50</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separately specified in extraction table</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Original cohort crude recurrence data; IPTW-adjusted OS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 all three recurrence outcomes</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Crude recurrence data and broader recurrence/metastasis terminology; reserved for sensitivity analysis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Shao et al. [24]</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3-year OS reported; recurrence events not separately reported</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used for recurrence synthesis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 directly extractable recurrence-site event counts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Shi et al. [25]</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DFS reported; recurrence events not separately reported</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used for recurrence synthesis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 directly extractable recurrence-site event counts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Wang et al. [26]</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3-year locoregional recurrence and distant metastasis rates reported</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3-year LRR: 36.58% vs 23.58%</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3-year DM: 31.95% vs 26.57%</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separately specified in extraction table</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PSM cohort time-point rates; no direct event counts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Time-point recurrence rates without directly extractable event counts for RR synthesis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Wang et al. [27]</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Postoperative tumor recurrence / recurrence rates reported; the main article reports no significant difference in recurrence rates across modalities and refers to Supplemental Table 3 for recurrence details.</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14/84 vs 13/61</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directly extractable from the available full text</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directly extractable from the available full text</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Original cohort crude event counts for overall recurrence only</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Overall recurrence event counts were extractable; site-specific locoregional and distant recurrence events were not directly extractable from the available full text.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Wang et al. [28]</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DFS and OS reported; recurrence events not separately reported</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used for recurrence synthesis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 directly extractable recurrence-site event counts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Xiao et al. [13]</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Disease recurrence was defined as local (esophageal bed or anastomotic), locoregional (regional lymph nodes), or distant (distant lymph nodes or distant organs).</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5/55 vs 17/94</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Local recurrence: 0/55 vs 6/94; regional nodal recurrence was defined but not separately extractable from the main text</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4/55 vs 9/94</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separately reported in the main text</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PSM cohort event counts; local recurrence used as the closest available locoregional endpoint</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Overall and distant recurrence events were directly extractable. Local recurrence was used as the closest available locoregional endpoint because regional nodal recurrence was defined but not separately extractable, resulting in partial endpoint alignment.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Yang et al. [29]</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Overall recurrence rates reported; DFS/RFS and OS HRs reported</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35.0% vs 40.7%</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PSM cohort percentages only for recurrence; adjusted/matched HRs for survival</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Overall recurrence reported as rates without directly extractable event counts or site-specific recurrence data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Yu et al. [12]</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DFS and OS reported; recurrence events not separately reported</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used for recurrence synthesis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 directly extractable recurrence-site event counts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Zhang et al. [30]</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OS and perioperative/pathological outcomes reported; recurrence events not separately reported</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used for recurrence synthesis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 recurrence events or survival HRs directly extractable for current meta-analyses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Zhao et al. [31]</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Failure pattern reported with locoregional and distant recurrence/metastasis events.</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separately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7/55 vs 4/110</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1/55 vs 8/110</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separately specified in extraction table</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PSM cohort event counts; failure-pattern data</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Yes</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Site-specific locoregional and distant recurrence events were directly extractable and aligned with prespecified recurrence-pattern outcomes; overall recurrence was not separately reported.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Zhuang et al. [32]</w:t>
            </w:r>
          </w:p>
        </w:tc>
        <w:tc>
          <w:tcPr>
            <w:tcW w:w="255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RFS and OS reported; recurrence events not separately reported</w:t>
            </w:r>
          </w:p>
        </w:tc>
        <w:tc>
          <w:tcPr>
            <w:tcW w:w="1734"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97"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2363"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used for recurrence synthesis</w:t>
            </w:r>
          </w:p>
        </w:tc>
        <w:tc>
          <w:tcPr>
            <w:tcW w:w="1435"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 directly extractable recurrence-site event counts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946"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Zou et al. [33]</w:t>
            </w:r>
          </w:p>
        </w:tc>
        <w:tc>
          <w:tcPr>
            <w:tcW w:w="2550"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OS and pathological/perioperative outcomes reported; recurrence events not separately reported</w:t>
            </w:r>
          </w:p>
        </w:tc>
        <w:tc>
          <w:tcPr>
            <w:tcW w:w="1734"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753"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97"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2363"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reported</w:t>
            </w:r>
          </w:p>
        </w:tc>
        <w:tc>
          <w:tcPr>
            <w:tcW w:w="1921"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Not used for recurrence synthesis</w:t>
            </w:r>
          </w:p>
        </w:tc>
        <w:tc>
          <w:tcPr>
            <w:tcW w:w="1435"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40"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1660"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81"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w:t>
            </w:r>
          </w:p>
        </w:tc>
        <w:tc>
          <w:tcPr>
            <w:tcW w:w="2691" w:type="dxa"/>
            <w:tcBorders>
              <w:top w:val="nil"/>
              <w:left w:val="nil"/>
              <w:bottom w:val="single" w:color="000000" w:sz="4" w:space="0"/>
              <w:right w:val="nil"/>
            </w:tcBorders>
            <w:shd w:val="clear" w:color="auto" w:fill="FFFFFF"/>
            <w:vAlign w:val="center"/>
          </w:tcPr>
          <w:p>
            <w:pPr>
              <w:keepNext w:val="0"/>
              <w:keepLines w:val="0"/>
              <w:widowControl/>
              <w:suppressLineNumbers w:val="0"/>
              <w:jc w:val="center"/>
              <w:textAlignment w:val="center"/>
              <w:rPr>
                <w:rFonts w:hint="default" w:ascii="Times New Roman" w:hAnsi="Times New Roman" w:eastAsia="Carlito" w:cs="Times New Roman"/>
                <w:i w:val="0"/>
                <w:iCs w:val="0"/>
                <w:color w:val="000000"/>
                <w:sz w:val="15"/>
                <w:szCs w:val="15"/>
                <w:u w:val="none"/>
              </w:rPr>
            </w:pPr>
            <w:r>
              <w:rPr>
                <w:rFonts w:hint="default" w:ascii="Times New Roman" w:hAnsi="Times New Roman" w:eastAsia="Carlito" w:cs="Times New Roman"/>
                <w:i w:val="0"/>
                <w:iCs w:val="0"/>
                <w:color w:val="000000"/>
                <w:kern w:val="0"/>
                <w:sz w:val="15"/>
                <w:szCs w:val="15"/>
                <w:u w:val="none"/>
                <w:lang w:val="en-US" w:eastAsia="zh-CN" w:bidi="ar"/>
              </w:rPr>
              <w:t>No directly extractable recurrence-site event counts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23371" w:type="dxa"/>
            <w:gridSpan w:val="12"/>
            <w:tcBorders>
              <w:top w:val="nil"/>
              <w:left w:val="nil"/>
              <w:bottom w:val="nil"/>
              <w:right w:val="nil"/>
            </w:tcBorders>
            <w:shd w:val="clear" w:color="auto" w:fill="auto"/>
            <w:noWrap/>
            <w:vAlign w:val="top"/>
          </w:tcPr>
          <w:p>
            <w:pPr>
              <w:keepNext w:val="0"/>
              <w:keepLines w:val="0"/>
              <w:widowControl/>
              <w:suppressLineNumbers w:val="0"/>
              <w:jc w:val="left"/>
              <w:textAlignment w:val="top"/>
              <w:rPr>
                <w:rStyle w:val="4"/>
                <w:rFonts w:hint="default" w:ascii="Times New Roman" w:hAnsi="Times New Roman" w:eastAsia="Carlito" w:cs="Times New Roman"/>
                <w:sz w:val="15"/>
                <w:szCs w:val="15"/>
                <w:lang w:val="en-US" w:eastAsia="zh-CN" w:bidi="ar"/>
              </w:rPr>
            </w:pPr>
            <w:r>
              <w:rPr>
                <w:rStyle w:val="4"/>
                <w:rFonts w:hint="default" w:ascii="Times New Roman" w:hAnsi="Times New Roman" w:eastAsia="Carlito" w:cs="Times New Roman"/>
                <w:sz w:val="15"/>
                <w:szCs w:val="15"/>
                <w:lang w:val="en-US" w:eastAsia="zh-CN" w:bidi="ar"/>
              </w:rPr>
              <w:t>Footnote</w:t>
            </w:r>
            <w:r>
              <w:rPr>
                <w:rStyle w:val="5"/>
                <w:rFonts w:hint="default" w:ascii="Times New Roman" w:hAnsi="Times New Roman" w:eastAsia="Carlito" w:cs="Times New Roman"/>
                <w:sz w:val="15"/>
                <w:szCs w:val="15"/>
                <w:lang w:val="en-US" w:eastAsia="zh-CN" w:bidi="ar"/>
              </w:rPr>
              <w:t>：</w:t>
            </w:r>
            <w:r>
              <w:rPr>
                <w:rStyle w:val="4"/>
                <w:rFonts w:hint="default" w:ascii="Times New Roman" w:hAnsi="Times New Roman" w:eastAsia="Carlito" w:cs="Times New Roman"/>
                <w:sz w:val="15"/>
                <w:szCs w:val="15"/>
                <w:lang w:val="en-US" w:eastAsia="zh-CN" w:bidi="ar"/>
              </w:rPr>
              <w:t>Recurrence definitions and extractable recurrence categories were recorded according to the terminology and definitions used in each original study. Values are presented with the neoadjuvant chemoimmunotherapy group first and the neoadjuvant chemoradiotherapy group second, irrespective of the study-specific labels used in the original report, unless otherwise stated. Studies were included in primary recurrence analyses only when recurrence events were directly extractable and clinically aligned with the prespecified endpoint. If only local recurrence was extractable while regional nodal recurrence was not separately reported, this was explicitly noted as partial endpoint alignment. Crude or less fully aligned recurrence data were included in sensitivity analyses only when clinically justified and sufficiently extractable; post hoc analyses addressing between-group follow-up imbalance are described separately in the main text.</w:t>
            </w:r>
          </w:p>
        </w:tc>
      </w:tr>
    </w:tbl>
    <w:p>
      <w:pPr>
        <w:rPr>
          <w:rFonts w:hint="default" w:ascii="Times New Roman" w:hAnsi="Times New Roman" w:cs="Times New Roman"/>
          <w:sz w:val="15"/>
          <w:szCs w:val="15"/>
        </w:rPr>
      </w:pPr>
    </w:p>
    <w:sectPr>
      <w:pgSz w:w="23811" w:h="16838"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rli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DD5312"/>
    <w:rsid w:val="112F1FC2"/>
    <w:rsid w:val="1B8E6E9E"/>
    <w:rsid w:val="1F071EB1"/>
    <w:rsid w:val="1F0B3750"/>
    <w:rsid w:val="204D56D7"/>
    <w:rsid w:val="241C01AD"/>
    <w:rsid w:val="26BB1EFF"/>
    <w:rsid w:val="28A23E9D"/>
    <w:rsid w:val="2A181417"/>
    <w:rsid w:val="2EDD678B"/>
    <w:rsid w:val="3F3917BB"/>
    <w:rsid w:val="3F6E5909"/>
    <w:rsid w:val="54AD7A94"/>
    <w:rsid w:val="6477675E"/>
    <w:rsid w:val="6E1312A6"/>
    <w:rsid w:val="6E6715F2"/>
    <w:rsid w:val="77B37656"/>
    <w:rsid w:val="78462278"/>
    <w:rsid w:val="7E1C7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31"/>
    <w:basedOn w:val="3"/>
    <w:qFormat/>
    <w:uiPriority w:val="0"/>
    <w:rPr>
      <w:rFonts w:hint="default" w:ascii="Times New Roman" w:hAnsi="Times New Roman" w:cs="Times New Roman"/>
      <w:color w:val="000000"/>
      <w:sz w:val="22"/>
      <w:szCs w:val="22"/>
      <w:u w:val="none"/>
    </w:rPr>
  </w:style>
  <w:style w:type="character" w:customStyle="1" w:styleId="5">
    <w:name w:val="font41"/>
    <w:basedOn w:val="3"/>
    <w:uiPriority w:val="0"/>
    <w:rPr>
      <w:rFonts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1371</Words>
  <Characters>8594</Characters>
  <Lines>0</Lines>
  <Paragraphs>0</Paragraphs>
  <TotalTime>12</TotalTime>
  <ScaleCrop>false</ScaleCrop>
  <LinksUpToDate>false</LinksUpToDate>
  <CharactersWithSpaces>9604</CharactersWithSpaces>
  <Application>WPS Office_11.8.2.12090_F1E327BC-269C-435d-A152-05C5408002CA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2026-05-31T01:06:00Z</dcterms:created>
  <dc:creator>14040</dc:creator>
  <cp:lastModifiedBy>14040</cp:lastModifiedBy>
  <dcterms:modified xsi:type="dcterms:W3CDTF">2026-08-16T00:28:25Z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2052-11.8.2.12090</vt:lpwstr>
  </property>
  <property fmtid="{D5CDD505-2E9C-101B-9397-08002B2CF9AE}" pid="3" name="KSOTemplateDocerSaveRecord">
    <vt:lpwstr>eyJoZGlkIjoiNzJhYmVmZmFkN2RlMWNlMGYyNWE0ZjgzN2YyYmUwNGQiLCJ1c2VySWQiOiIzODA3MDA0MDIifQ==</vt:lpwstr>
  </property>
  <property fmtid="{D5CDD505-2E9C-101B-9397-08002B2CF9AE}" pid="4" name="ICV">
    <vt:lpwstr>A0CF31C7825449A3A110E144C3718768_12</vt:lpwstr>
  </property>
</Properties>
</file>