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233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724"/>
        <w:gridCol w:w="2983"/>
        <w:gridCol w:w="5655"/>
        <w:gridCol w:w="1972"/>
        <w:gridCol w:w="1568"/>
        <w:gridCol w:w="1830"/>
        <w:gridCol w:w="2770"/>
        <w:gridCol w:w="1440"/>
        <w:gridCol w:w="1193"/>
        <w:gridCol w:w="1207"/>
        <w:gridCol w:w="10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23380" w:type="dxa"/>
            <w:gridSpan w:val="11"/>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2"/>
                <w:szCs w:val="22"/>
                <w:u w:val="none"/>
              </w:rPr>
            </w:pPr>
            <w:r>
              <w:rPr>
                <w:rFonts w:hint="default" w:ascii="Times New Roman" w:hAnsi="Times New Roman" w:eastAsia="Carlito" w:cs="Times New Roman"/>
                <w:i w:val="0"/>
                <w:iCs w:val="0"/>
                <w:color w:val="000000"/>
                <w:kern w:val="0"/>
                <w:sz w:val="22"/>
                <w:szCs w:val="22"/>
                <w:u w:val="none"/>
                <w:bdr w:val="none" w:color="auto" w:sz="0" w:space="0"/>
                <w:lang w:val="en-US" w:eastAsia="zh-CN" w:bidi="ar"/>
              </w:rPr>
              <w:t>Supplementary Table S4. Detailed ROBINS-I assessment of nonrandomized effect estimates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jc w:val="center"/>
        </w:trPr>
        <w:tc>
          <w:tcPr>
            <w:tcW w:w="23380" w:type="dxa"/>
            <w:gridSpan w:val="11"/>
            <w:tcBorders>
              <w:bottom w:val="single" w:color="auto" w:sz="4" w:space="0"/>
            </w:tcBorders>
            <w:shd w:val="clear"/>
            <w:vAlign w:val="center"/>
          </w:tcPr>
          <w:p>
            <w:pPr>
              <w:keepNext w:val="0"/>
              <w:keepLines w:val="0"/>
              <w:widowControl/>
              <w:suppressLineNumbers w:val="0"/>
              <w:jc w:val="left"/>
              <w:textAlignment w:val="top"/>
              <w:rPr>
                <w:rFonts w:hint="default" w:ascii="Times New Roman" w:hAnsi="Times New Roman" w:eastAsia="Carlito" w:cs="Times New Roman"/>
                <w:b/>
                <w:bCs/>
                <w:i w:val="0"/>
                <w:iCs w:val="0"/>
                <w:color w:val="000000"/>
                <w:sz w:val="22"/>
                <w:szCs w:val="22"/>
                <w:u w:val="none"/>
              </w:rPr>
            </w:pPr>
            <w:r>
              <w:rPr>
                <w:rFonts w:hint="default" w:ascii="Times New Roman" w:hAnsi="Times New Roman" w:eastAsia="Carlito" w:cs="Times New Roman"/>
                <w:b/>
                <w:bCs/>
                <w:i w:val="0"/>
                <w:iCs w:val="0"/>
                <w:color w:val="000000"/>
                <w:kern w:val="0"/>
                <w:sz w:val="22"/>
                <w:szCs w:val="22"/>
                <w:u w:val="none"/>
                <w:bdr w:val="none" w:color="auto" w:sz="0" w:space="0"/>
                <w:lang w:val="en-US" w:eastAsia="zh-CN" w:bidi="ar"/>
              </w:rPr>
              <w:t>Panel A. Domain-level judgments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jc w:val="center"/>
        </w:trPr>
        <w:tc>
          <w:tcPr>
            <w:tcW w:w="1724"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Study</w:t>
            </w:r>
          </w:p>
        </w:tc>
        <w:tc>
          <w:tcPr>
            <w:tcW w:w="2983"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Result(s) assessed</w:t>
            </w:r>
          </w:p>
        </w:tc>
        <w:tc>
          <w:tcPr>
            <w:tcW w:w="565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Effect estimate/data used</w:t>
            </w:r>
          </w:p>
        </w:tc>
        <w:tc>
          <w:tcPr>
            <w:tcW w:w="1972"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Confounding</w:t>
            </w:r>
          </w:p>
        </w:tc>
        <w:tc>
          <w:tcPr>
            <w:tcW w:w="1568"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Selection of participants</w:t>
            </w:r>
          </w:p>
        </w:tc>
        <w:tc>
          <w:tcPr>
            <w:tcW w:w="183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Classification of interventions</w:t>
            </w:r>
          </w:p>
        </w:tc>
        <w:tc>
          <w:tcPr>
            <w:tcW w:w="277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Deviations from intended interventions</w:t>
            </w:r>
          </w:p>
        </w:tc>
        <w:tc>
          <w:tcPr>
            <w:tcW w:w="144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Missing data</w:t>
            </w:r>
          </w:p>
        </w:tc>
        <w:tc>
          <w:tcPr>
            <w:tcW w:w="1193"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Measurement of outcomes</w:t>
            </w:r>
          </w:p>
        </w:tc>
        <w:tc>
          <w:tcPr>
            <w:tcW w:w="1207"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Selection of reported result</w:t>
            </w:r>
          </w:p>
        </w:tc>
        <w:tc>
          <w:tcPr>
            <w:tcW w:w="1038"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Chen J et al. [17]</w:t>
            </w:r>
          </w:p>
        </w:tc>
        <w:tc>
          <w:tcPr>
            <w:tcW w:w="2983"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RFS and OS (not pooled)</w:t>
            </w:r>
          </w:p>
        </w:tc>
        <w:tc>
          <w:tcPr>
            <w:tcW w:w="565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 2-year RFS and OS time-point estimates without directly extractable HRs</w:t>
            </w:r>
          </w:p>
        </w:tc>
        <w:tc>
          <w:tcPr>
            <w:tcW w:w="1972"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Deng S et al. [18]</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 (not pooled)</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1-, 2-, and 3-year DFS and OS time-point estimates without directly extractable HRs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Duan X et al. [19]</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locoregional,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cohort; cumulative recurrence event counts within 1 year</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Guo X et al. [11]</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locoregional,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directly reported recurrence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Guo X et al. [11]</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cohort; Cox proportional-hazards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Jiang Y et al. [20]</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survival estimates from matched patients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Z et al. [21]</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Locoregional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cohorts; unadjusted cumulative locoregional and distant recurrence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Z et al. [21]</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cohorts; multivariable Cox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JP et al. [22]</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locoregional,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directly reported recurrence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Liu L et al. [23]</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locoregional, and distant recurrence (sensitivity analysis)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 crude recurrence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Liu L et al. [23]</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IPTW-adjusted cohort; weighted survival estimate</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Shao K et al. [24]</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survival estimate</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Shi S et al. [25]</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DFS estimate</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Y et al. [26]</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 DFS, and OS (not pooled)</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1:2 PSM cohort; 3-year locoregional recurrence, distant metastasis, DFS, and OS rates without direct event counts or HRs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X et al. [27]</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 unadjusted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X et al. [27]</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 unadjusted Kaplan-Meier/log-rank estimate</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cohort; competing-risk and directly reported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Locoregional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cohort; local recurrence used as the available locoregional proxy</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cohort; time-to-event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Yang Y et al. [29]</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DFS/RFS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1:1 PSM cohort; Kaplan-Meier and regression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Yu YK et al. [12]</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IPTW-adjusted cohort; weighted time-to-event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Zhang B et al. [30]</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(not pooled)</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Original cohort; 1- and 3-year OS time-point estimates without a directly extractable NCIT-versus-NCRT HR</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Zhao J et al. [31]</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Locoregional and distant recurrence</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1:2 PSM cohort; failure-pattern event counts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724"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Zhuang FN et al. [32]</w:t>
            </w:r>
          </w:p>
        </w:tc>
        <w:tc>
          <w:tcPr>
            <w:tcW w:w="298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RFS and OS</w:t>
            </w:r>
          </w:p>
        </w:tc>
        <w:tc>
          <w:tcPr>
            <w:tcW w:w="565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Unmatched retrospective cohort; multivariable survival estimates</w:t>
            </w:r>
          </w:p>
        </w:tc>
        <w:tc>
          <w:tcPr>
            <w:tcW w:w="1972"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4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2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0" w:hRule="atLeast"/>
          <w:jc w:val="center"/>
        </w:trPr>
        <w:tc>
          <w:tcPr>
            <w:tcW w:w="1724"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Zou J et al. [33]</w:t>
            </w:r>
          </w:p>
        </w:tc>
        <w:tc>
          <w:tcPr>
            <w:tcW w:w="2983"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(comparative evidence reported narratively; not pooled)</w:t>
            </w:r>
          </w:p>
        </w:tc>
        <w:tc>
          <w:tcPr>
            <w:tcW w:w="565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Unmatched three-arm retrospective cohort; Kaplan–Meier curves and Cox analysis without a direct NCIT-versus-NCRT HR</w:t>
            </w:r>
          </w:p>
        </w:tc>
        <w:tc>
          <w:tcPr>
            <w:tcW w:w="1972"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568"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83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277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c>
          <w:tcPr>
            <w:tcW w:w="144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193"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Low</w:t>
            </w:r>
          </w:p>
        </w:tc>
        <w:tc>
          <w:tcPr>
            <w:tcW w:w="1207"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Moderate</w:t>
            </w:r>
          </w:p>
        </w:tc>
        <w:tc>
          <w:tcPr>
            <w:tcW w:w="1038"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w:t>
            </w:r>
          </w:p>
        </w:tc>
      </w:tr>
    </w:tbl>
    <w:p/>
    <w:tbl>
      <w:tblPr>
        <w:tblW w:w="23402" w:type="dxa"/>
        <w:tblInd w:w="-11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507"/>
        <w:gridCol w:w="3015"/>
        <w:gridCol w:w="2625"/>
        <w:gridCol w:w="1950"/>
        <w:gridCol w:w="3210"/>
        <w:gridCol w:w="3345"/>
        <w:gridCol w:w="2940"/>
        <w:gridCol w:w="2305"/>
        <w:gridCol w:w="25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402" w:type="dxa"/>
            <w:gridSpan w:val="9"/>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b/>
                <w:bCs/>
                <w:i w:val="0"/>
                <w:iCs w:val="0"/>
                <w:color w:val="000000"/>
                <w:sz w:val="22"/>
                <w:szCs w:val="22"/>
                <w:u w:val="none"/>
              </w:rPr>
            </w:pPr>
            <w:r>
              <w:rPr>
                <w:rFonts w:hint="default" w:ascii="Times New Roman" w:hAnsi="Times New Roman" w:eastAsia="Carlito" w:cs="Times New Roman"/>
                <w:b/>
                <w:bCs/>
                <w:i w:val="0"/>
                <w:iCs w:val="0"/>
                <w:color w:val="000000"/>
                <w:kern w:val="0"/>
                <w:sz w:val="22"/>
                <w:szCs w:val="22"/>
                <w:u w:val="none"/>
                <w:bdr w:val="none" w:color="auto" w:sz="0" w:space="0"/>
                <w:lang w:val="en-US" w:eastAsia="zh-CN" w:bidi="ar"/>
              </w:rPr>
              <w:t>Panel B. Supporting rationale for domain-level judgments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1507"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Study and result(s)</w:t>
            </w:r>
          </w:p>
        </w:tc>
        <w:tc>
          <w:tcPr>
            <w:tcW w:w="301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Confounding</w:t>
            </w:r>
          </w:p>
        </w:tc>
        <w:tc>
          <w:tcPr>
            <w:tcW w:w="262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Selection of participants</w:t>
            </w:r>
          </w:p>
        </w:tc>
        <w:tc>
          <w:tcPr>
            <w:tcW w:w="195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Classification of interventions</w:t>
            </w:r>
          </w:p>
        </w:tc>
        <w:tc>
          <w:tcPr>
            <w:tcW w:w="321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Deviations from intended interventions</w:t>
            </w:r>
          </w:p>
        </w:tc>
        <w:tc>
          <w:tcPr>
            <w:tcW w:w="334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Missing data</w:t>
            </w:r>
          </w:p>
        </w:tc>
        <w:tc>
          <w:tcPr>
            <w:tcW w:w="2940"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Measurement of outcomes</w:t>
            </w:r>
          </w:p>
        </w:tc>
        <w:tc>
          <w:tcPr>
            <w:tcW w:w="230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Selection of reported result</w:t>
            </w:r>
          </w:p>
        </w:tc>
        <w:tc>
          <w:tcPr>
            <w:tcW w:w="2505" w:type="dxa"/>
            <w:tcBorders>
              <w:top w:val="single" w:color="auto" w:sz="4" w:space="0"/>
              <w:bottom w:val="single" w:color="auto" w:sz="4" w:space="0"/>
            </w:tcBorders>
            <w:shd w:val="clear"/>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judgment rationale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Chen J et al. [17]: RFS and OS (not pooled)</w:t>
            </w:r>
          </w:p>
        </w:tc>
        <w:tc>
          <w:tcPr>
            <w:tcW w:w="301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matching or multivariable adjustment was used. The treatment comparison was nonrandom, leaving substantial potential for confounding by disease burden, clinical treatment selection, and other unmeasured prognostic factors.</w:t>
            </w:r>
          </w:p>
        </w:tc>
        <w:tc>
          <w:tcPr>
            <w:tcW w:w="262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retrospective cohort included patients who received neoadjuvant treatment and proceeded to surgery, so selection after treatment initiation cannot be excluded.</w:t>
            </w:r>
          </w:p>
        </w:tc>
        <w:tc>
          <w:tcPr>
            <w:tcW w:w="195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NICT and NCRT were clearly distinguished by the reported treatment regimens.</w:t>
            </w:r>
          </w:p>
        </w:tc>
        <w:tc>
          <w:tcPr>
            <w:tcW w:w="321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differed by treatment strategy, and postoperative management was not sufficiently detailed to exclude co-intervention differences.</w:t>
            </w:r>
          </w:p>
        </w:tc>
        <w:tc>
          <w:tcPr>
            <w:tcW w:w="334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 xml:space="preserve">Median follow-up was similar between groups (22.2 months for NICT and 22.1 months for NCRT), but detailed group-specific attrition </w:t>
            </w:r>
            <w:bookmarkStart w:id="0" w:name="_GoBack"/>
            <w:bookmarkEnd w:id="0"/>
            <w:r>
              <w:rPr>
                <w:rFonts w:hint="default" w:ascii="Times New Roman" w:hAnsi="Times New Roman" w:eastAsia="Carlito" w:cs="Times New Roman"/>
                <w:i w:val="0"/>
                <w:iCs w:val="0"/>
                <w:color w:val="000000"/>
                <w:kern w:val="0"/>
                <w:sz w:val="20"/>
                <w:szCs w:val="20"/>
                <w:u w:val="none"/>
                <w:bdr w:val="none" w:color="auto" w:sz="0" w:space="0"/>
                <w:lang w:val="en-US" w:eastAsia="zh-CN" w:bidi="ar"/>
              </w:rPr>
              <w:t>and censoring were not reported.</w:t>
            </w:r>
          </w:p>
        </w:tc>
        <w:tc>
          <w:tcPr>
            <w:tcW w:w="2940"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RFS and OS were reported as 2-year time-point outcomes; the available report did not provide directly extractable HRs for the NCIT-versus-NCRT comparison.</w:t>
            </w:r>
          </w:p>
        </w:tc>
        <w:tc>
          <w:tcPr>
            <w:tcW w:w="230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time-point survival results were available for the comparison, and no directly extractable comparative HR was reported.</w:t>
            </w:r>
          </w:p>
        </w:tc>
        <w:tc>
          <w:tcPr>
            <w:tcW w:w="2505" w:type="dxa"/>
            <w:tcBorders>
              <w:top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absence of adjustment for a nonrandom treatment comparison creates serious concern for confounding, despite similar reported follow-up between groups.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Deng S et al. [18]: DFS and OS (not pooled)</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 1:1 PSM cohort was used and measured baseline characteristics were balanced, reducing but not eliminating residual confounding from treatment selection and unmeasured clinical factors.</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retrospective multicenter analysis was restricted to patients treated with neoadjuvant therapy followed by surgery, introducing possible selection after treatment initiation.</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and nCRT were clearly defined and distinguishable from the reported treatment strategies.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protocols and subsequent management may have varied across centers; these post-assignment differences were not fully characterized in the available comparative data.</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Group-specific median follow-up was reported (44.5 months for nCIT and 35.1 months for nCRT), but detailed attrition and censoring by group were not provided.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 were reported at 1, 2, and 3 years, but directly extractable HRs were unavailable for the current meta-analysis.</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study reported multiple time-point survival estimates rather than a directly extractable comparative HR for the outcomes used in this review.</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reduced measured baseline imbalance, but residual confounding, selection after treatment, and incomplete detail on follow-up and outcome estimation support a moderate overall judgment.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Duan X et al. [19]: Overall, locoregional,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included age, sex, KPS, smoking, alcohol use, comorbidities, tumor location, and clinical T/N/M stage; residual confounding from treatment selection, regimen choice, surgical approach, and other unmeasured factors remains possible.</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completing neoadjuvant therapy and esophagectomy were analyzed; conditioning on treatment completion and surgery may select a prognostically favorable subgroup.</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and NCRT were clearly identified from institutional treatment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Several immunotherapy and chemotherapy regimens and different surgical approaches were used; postoperative management was not fully standardized.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Eleven patients were lost to follow-up, with imbalance between groups (9 NCRT and 2 NCIT); recurrence denominators after matching were 60 and 65.</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 categories were clinically defined and extracted from follow-up records, but assessor blinding was not reported and cumulative events rather than time-to-event estimates were used.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recurrence-analysis protocol or statistical analysis plan was reported.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domain was judged serious, but residual confounding, selection after treatment, differential attrition, and cumulative-event analysis prevent a low-risk judgment.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Guo X et al. [11]: Overall, locoregional,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balanced measured baseline variables, but the NCRT cohort was enrolled mainly from 2016-2022 and the NCIT cohort from 2019-2023 across eight centers; calendar-period, center, and treatment-selection confounding may remain.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analysis included patients who completed esophagectomy and excluded non-McKeown procedures, R1/R2 resections, loss to follow-up, and six COVID-19 deaths in the NCIT cohort.</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assignment was clearly documented in prospective institutional databases.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Postoperative adjuvant therapy was markedly imbalanced after matching (59.4% NCIT vs 11.3% NCRT), and lymphadenectomy differed; crude recurrence counts were not adjusted for these post-treatment co-interventions.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Loss to follow-up was similar (22 NCIT vs 23 NCRT), but exclusion of six NCIT patients who died from COVID-19 may affect the analyzed cohort.</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Follow-up was scheduled uniformly and recurrence categories were explicitly reported; blinded outcome assessment was not described.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publicly reported prespecified recurrence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large imbalance in postoperative treatment can materially influence recurrence and was not controlled in the event-count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Guo X et al. [11]: DFS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and multivariable Cox analyses reduced measured confounding, but calendar-period, center, clinical decision-making, and other unmeasured confounders remain.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Patients were selected after completion of surgery, with exclusions for procedure type, margin status, follow-up, and COVID-19 death.</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classified from treatment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Adjuvant therapy was substantially more frequent after NCIT; subgroup and multivariable analyses were performed, but the survival comparison remains vulnerable to post-treatment co-intervention bias.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Follow-up completeness was relatively high and similar by group, although exclusions after treatment remain relevant.</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is objectively measured and DFS was prospectively documented during scheduled surveillance; outcome assessors were not reported as blinded.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comparative survival analyses were not supported by a publicly available prespecified analysis plan.</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Residual confounding and the major post-surgical treatment imbalance produce serious concern for causal interpretation of DFS and OS.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Jiang Y et al. [20]: DFS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propensity model included adjuvant therapy, which occurs after treatment assignment and surgery, and balance was accepted with SMDs up to 0.20. Conditioning on a post-treatment variable and residual confounding limit causal interpretation.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completing neoadjuvant therapy and esophagectomy with comprehensive data were included.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and NCRT were clearly classified from institutional treatment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Different PD-1 inhibitors, radiotherapy techniques/doses, surgical approaches, and postoperative therapies were used.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Patients with insufficient clinical records were excluded, but group-specific losses during follow-up were not fully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 definitions and the follow-up schedule were reported; blinding of outcome assessment was not described.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analysis protocol for the reported survival comparisons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Use of a post-treatment variable in the propensity model and incomplete control of treatment-selection factors constitute serious confounding concerns.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Z et al. [21]: Locoregional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 comparisons were unadjusted. The treatment cohorts arose in different calendar periods and residual differences in disease burden, treatment selection, surgery, and postoperative treatment were not controlled.</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resected patients with available follow-up were included, creating potential selection after treatment.</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classification was clear and based on medical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Postoperative therapy was decided by a multidisciplinary team and was not analyzed; neoadjuvant regimens also varied.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article excluded patients without complete follow-up, but did not provide a detailed comparison of missingness between treatment groups.</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Cumulative recurrence counts were compared despite markedly different median follow-up (34.0 months NCIT vs 55.5 months NCRT), creating differential opportunity to detect recurrence.</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recurrence-analysis plan was reported.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Uncontrolled confounding and major follow-up imbalance directly threaten the recurrence effect estimates.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Z et al. [21]: DFS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Multivariable Cox models adjusted selected prognostic variables, but treatment era, institutional decision-making, postoperative treatment, and other unmeasured confounders were not adequately addressed.</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study was restricted to patients who completed neoadjuvant therapy and surgery and had follow-up data.</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identified from clinical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Postoperative treatment was not incorporated in the comparative models and neoadjuvant regimens were heterogeneous.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Detailed group-specific missing outcome information was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DFS and OS were clearly defined; time-to-event analysis partly addresses unequal follow-up, but assessor blinding was not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Variables were selected partly by univariable screening and no prespecified statistical analysis plan was available.</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Although adjusted Cox estimates were used, clinically important residual confounding remains likely.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Lin JP et al. [22]: Overall, locoregional,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was selected through clinical judgment and patient preference. The propensity model included adjuvant therapy, a post-treatment variable, and unmeasured socioeconomic and treatment-selection factors remained.</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cohort included only patients with cT3br ESCC who completed neoadjuvant therapy and surgery and had complete records.</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documented.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Adjuvant treatment and neoadjuvant regimens varied; including adjuvant therapy in matching does not remove bias from a post-treatment co-intervention.</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Missing clinical or follow-up data were exclusion criteria, but detailed attrition after cohort entry was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 was assessed using radiologic findings and/or biopsy with explicit site definitions; blinding was not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recurrence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Conditioning on postoperative adjuvant therapy and residual treatment-selection confounding produce serious concern.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Liu L et al. [23]: Overall, locoregional, and distant recurrence (sensitivity analysis)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recurrence analysis used crude event counts from a nonrandomized three-arm cohort. Treatment choice was influenced by patient condition, willingness, and physician preference.</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cohort was restricted to patients completing neoadjuvant treatment and radical esophagectomy under extensive eligibility criteria.</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groups were clearly classified from medical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and postoperative adjuvant treatments differed and were not controlled in the crude recurrence analysis.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Recurrence-specific handling of loss to follow-up was not clearly described.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Recurrence/metastasis events were reported, but surveillance and site classification were less detailed than in the primary recurrence studies.</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recurrence-analysis plan was reported.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unadjusted recurrence comparison is highly vulnerable to confounding by indication and co-interventions.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Liu L et al. [23]: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IPTW included adjuvant therapy and other post-assignment variables, creating risk of overadjustment or collider bias; treatment selection in the three-arm cohort remained nonrandom.</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completing therapy and surgery with detailed records were analyzed.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 classification was clear.</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and adjuvant regimens varied substantially.</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study stated that two consecutive losses to follow-up were classified as death, rather than treated as missing or censored.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Classifying loss to follow-up as death can misclassify OS and may do so differentially by treatment group.</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survival-analysis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Post-treatment adjustment and nonstandard handling of loss to follow-up create serious bias in the OS estimate.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Shao K et al. [24]: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patients were treated mainly in 2019-2020, whereas NCRT patients spanned 2010-2020. PSM did not account for treatment year and could not remove temporal changes in staging, surgery, and supportive care.</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completing neoadjuvant therapy and successful surgery were included.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groups were clearly documented.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and postoperative adjuvant therapy varied; the historical comparison may also reflect changes in management.</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Detailed group-specific attrition was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is objectively measured, but follow-up procedures and blinding were not fully described.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statistical analysis plan was available.</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Strong calendar-time confounding remains despite PSM.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Shi S et al. [25]: DFS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balanced measured patient factors, but the authors acknowledged that treatment year, surgeon, and institution were not included, leaving important center and temporal confounding.</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Patients with incomplete neoadjuvant therapy, changed regimens, missing data, or unevaluable response were excluded after treatment initiation.</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exposure was clearly recorded.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Chemotherapy and PD-1 regimens varied across centers and postoperative management was not standardized.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Detailed attrition after matching was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Median follow-up was markedly shorter after NCIT than NCRT (14.5 vs 28.5 months), creating differential opportunity to observe DFS events.</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comparative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Important unmeasured center/time confounding and a twofold follow-up imbalance create serious bias.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Y et al. [26]: Recurrence, DFS, and OS (not pooled)</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 1:2 PSM cohort was used and measured baseline characteristics were broadly balanced, but residual treatment-selection and other unmeasured confounding remained possible.</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analysis included patients who completed neoadjuvant treatment and esophagectomy and were retained in the matched cohort, creating potential selection after treatment initiation.</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nICT and nCRT were clearly identified from the treatment regimens.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surgical approach, and lymphadenectomy varied; postoperative treatment was not reported in sufficient detail to exclude co-intervention differences.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Median follow-up was 27.7 months, but group-specific attrition, censoring patterns, and completeness of follow-up were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Recurrence was reported as 3-year locoregional-recurrence and distant-metastasis rates, and DFS/OS as 3-year rates, without directly extractable event counts or HRs for the present quantitative synthesis.</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available comparative outcomes were reported primarily as fixed time-point rates rather than directly extractable effect estimates for pooling.</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Matching reduced measured confounding, but residual confounding and limitations in extractable recurrence and survival effect estimates support a moderate overall judgment.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X et al. [27]: Overall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selection was explicitly based on tumor stage, nodal disease, radiotherapy suitability, PD-L1 status, comorbidity, and patient preference; no adjustment was performed.</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cohort consisted of treatment-naive patients who completed neoadjuvant therapy and esophagectomy at one institution.</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classified.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regimens, surgical management, and postoperative treatment differed and were not adjusted.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Complete-case follow-up was used, but detailed missing outcome data were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recurrence was reported from institutional follow-up, but surveillance intensity and blinded assessment were not specified.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recurrence analysis plan was available.</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Severe confounding by indication and lack of adjustment preclude a causal interpretation.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Wang X et al. [27]: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same explicit treatment-selection factors were not adjusted in the OS comparison.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who underwent surgery after neoadjuvant therapy were analyzed.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classification was clear.</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Postoperative treatment and other management differences were not controlled.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Detailed attrition and censoring by treatment group were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Death is an objective outcome and was analyzed as time-to-event.</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unadjusted survival comparison was not supported by a prespecified analysis plan.</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unadjusted OS estimate is seriously confounded by clinical treatment selection.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 Overall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included age, sex, clinical T/N/TNM stage, and tumor location, with good reported balance; treatment selection and other unmeasured clinical factors may remain.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completing two courses of neoadjuvant therapy and McKeown esophagectomy with complete follow-up were analyzed.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defined and recorded.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Multiple immune-checkpoint inhibitors and radiotherapy doses were used; postoperative adjuvant therapy was similar between groups (14.5% vs 10.6%).</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Median follow-up was short but similar between groups (13 vs 15 months), and no major differential attrition was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and distant recurrence were clearly defined; competing-risk methods were used, although assessor blinding was not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matched analysis and balanced follow-up reduce bias, but residual confounding and short follow-up remain.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 Locoregional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Measured baseline factors were balanced by PSM, but residual treatment-selection confounding remains.</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study included only treated and resected patients with complete data.</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classification was clear.</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varied; adjuvant therapy was reasonably balanced.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Short but similar group-specific follow-up was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local recurrence (0/55 vs 6/94) was directly extractable, while regional nodal recurrence was defined but not separately reported; using local recurrence as a proxy can misclassify the prespecified locoregional endpoint.</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endpoint-mapping plan was available.</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Partial endpoint alignment produces serious concern specifically for the locoregional result.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Xiao X et al. [13]: DFS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balanced major measured baseline factors, but unmeasured treatment-selection factors may remain.</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Analysis was limited to patients completing treatment and surgery with complete data.</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Interventions were clearly classified.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Regimens varied; adjuvant treatment was similar between groups.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Follow-up was short but reasonably balanced.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and recurrence-related time-to-event outcomes were defined and analyzed appropriately; no blinded assessment was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survival-analysis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Residual confounding and short follow-up warrant a moderate overall judgment.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Yang Y et al. [29]: DFS/RFS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included baseline clinical variables, but the authors reported that matching was not exact and SMDs did not all improve. Important post-treatment differences remained.</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Patients were selected from a surgical cohort after completion of neoadjuvant therapy.</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NICE and CROSS regimens were clearly defined.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Adjuvant therapy was markedly imbalanced (57.1% NICE vs 28.2% CROSS), including adjuvant immunotherapy (20.9% vs 4.5%), and the authors identified adjuvant therapy as an important determinant of survival.</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Detailed missing outcome data by group were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OS, RFS, and DFS definitions were reported, but outcome assessment was not blinded.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Multiple exploratory and subgroup analyses were conducted without multiplicity adjustment and without a publicly available prespecified analysis plan.</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major imbalance in postoperative treatment and imperfect matching seriously limit attribution of survival differences to the neoadjuvant strategy.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Yu YK et al. [12]: DFS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IPTW included adjuvant therapy, neoadjuvant regimen/cycles, and other variables; adjuvant therapy is post-treatment and its inclusion may introduce overadjustment or collider bias. Most NACI patients were also enrolled in prospective trials.</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Patients with incomplete therapy, salvage surgery, unevaluable response, missing clinical data, or missing follow-up were excluded.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Treatments were clearly documented.</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ICI agents, chemotherapy regimens, radiotherapy doses, and surgical management varied.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Five patients with missing clinical data or follow-up were excluded; detailed censoring patterns were not fully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follow-up schedule and DFS/OS definitions were explicit, but blinding was not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comparative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Use of a post-treatment variable in IPTW and residual treatment-selection bias produce serious concern.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Zhang B et al. [30]: OS (not pooled)</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matching, weighting, or multivariable adjustment was used for the NCIT-versus-NCRT comparison. Baseline differences and nonrandom treatment selection therefore leave substantial residual confounding.</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retrospective study included patients who received neoadjuvant therapy and subsequently underwent esophagectomy, so selection after treatment initiation is possible.</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and nCRT were clearly distinguishable from the reported treatment regimens.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regimens and surgical management varied, and postoperative adjuvant therapy was reported in 58.8% of nCIT and 48.4% of nCRT patients, creating potential post-assignment co-intervention differences.</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Overall median follow-up was 20.45 months with a wide range (0.36-84.76 months); group-specific follow-up completeness, attrition, and censoring were not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Death is an objective outcome. OS was reported as 1- and 3-year rates, but a directly extractable NCIT-versus-NCRT HR was not available.</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study reported time-point OS and additional perioperative/pathological outcomes without a directly extractable NCIT-versus-NCRT HR for the current meta-analysis.</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 overall risk was driven primarily by the unadjusted nonrandom treatment comparison, with additional uncertainty from postoperative treatment differences and incomplete follow-up detail.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Zhao J et al. [31]: Locoregional and distant recurrence</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PSM included a broad set of measured baseline factors, but treatment was nonrandom and residual confounding remained. No patient received postoperative adjuvant therapy.</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Only patients receiving NCIT or NCRT followed by esophagectomy were analyzed.</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classification was clear.</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Neoadjuvant regimens varied, but the absence of postoperative adjuvant treatment reduced one important co-intervention concern.</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article reported active follow-up but did not provide detailed missingness by treatment group.</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Median follow-up was 12 months after NCIT and 24 months after NCRT. Cumulative failure counts therefore had substantially different ascertainment windows.</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failure-pattern analysis plan was reported.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Marked differential follow-up creates serious bias in the cumulative locoregional and distant recurrence comparisons.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507"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Zhuang FN et al. [32]: RFS and OS</w:t>
            </w:r>
          </w:p>
        </w:tc>
        <w:tc>
          <w:tcPr>
            <w:tcW w:w="301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PSM or weighting was performed. Treatment allocation was influenced by tumor location, disease severity, and treatment era; multivariable models included post-treatment variables such as pCR, MPR, pathologic stage, and complications.</w:t>
            </w:r>
          </w:p>
        </w:tc>
        <w:tc>
          <w:tcPr>
            <w:tcW w:w="262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cohort was restricted to selected patients undergoing surgery with three-field lymph-node dissection.</w:t>
            </w:r>
          </w:p>
        </w:tc>
        <w:tc>
          <w:tcPr>
            <w:tcW w:w="195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NCRT and NCIT were clearly classified from treatment records.</w:t>
            </w:r>
          </w:p>
        </w:tc>
        <w:tc>
          <w:tcPr>
            <w:tcW w:w="321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Different PD-1 inhibitors and treatment cycles were used; postoperative care and adjuvant treatment were not fully standardized.</w:t>
            </w:r>
          </w:p>
        </w:tc>
        <w:tc>
          <w:tcPr>
            <w:tcW w:w="334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Group-specific missing outcome data and censoring details were not comprehensively reported.</w:t>
            </w:r>
          </w:p>
        </w:tc>
        <w:tc>
          <w:tcPr>
            <w:tcW w:w="2940"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RFS and OS were defined and analyzed as time-to-event outcomes; no blinded assessment was reported.</w:t>
            </w:r>
          </w:p>
        </w:tc>
        <w:tc>
          <w:tcPr>
            <w:tcW w:w="23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comparative analysis plan was identified.</w:t>
            </w:r>
          </w:p>
        </w:tc>
        <w:tc>
          <w:tcPr>
            <w:tcW w:w="2505" w:type="dxa"/>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Unadjusted treatment allocation and post-treatment covariates in the multivariable model create serious confounding concern.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2" w:hRule="atLeast"/>
        </w:trPr>
        <w:tc>
          <w:tcPr>
            <w:tcW w:w="1507"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Zou J et al. [33]: OS (comparative evidence reported narratively; not pooled)</w:t>
            </w:r>
          </w:p>
        </w:tc>
        <w:tc>
          <w:tcPr>
            <w:tcW w:w="301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Treatment assignment was strongly influenced by tumor location, lesion size or depth, PD-L1 expression, patient preference, general physical condition, and access to immunotherapy. No matching or weighting was performed, and the Cox analysis did not provide a direct NCIT-versus-NCRT causal estimate.</w:t>
            </w:r>
          </w:p>
        </w:tc>
        <w:tc>
          <w:tcPr>
            <w:tcW w:w="262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analysis included patients who received neoadjuvant therapy and subsequently underwent radical surgery. A small subgroup underwent induction therapy for initially advanced disease, which may have introduced additional clinical heterogeneity and selection after treatment.</w:t>
            </w:r>
          </w:p>
        </w:tc>
        <w:tc>
          <w:tcPr>
            <w:tcW w:w="195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NCIT, NCRT, and NCT were clearly classified from institutional treatment records.</w:t>
            </w:r>
          </w:p>
        </w:tc>
        <w:tc>
          <w:tcPr>
            <w:tcW w:w="321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Postoperative treatment differed substantially between groups. Any adjuvant therapy was received by 62.3% of NCIT patients and 46.2% of NCRT patients, and adjuvant immunochemotherapy was much more frequent after NCIT (54.1% vs 15.4%). These post-assignment co-interventions could materially affect OS.</w:t>
            </w:r>
          </w:p>
        </w:tc>
        <w:tc>
          <w:tcPr>
            <w:tcW w:w="334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The last follow-up date was reported, but group-specific loss to follow-up, censoring patterns, and completeness of survival ascertainment were not described in sufficient detail.</w:t>
            </w:r>
          </w:p>
        </w:tc>
        <w:tc>
          <w:tcPr>
            <w:tcW w:w="2940"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Death is an objective outcome and OS was analyzed using Kaplan–Meier methods. However, the article did not report a directly extractable NCIT-versus-NCRT HR; the available comparative evidence was primarily graphical and narrative.</w:t>
            </w:r>
          </w:p>
        </w:tc>
        <w:tc>
          <w:tcPr>
            <w:tcW w:w="230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No prespecified comparative analysis plan was identified. Multiple exploratory subgroup and prognostic analyses were reported, and a direct NCIT-versus-NCRT effect estimate was not presented.</w:t>
            </w:r>
          </w:p>
        </w:tc>
        <w:tc>
          <w:tcPr>
            <w:tcW w:w="2505" w:type="dxa"/>
            <w:tcBorders>
              <w:bottom w:val="single" w:color="auto" w:sz="4" w:space="0"/>
            </w:tcBorders>
            <w:shd w:val="clear"/>
            <w:vAlign w:val="center"/>
          </w:tcPr>
          <w:p>
            <w:pPr>
              <w:keepNext w:val="0"/>
              <w:keepLines w:val="0"/>
              <w:widowControl/>
              <w:suppressLineNumbers w:val="0"/>
              <w:jc w:val="center"/>
              <w:textAlignment w:val="top"/>
              <w:rPr>
                <w:rFonts w:hint="default" w:ascii="Times New Roman" w:hAnsi="Times New Roman" w:eastAsia="Carlito" w:cs="Times New Roman"/>
                <w:i w:val="0"/>
                <w:iCs w:val="0"/>
                <w:color w:val="000000"/>
                <w:sz w:val="20"/>
                <w:szCs w:val="20"/>
                <w:u w:val="none"/>
              </w:rPr>
            </w:pPr>
            <w:r>
              <w:rPr>
                <w:rFonts w:hint="default" w:ascii="Times New Roman" w:hAnsi="Times New Roman" w:eastAsia="Carlito" w:cs="Times New Roman"/>
                <w:i w:val="0"/>
                <w:iCs w:val="0"/>
                <w:color w:val="000000"/>
                <w:kern w:val="0"/>
                <w:sz w:val="20"/>
                <w:szCs w:val="20"/>
                <w:u w:val="none"/>
                <w:bdr w:val="none" w:color="auto" w:sz="0" w:space="0"/>
                <w:lang w:val="en-US" w:eastAsia="zh-CN" w:bidi="ar"/>
              </w:rPr>
              <w:t>Serious risk of bias was driven by strong confounding by indication and major imbalance in postoperative treatment. The study was therefore retained for qualitative characterization but did not contribute a direct effect estimate to the pooled OS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402" w:type="dxa"/>
            <w:gridSpan w:val="9"/>
            <w:tcBorders>
              <w:top w:val="single" w:color="auto" w:sz="4" w:space="0"/>
            </w:tcBorders>
            <w:shd w:val="clear"/>
            <w:vAlign w:val="top"/>
          </w:tcPr>
          <w:p>
            <w:pPr>
              <w:keepNext w:val="0"/>
              <w:keepLines w:val="0"/>
              <w:widowControl/>
              <w:suppressLineNumbers w:val="0"/>
              <w:jc w:val="left"/>
              <w:textAlignment w:val="top"/>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bdr w:val="none" w:color="auto" w:sz="0" w:space="0"/>
                <w:lang w:val="en-US" w:eastAsia="zh-CN" w:bidi="ar"/>
              </w:rPr>
              <w:t>Footnote: Judgments follow the original 2016 ROBINS-I domains. Important confounders considered were age, performance status, clinical T/N stage and overall stage, tumor location, comorbidity, treatment-selection factors, calendar period and center, surgical approach and lymphadenectomy, and postoperative treatment. Postoperative adjuvant treatment was treated as a post-assignment co-intervention rather than a baseline confounder. Studies without a directly extractable effect estimate for quantitative synthesis were assessed for the comparative outcome reported and identified as not pooled. Low, moderate, and serious judgments indicate progressively greater concern that the reported estimate differs from the target causal effect.</w:t>
            </w:r>
          </w:p>
        </w:tc>
      </w:tr>
    </w:tbl>
    <w:p/>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23D69"/>
    <w:rsid w:val="040F21FF"/>
    <w:rsid w:val="0E906191"/>
    <w:rsid w:val="20DA526D"/>
    <w:rsid w:val="528A680F"/>
    <w:rsid w:val="572C2811"/>
    <w:rsid w:val="694E3F32"/>
    <w:rsid w:val="6A241AF9"/>
    <w:rsid w:val="6FE93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2632</Words>
  <Characters>17228</Characters>
  <Lines>0</Lines>
  <Paragraphs>0</Paragraphs>
  <TotalTime>30</TotalTime>
  <ScaleCrop>false</ScaleCrop>
  <LinksUpToDate>false</LinksUpToDate>
  <CharactersWithSpaces>19453</CharactersWithSpaces>
  <Application>WPS Office_11.8.2.12090_F1E327BC-269C-435d-A152-05C5408002CA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2026-07-29T04:33:00Z</dcterms:created>
  <dc:creator>14040</dc:creator>
  <cp:lastModifiedBy>14040</cp:lastModifiedBy>
  <dcterms:modified xsi:type="dcterms:W3CDTF">2026-08-16T01:30:35Z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2052-11.8.2.12090</vt:lpwstr>
  </property>
  <property fmtid="{D5CDD505-2E9C-101B-9397-08002B2CF9AE}" pid="3" name="KSOTemplateDocerSaveRecord">
    <vt:lpwstr>eyJoZGlkIjoiNzJhYmVmZmFkN2RlMWNlMGYyNWE0ZjgzN2YyYmUwNGQiLCJ1c2VySWQiOiIzODA3MDA0MDIifQ==</vt:lpwstr>
  </property>
  <property fmtid="{D5CDD505-2E9C-101B-9397-08002B2CF9AE}" pid="4" name="ICV">
    <vt:lpwstr>CB51C2869C274D3DB3DD99E9CCDC975D_12</vt:lpwstr>
  </property>
</Properties>
</file>