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65"/>
        <w:gridCol w:w="703"/>
        <w:gridCol w:w="861"/>
        <w:gridCol w:w="3555"/>
        <w:gridCol w:w="1422"/>
        <w:gridCol w:w="1771"/>
        <w:gridCol w:w="1392"/>
        <w:gridCol w:w="1422"/>
        <w:gridCol w:w="8454"/>
      </w:tblGrid>
      <w:tr w14:paraId="40639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9"/>
            <w:tcBorders>
              <w:top w:val="nil"/>
              <w:left w:val="nil"/>
              <w:bottom w:val="single" w:color="auto" w:sz="4" w:space="0"/>
              <w:right w:val="nil"/>
            </w:tcBorders>
            <w:shd w:val="clear" w:color="auto" w:fill="FFFFFF"/>
            <w:vAlign w:val="center"/>
          </w:tcPr>
          <w:p w14:paraId="5645FCB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000000"/>
                <w:sz w:val="24"/>
                <w:szCs w:val="24"/>
                <w:u w:val="none"/>
              </w:rPr>
            </w:pPr>
            <w:r>
              <w:rPr>
                <w:rFonts w:hint="default" w:ascii="Times New Roman" w:hAnsi="Times New Roman" w:eastAsia="Carlito" w:cs="Times New Roman"/>
                <w:b/>
                <w:bCs/>
                <w:i w:val="0"/>
                <w:iCs w:val="0"/>
                <w:color w:val="000000"/>
                <w:kern w:val="0"/>
                <w:sz w:val="24"/>
                <w:szCs w:val="24"/>
                <w:u w:val="none"/>
                <w:lang w:val="en-US" w:eastAsia="zh-CN" w:bidi="ar"/>
              </w:rPr>
              <w:t>Supplementary Table S5. Newcastle-Ottawa Scale assessment of the nonrandomized studies</w:t>
            </w:r>
          </w:p>
        </w:tc>
      </w:tr>
      <w:tr w14:paraId="091C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456" w:type="pct"/>
            <w:tcBorders>
              <w:top w:val="single" w:color="auto" w:sz="4" w:space="0"/>
              <w:left w:val="nil"/>
              <w:bottom w:val="single" w:color="auto" w:sz="4" w:space="0"/>
              <w:right w:val="nil"/>
            </w:tcBorders>
            <w:shd w:val="clear" w:color="auto" w:fill="FFFFFF"/>
            <w:vAlign w:val="center"/>
          </w:tcPr>
          <w:p w14:paraId="2C34AD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Study</w:t>
            </w:r>
          </w:p>
        </w:tc>
        <w:tc>
          <w:tcPr>
            <w:tcW w:w="163" w:type="pct"/>
            <w:tcBorders>
              <w:top w:val="single" w:color="auto" w:sz="4" w:space="0"/>
              <w:left w:val="nil"/>
              <w:bottom w:val="single" w:color="auto" w:sz="4" w:space="0"/>
              <w:right w:val="nil"/>
            </w:tcBorders>
            <w:shd w:val="clear" w:color="auto" w:fill="FFFFFF"/>
            <w:vAlign w:val="center"/>
          </w:tcPr>
          <w:p w14:paraId="0D4B7A4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Year</w:t>
            </w:r>
          </w:p>
        </w:tc>
        <w:tc>
          <w:tcPr>
            <w:tcW w:w="199" w:type="pct"/>
            <w:tcBorders>
              <w:top w:val="single" w:color="auto" w:sz="4" w:space="0"/>
              <w:left w:val="nil"/>
              <w:bottom w:val="single" w:color="auto" w:sz="4" w:space="0"/>
              <w:right w:val="nil"/>
            </w:tcBorders>
            <w:shd w:val="clear" w:color="auto" w:fill="FFFFFF"/>
            <w:vAlign w:val="center"/>
          </w:tcPr>
          <w:p w14:paraId="6583D6F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Country</w:t>
            </w:r>
          </w:p>
        </w:tc>
        <w:tc>
          <w:tcPr>
            <w:tcW w:w="825" w:type="pct"/>
            <w:tcBorders>
              <w:top w:val="single" w:color="auto" w:sz="4" w:space="0"/>
              <w:left w:val="nil"/>
              <w:bottom w:val="single" w:color="auto" w:sz="4" w:space="0"/>
              <w:right w:val="nil"/>
            </w:tcBorders>
            <w:shd w:val="clear" w:color="auto" w:fill="FFFFFF"/>
            <w:vAlign w:val="center"/>
          </w:tcPr>
          <w:p w14:paraId="70560D6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Type of article</w:t>
            </w:r>
          </w:p>
        </w:tc>
        <w:tc>
          <w:tcPr>
            <w:tcW w:w="330" w:type="pct"/>
            <w:tcBorders>
              <w:top w:val="single" w:color="auto" w:sz="4" w:space="0"/>
              <w:left w:val="nil"/>
              <w:bottom w:val="single" w:color="auto" w:sz="4" w:space="0"/>
              <w:right w:val="nil"/>
            </w:tcBorders>
            <w:shd w:val="clear" w:color="auto" w:fill="FFFFFF"/>
            <w:vAlign w:val="center"/>
          </w:tcPr>
          <w:p w14:paraId="0ADE176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Selection (0-4)</w:t>
            </w:r>
          </w:p>
        </w:tc>
        <w:tc>
          <w:tcPr>
            <w:tcW w:w="411" w:type="pct"/>
            <w:tcBorders>
              <w:top w:val="single" w:color="auto" w:sz="4" w:space="0"/>
              <w:left w:val="nil"/>
              <w:bottom w:val="single" w:color="auto" w:sz="4" w:space="0"/>
              <w:right w:val="nil"/>
            </w:tcBorders>
            <w:shd w:val="clear" w:color="auto" w:fill="FFFFFF"/>
            <w:vAlign w:val="center"/>
          </w:tcPr>
          <w:p w14:paraId="76FCE3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Comparability (0-2)</w:t>
            </w:r>
          </w:p>
        </w:tc>
        <w:tc>
          <w:tcPr>
            <w:tcW w:w="323" w:type="pct"/>
            <w:tcBorders>
              <w:top w:val="single" w:color="auto" w:sz="4" w:space="0"/>
              <w:left w:val="nil"/>
              <w:bottom w:val="single" w:color="auto" w:sz="4" w:space="0"/>
              <w:right w:val="nil"/>
            </w:tcBorders>
            <w:shd w:val="clear" w:color="auto" w:fill="FFFFFF"/>
            <w:vAlign w:val="center"/>
          </w:tcPr>
          <w:p w14:paraId="6A145C9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Outcome (0-3)</w:t>
            </w:r>
          </w:p>
        </w:tc>
        <w:tc>
          <w:tcPr>
            <w:tcW w:w="330" w:type="pct"/>
            <w:tcBorders>
              <w:top w:val="single" w:color="auto" w:sz="4" w:space="0"/>
              <w:left w:val="nil"/>
              <w:bottom w:val="single" w:color="auto" w:sz="4" w:space="0"/>
              <w:right w:val="nil"/>
            </w:tcBorders>
            <w:shd w:val="clear" w:color="auto" w:fill="FFFFFF"/>
            <w:vAlign w:val="center"/>
          </w:tcPr>
          <w:p w14:paraId="4FC472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Total score (0-9)</w:t>
            </w:r>
          </w:p>
        </w:tc>
        <w:tc>
          <w:tcPr>
            <w:tcW w:w="1961" w:type="pct"/>
            <w:tcBorders>
              <w:top w:val="single" w:color="auto" w:sz="4" w:space="0"/>
              <w:left w:val="nil"/>
              <w:bottom w:val="single" w:color="auto" w:sz="4" w:space="0"/>
              <w:right w:val="nil"/>
            </w:tcBorders>
            <w:shd w:val="clear" w:color="auto" w:fill="FFFFFF"/>
            <w:vAlign w:val="center"/>
          </w:tcPr>
          <w:p w14:paraId="62692F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val="0"/>
                <w:bCs w:val="0"/>
                <w:i w:val="0"/>
                <w:iCs w:val="0"/>
                <w:color w:val="000000"/>
                <w:sz w:val="18"/>
                <w:szCs w:val="18"/>
                <w:u w:val="none"/>
              </w:rPr>
            </w:pPr>
            <w:r>
              <w:rPr>
                <w:rFonts w:hint="default" w:ascii="Times New Roman" w:hAnsi="Times New Roman" w:eastAsia="Carlito" w:cs="Times New Roman"/>
                <w:b w:val="0"/>
                <w:bCs w:val="0"/>
                <w:i w:val="0"/>
                <w:iCs w:val="0"/>
                <w:color w:val="000000"/>
                <w:kern w:val="0"/>
                <w:sz w:val="18"/>
                <w:szCs w:val="18"/>
                <w:u w:val="none"/>
                <w:lang w:val="en-US" w:eastAsia="zh-CN" w:bidi="ar"/>
              </w:rPr>
              <w:t>Basis for scoring</w:t>
            </w:r>
          </w:p>
        </w:tc>
      </w:tr>
      <w:tr w14:paraId="039C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single" w:color="auto" w:sz="4" w:space="0"/>
              <w:left w:val="nil"/>
              <w:bottom w:val="nil"/>
              <w:right w:val="nil"/>
            </w:tcBorders>
            <w:shd w:val="clear" w:color="auto" w:fill="FFFFFF"/>
            <w:vAlign w:val="center"/>
          </w:tcPr>
          <w:p w14:paraId="73F864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Chen J et al. [17]</w:t>
            </w:r>
          </w:p>
        </w:tc>
        <w:tc>
          <w:tcPr>
            <w:tcW w:w="163" w:type="pct"/>
            <w:tcBorders>
              <w:top w:val="single" w:color="auto" w:sz="4" w:space="0"/>
              <w:left w:val="nil"/>
              <w:bottom w:val="nil"/>
              <w:right w:val="nil"/>
            </w:tcBorders>
            <w:shd w:val="clear" w:color="auto" w:fill="FFFFFF"/>
            <w:vAlign w:val="center"/>
          </w:tcPr>
          <w:p w14:paraId="1433571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single" w:color="auto" w:sz="4" w:space="0"/>
              <w:left w:val="nil"/>
              <w:bottom w:val="nil"/>
              <w:right w:val="nil"/>
            </w:tcBorders>
            <w:shd w:val="clear" w:color="auto" w:fill="FFFFFF"/>
            <w:vAlign w:val="center"/>
          </w:tcPr>
          <w:p w14:paraId="72C343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single" w:color="auto" w:sz="4" w:space="0"/>
              <w:left w:val="nil"/>
              <w:bottom w:val="nil"/>
              <w:right w:val="nil"/>
            </w:tcBorders>
            <w:shd w:val="clear" w:color="auto" w:fill="FFFFFF"/>
            <w:vAlign w:val="center"/>
          </w:tcPr>
          <w:p w14:paraId="5013F4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single" w:color="auto" w:sz="4" w:space="0"/>
              <w:left w:val="nil"/>
              <w:bottom w:val="nil"/>
              <w:right w:val="nil"/>
            </w:tcBorders>
            <w:shd w:val="clear" w:color="auto" w:fill="FFFFFF"/>
            <w:vAlign w:val="center"/>
          </w:tcPr>
          <w:p w14:paraId="7EC0841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single" w:color="auto" w:sz="4" w:space="0"/>
              <w:left w:val="nil"/>
              <w:bottom w:val="nil"/>
              <w:right w:val="nil"/>
            </w:tcBorders>
            <w:shd w:val="clear" w:color="auto" w:fill="FFFFFF"/>
            <w:vAlign w:val="center"/>
          </w:tcPr>
          <w:p w14:paraId="3EBF2E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0</w:t>
            </w:r>
          </w:p>
        </w:tc>
        <w:tc>
          <w:tcPr>
            <w:tcW w:w="323" w:type="pct"/>
            <w:tcBorders>
              <w:top w:val="single" w:color="auto" w:sz="4" w:space="0"/>
              <w:left w:val="nil"/>
              <w:bottom w:val="nil"/>
              <w:right w:val="nil"/>
            </w:tcBorders>
            <w:shd w:val="clear" w:color="auto" w:fill="FFFFFF"/>
            <w:vAlign w:val="center"/>
          </w:tcPr>
          <w:p w14:paraId="7610BCE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single" w:color="auto" w:sz="4" w:space="0"/>
              <w:left w:val="nil"/>
              <w:bottom w:val="nil"/>
              <w:right w:val="nil"/>
            </w:tcBorders>
            <w:shd w:val="clear" w:color="auto" w:fill="FFFFFF"/>
            <w:vAlign w:val="center"/>
          </w:tcPr>
          <w:p w14:paraId="4757E6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6</w:t>
            </w:r>
          </w:p>
        </w:tc>
        <w:tc>
          <w:tcPr>
            <w:tcW w:w="1961" w:type="pct"/>
            <w:tcBorders>
              <w:top w:val="single" w:color="auto" w:sz="4" w:space="0"/>
              <w:left w:val="nil"/>
              <w:bottom w:val="nil"/>
              <w:right w:val="nil"/>
            </w:tcBorders>
            <w:shd w:val="clear" w:color="auto" w:fill="FFFFFF"/>
            <w:vAlign w:val="center"/>
          </w:tcPr>
          <w:p w14:paraId="2180A0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No matching or multivariable adjustment; approximately 22-month follow-up and 2-year survival reporting.</w:t>
            </w:r>
          </w:p>
        </w:tc>
      </w:tr>
      <w:tr w14:paraId="72C70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76D7864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Deng S et al. [18]</w:t>
            </w:r>
          </w:p>
        </w:tc>
        <w:tc>
          <w:tcPr>
            <w:tcW w:w="163" w:type="pct"/>
            <w:tcBorders>
              <w:top w:val="nil"/>
              <w:left w:val="nil"/>
              <w:bottom w:val="nil"/>
              <w:right w:val="nil"/>
            </w:tcBorders>
            <w:shd w:val="clear" w:color="auto" w:fill="FFFFFF"/>
            <w:vAlign w:val="center"/>
          </w:tcPr>
          <w:p w14:paraId="7B3B87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2026</w:t>
            </w:r>
          </w:p>
        </w:tc>
        <w:tc>
          <w:tcPr>
            <w:tcW w:w="199" w:type="pct"/>
            <w:tcBorders>
              <w:top w:val="nil"/>
              <w:left w:val="nil"/>
              <w:bottom w:val="nil"/>
              <w:right w:val="nil"/>
            </w:tcBorders>
            <w:shd w:val="clear" w:color="auto" w:fill="FFFFFF"/>
            <w:vAlign w:val="center"/>
          </w:tcPr>
          <w:p w14:paraId="1C02E26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3F256A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Multicenter retrospective cohort</w:t>
            </w:r>
          </w:p>
        </w:tc>
        <w:tc>
          <w:tcPr>
            <w:tcW w:w="330" w:type="pct"/>
            <w:tcBorders>
              <w:top w:val="nil"/>
              <w:left w:val="nil"/>
              <w:bottom w:val="nil"/>
              <w:right w:val="nil"/>
            </w:tcBorders>
            <w:shd w:val="clear" w:color="auto" w:fill="FFFFFF"/>
            <w:vAlign w:val="center"/>
          </w:tcPr>
          <w:p w14:paraId="60D0C23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2AA4706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5466D63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69E0C1B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4A95E40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PSM cohort with long group-specific follow-up and reported survival ascertainment.</w:t>
            </w:r>
          </w:p>
        </w:tc>
      </w:tr>
      <w:tr w14:paraId="3FDFF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7DDE7D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Duan X et al. [19]</w:t>
            </w:r>
          </w:p>
        </w:tc>
        <w:tc>
          <w:tcPr>
            <w:tcW w:w="163" w:type="pct"/>
            <w:tcBorders>
              <w:top w:val="nil"/>
              <w:left w:val="nil"/>
              <w:bottom w:val="nil"/>
              <w:right w:val="nil"/>
            </w:tcBorders>
            <w:shd w:val="clear" w:color="auto" w:fill="FFFFFF"/>
            <w:vAlign w:val="center"/>
          </w:tcPr>
          <w:p w14:paraId="3CCF4FE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2024</w:t>
            </w:r>
          </w:p>
        </w:tc>
        <w:tc>
          <w:tcPr>
            <w:tcW w:w="199" w:type="pct"/>
            <w:tcBorders>
              <w:top w:val="nil"/>
              <w:left w:val="nil"/>
              <w:bottom w:val="nil"/>
              <w:right w:val="nil"/>
            </w:tcBorders>
            <w:shd w:val="clear" w:color="auto" w:fill="FFFFFF"/>
            <w:vAlign w:val="center"/>
          </w:tcPr>
          <w:p w14:paraId="3EDABB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68BE8B9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1C67C48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0939067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57CCA0F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1B9E847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014F36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Broad 1:1 PSM; median follow-up longer than 24 months; 11 losses were reported.</w:t>
            </w:r>
          </w:p>
        </w:tc>
      </w:tr>
      <w:tr w14:paraId="679AC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1A9643E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Guo X et al. [11]</w:t>
            </w:r>
          </w:p>
        </w:tc>
        <w:tc>
          <w:tcPr>
            <w:tcW w:w="163" w:type="pct"/>
            <w:tcBorders>
              <w:top w:val="nil"/>
              <w:left w:val="nil"/>
              <w:bottom w:val="nil"/>
              <w:right w:val="nil"/>
            </w:tcBorders>
            <w:shd w:val="clear" w:color="auto" w:fill="FFFFFF"/>
            <w:vAlign w:val="center"/>
          </w:tcPr>
          <w:p w14:paraId="4ECE8BA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1EA31C4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4F3E2B4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Multicenter comparative effectiveness study</w:t>
            </w:r>
          </w:p>
        </w:tc>
        <w:tc>
          <w:tcPr>
            <w:tcW w:w="330" w:type="pct"/>
            <w:tcBorders>
              <w:top w:val="nil"/>
              <w:left w:val="nil"/>
              <w:bottom w:val="nil"/>
              <w:right w:val="nil"/>
            </w:tcBorders>
            <w:shd w:val="clear" w:color="auto" w:fill="FFFFFF"/>
            <w:vAlign w:val="center"/>
          </w:tcPr>
          <w:p w14:paraId="339285A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7E96A0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6803938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59ACF7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3274BA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Large multicenter 1:1 PSM cohort; scheduled surveillance and high follow-up completion.</w:t>
            </w:r>
          </w:p>
        </w:tc>
      </w:tr>
      <w:tr w14:paraId="1409C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4455CE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Jiang Y et al. [20]</w:t>
            </w:r>
          </w:p>
        </w:tc>
        <w:tc>
          <w:tcPr>
            <w:tcW w:w="163" w:type="pct"/>
            <w:tcBorders>
              <w:top w:val="nil"/>
              <w:left w:val="nil"/>
              <w:bottom w:val="nil"/>
              <w:right w:val="nil"/>
            </w:tcBorders>
            <w:shd w:val="clear" w:color="auto" w:fill="FFFFFF"/>
            <w:vAlign w:val="center"/>
          </w:tcPr>
          <w:p w14:paraId="19D18CD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2026</w:t>
            </w:r>
          </w:p>
        </w:tc>
        <w:tc>
          <w:tcPr>
            <w:tcW w:w="199" w:type="pct"/>
            <w:tcBorders>
              <w:top w:val="nil"/>
              <w:left w:val="nil"/>
              <w:bottom w:val="nil"/>
              <w:right w:val="nil"/>
            </w:tcBorders>
            <w:shd w:val="clear" w:color="auto" w:fill="FFFFFF"/>
            <w:vAlign w:val="center"/>
          </w:tcPr>
          <w:p w14:paraId="54506D7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0F052E2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09A8E73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22617CD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4BC1CE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nil"/>
              <w:right w:val="nil"/>
            </w:tcBorders>
            <w:shd w:val="clear" w:color="auto" w:fill="FFFFFF"/>
            <w:vAlign w:val="center"/>
          </w:tcPr>
          <w:p w14:paraId="7CB1FE0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8</w:t>
            </w:r>
          </w:p>
        </w:tc>
        <w:tc>
          <w:tcPr>
            <w:tcW w:w="1961" w:type="pct"/>
            <w:tcBorders>
              <w:top w:val="nil"/>
              <w:left w:val="nil"/>
              <w:bottom w:val="nil"/>
              <w:right w:val="nil"/>
            </w:tcBorders>
            <w:shd w:val="clear" w:color="auto" w:fill="FFFFFF"/>
            <w:vAlign w:val="center"/>
          </w:tcPr>
          <w:p w14:paraId="65E6632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1:1 PSM; follow-up and outcome assessment reported, but follow-up completeness was not fully documented.</w:t>
            </w:r>
          </w:p>
        </w:tc>
      </w:tr>
      <w:tr w14:paraId="456EC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0B35530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Lin Z et al. [21]</w:t>
            </w:r>
          </w:p>
        </w:tc>
        <w:tc>
          <w:tcPr>
            <w:tcW w:w="163" w:type="pct"/>
            <w:tcBorders>
              <w:top w:val="nil"/>
              <w:left w:val="nil"/>
              <w:bottom w:val="nil"/>
              <w:right w:val="nil"/>
            </w:tcBorders>
            <w:shd w:val="clear" w:color="auto" w:fill="FFFFFF"/>
            <w:vAlign w:val="center"/>
          </w:tcPr>
          <w:p w14:paraId="1535E7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3C7B80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413EEDA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035D4CC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76F77D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056F0F8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721AAC0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6C3960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Multivariable survival analysis; long follow-up, although group follow-up was imbalanced.</w:t>
            </w:r>
          </w:p>
        </w:tc>
      </w:tr>
      <w:tr w14:paraId="68F7F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66BFDE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Lin JP et al. [22]</w:t>
            </w:r>
          </w:p>
        </w:tc>
        <w:tc>
          <w:tcPr>
            <w:tcW w:w="163" w:type="pct"/>
            <w:tcBorders>
              <w:top w:val="nil"/>
              <w:left w:val="nil"/>
              <w:bottom w:val="nil"/>
              <w:right w:val="nil"/>
            </w:tcBorders>
            <w:shd w:val="clear" w:color="auto" w:fill="FFFFFF"/>
            <w:vAlign w:val="center"/>
          </w:tcPr>
          <w:p w14:paraId="416143F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70FB909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0CFF4AB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6CE3B48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287812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310B011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3E2374F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1EF8220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1:1 PSM; median follow-up 25 months and explicit postoperative surveillance.</w:t>
            </w:r>
          </w:p>
        </w:tc>
      </w:tr>
      <w:tr w14:paraId="12C44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22DC9C7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Liu L et al. [23]</w:t>
            </w:r>
          </w:p>
        </w:tc>
        <w:tc>
          <w:tcPr>
            <w:tcW w:w="163" w:type="pct"/>
            <w:tcBorders>
              <w:top w:val="nil"/>
              <w:left w:val="nil"/>
              <w:bottom w:val="nil"/>
              <w:right w:val="nil"/>
            </w:tcBorders>
            <w:shd w:val="clear" w:color="auto" w:fill="FFFFFF"/>
            <w:vAlign w:val="center"/>
          </w:tcPr>
          <w:p w14:paraId="0D0F045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2F8473B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2561D6C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24AA48C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58FB76D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61577DD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nil"/>
              <w:right w:val="nil"/>
            </w:tcBorders>
            <w:shd w:val="clear" w:color="auto" w:fill="FFFFFF"/>
            <w:vAlign w:val="center"/>
          </w:tcPr>
          <w:p w14:paraId="53769D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8</w:t>
            </w:r>
          </w:p>
        </w:tc>
        <w:tc>
          <w:tcPr>
            <w:tcW w:w="1961" w:type="pct"/>
            <w:tcBorders>
              <w:top w:val="nil"/>
              <w:left w:val="nil"/>
              <w:bottom w:val="nil"/>
              <w:right w:val="nil"/>
            </w:tcBorders>
            <w:shd w:val="clear" w:color="auto" w:fill="FFFFFF"/>
            <w:vAlign w:val="center"/>
          </w:tcPr>
          <w:p w14:paraId="4E671F1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IPTW/multivariable adjustment; long follow-up, but loss to follow-up was classified as death, so adequacy of follow-up was not credited.</w:t>
            </w:r>
          </w:p>
        </w:tc>
      </w:tr>
      <w:tr w14:paraId="1A9A4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0A6A749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Shao K et al. [24]</w:t>
            </w:r>
          </w:p>
        </w:tc>
        <w:tc>
          <w:tcPr>
            <w:tcW w:w="163" w:type="pct"/>
            <w:tcBorders>
              <w:top w:val="nil"/>
              <w:left w:val="nil"/>
              <w:bottom w:val="nil"/>
              <w:right w:val="nil"/>
            </w:tcBorders>
            <w:shd w:val="clear" w:color="auto" w:fill="FFFFFF"/>
            <w:vAlign w:val="center"/>
          </w:tcPr>
          <w:p w14:paraId="7DEA604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5539F07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7B149DE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3F9704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293CFE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29C7A5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nil"/>
              <w:right w:val="nil"/>
            </w:tcBorders>
            <w:shd w:val="clear" w:color="auto" w:fill="FFFFFF"/>
            <w:vAlign w:val="center"/>
          </w:tcPr>
          <w:p w14:paraId="647D314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8</w:t>
            </w:r>
          </w:p>
        </w:tc>
        <w:tc>
          <w:tcPr>
            <w:tcW w:w="1961" w:type="pct"/>
            <w:tcBorders>
              <w:top w:val="nil"/>
              <w:left w:val="nil"/>
              <w:bottom w:val="nil"/>
              <w:right w:val="nil"/>
            </w:tcBorders>
            <w:shd w:val="clear" w:color="auto" w:fill="FFFFFF"/>
            <w:vAlign w:val="center"/>
          </w:tcPr>
          <w:p w14:paraId="4F09327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1:1 PSM and 3-year OS; completeness of follow-up was not fully reported.</w:t>
            </w:r>
          </w:p>
        </w:tc>
      </w:tr>
      <w:tr w14:paraId="6174F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1ABD47E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Shi S et al. [25]</w:t>
            </w:r>
          </w:p>
        </w:tc>
        <w:tc>
          <w:tcPr>
            <w:tcW w:w="163" w:type="pct"/>
            <w:tcBorders>
              <w:top w:val="nil"/>
              <w:left w:val="nil"/>
              <w:bottom w:val="nil"/>
              <w:right w:val="nil"/>
            </w:tcBorders>
            <w:shd w:val="clear" w:color="auto" w:fill="FFFFFF"/>
            <w:vAlign w:val="center"/>
          </w:tcPr>
          <w:p w14:paraId="1F851EA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170BBBB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4C628AF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Multicenter retrospective cohort</w:t>
            </w:r>
          </w:p>
        </w:tc>
        <w:tc>
          <w:tcPr>
            <w:tcW w:w="330" w:type="pct"/>
            <w:tcBorders>
              <w:top w:val="nil"/>
              <w:left w:val="nil"/>
              <w:bottom w:val="nil"/>
              <w:right w:val="nil"/>
            </w:tcBorders>
            <w:shd w:val="clear" w:color="auto" w:fill="FFFFFF"/>
            <w:vAlign w:val="center"/>
          </w:tcPr>
          <w:p w14:paraId="67540C7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736B404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2B024B9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nil"/>
              <w:right w:val="nil"/>
            </w:tcBorders>
            <w:shd w:val="clear" w:color="auto" w:fill="FFFFFF"/>
            <w:vAlign w:val="center"/>
          </w:tcPr>
          <w:p w14:paraId="5036A75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8</w:t>
            </w:r>
          </w:p>
        </w:tc>
        <w:tc>
          <w:tcPr>
            <w:tcW w:w="1961" w:type="pct"/>
            <w:tcBorders>
              <w:top w:val="nil"/>
              <w:left w:val="nil"/>
              <w:bottom w:val="nil"/>
              <w:right w:val="nil"/>
            </w:tcBorders>
            <w:shd w:val="clear" w:color="auto" w:fill="FFFFFF"/>
            <w:vAlign w:val="center"/>
          </w:tcPr>
          <w:p w14:paraId="2475BB8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1:1 PSM; outcome assessment reported, but follow-up in the NCIT group was short and markedly imbalanced.</w:t>
            </w:r>
          </w:p>
        </w:tc>
      </w:tr>
      <w:tr w14:paraId="5169B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2064703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Wang Y et al. [26]</w:t>
            </w:r>
          </w:p>
        </w:tc>
        <w:tc>
          <w:tcPr>
            <w:tcW w:w="163" w:type="pct"/>
            <w:tcBorders>
              <w:top w:val="nil"/>
              <w:left w:val="nil"/>
              <w:bottom w:val="nil"/>
              <w:right w:val="nil"/>
            </w:tcBorders>
            <w:shd w:val="clear" w:color="auto" w:fill="FFFFFF"/>
            <w:vAlign w:val="center"/>
          </w:tcPr>
          <w:p w14:paraId="515924D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2024</w:t>
            </w:r>
          </w:p>
        </w:tc>
        <w:tc>
          <w:tcPr>
            <w:tcW w:w="199" w:type="pct"/>
            <w:tcBorders>
              <w:top w:val="nil"/>
              <w:left w:val="nil"/>
              <w:bottom w:val="nil"/>
              <w:right w:val="nil"/>
            </w:tcBorders>
            <w:shd w:val="clear" w:color="auto" w:fill="FFFFFF"/>
            <w:vAlign w:val="center"/>
          </w:tcPr>
          <w:p w14:paraId="23718EC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0AEDD92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27A3F51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3285AFF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746FF9F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0692C21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3F2CD07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1:2 PSM; median follow-up 27.7 months and recurrence/survival outcomes reported.</w:t>
            </w:r>
          </w:p>
        </w:tc>
      </w:tr>
      <w:tr w14:paraId="058AD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527642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Wang X et al. [27]</w:t>
            </w:r>
          </w:p>
        </w:tc>
        <w:tc>
          <w:tcPr>
            <w:tcW w:w="163" w:type="pct"/>
            <w:tcBorders>
              <w:top w:val="nil"/>
              <w:left w:val="nil"/>
              <w:bottom w:val="nil"/>
              <w:right w:val="nil"/>
            </w:tcBorders>
            <w:shd w:val="clear" w:color="auto" w:fill="FFFFFF"/>
            <w:vAlign w:val="center"/>
          </w:tcPr>
          <w:p w14:paraId="1E0706E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319AC4D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51EA36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28A2B20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646C9AA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0</w:t>
            </w:r>
          </w:p>
        </w:tc>
        <w:tc>
          <w:tcPr>
            <w:tcW w:w="323" w:type="pct"/>
            <w:tcBorders>
              <w:top w:val="nil"/>
              <w:left w:val="nil"/>
              <w:bottom w:val="nil"/>
              <w:right w:val="nil"/>
            </w:tcBorders>
            <w:shd w:val="clear" w:color="auto" w:fill="FFFFFF"/>
            <w:vAlign w:val="center"/>
          </w:tcPr>
          <w:p w14:paraId="36BADD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1F3A564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7</w:t>
            </w:r>
          </w:p>
        </w:tc>
        <w:tc>
          <w:tcPr>
            <w:tcW w:w="1961" w:type="pct"/>
            <w:tcBorders>
              <w:top w:val="nil"/>
              <w:left w:val="nil"/>
              <w:bottom w:val="nil"/>
              <w:right w:val="nil"/>
            </w:tcBorders>
            <w:shd w:val="clear" w:color="auto" w:fill="FFFFFF"/>
            <w:vAlign w:val="center"/>
          </w:tcPr>
          <w:p w14:paraId="3586F97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No adjustment; median follow-up 28.5 months with recurrence and OS reporting.</w:t>
            </w:r>
          </w:p>
        </w:tc>
      </w:tr>
      <w:tr w14:paraId="0F090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7470301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Xiao X et al. [13]</w:t>
            </w:r>
          </w:p>
        </w:tc>
        <w:tc>
          <w:tcPr>
            <w:tcW w:w="163" w:type="pct"/>
            <w:tcBorders>
              <w:top w:val="nil"/>
              <w:left w:val="nil"/>
              <w:bottom w:val="nil"/>
              <w:right w:val="nil"/>
            </w:tcBorders>
            <w:shd w:val="clear" w:color="auto" w:fill="FFFFFF"/>
            <w:vAlign w:val="center"/>
          </w:tcPr>
          <w:p w14:paraId="690A5D1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2022</w:t>
            </w:r>
          </w:p>
        </w:tc>
        <w:tc>
          <w:tcPr>
            <w:tcW w:w="199" w:type="pct"/>
            <w:tcBorders>
              <w:top w:val="nil"/>
              <w:left w:val="nil"/>
              <w:bottom w:val="nil"/>
              <w:right w:val="nil"/>
            </w:tcBorders>
            <w:shd w:val="clear" w:color="auto" w:fill="FFFFFF"/>
            <w:vAlign w:val="center"/>
          </w:tcPr>
          <w:p w14:paraId="0C63F9D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79A7980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46B9479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4D38142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36BCE41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nil"/>
              <w:right w:val="nil"/>
            </w:tcBorders>
            <w:shd w:val="clear" w:color="auto" w:fill="FFFFFF"/>
            <w:vAlign w:val="center"/>
          </w:tcPr>
          <w:p w14:paraId="4E57D1C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8</w:t>
            </w:r>
          </w:p>
        </w:tc>
        <w:tc>
          <w:tcPr>
            <w:tcW w:w="1961" w:type="pct"/>
            <w:tcBorders>
              <w:top w:val="nil"/>
              <w:left w:val="nil"/>
              <w:bottom w:val="nil"/>
              <w:right w:val="nil"/>
            </w:tcBorders>
            <w:shd w:val="clear" w:color="auto" w:fill="FFFFFF"/>
            <w:vAlign w:val="center"/>
          </w:tcPr>
          <w:p w14:paraId="2E87A4C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PSM and explicit follow-up; median follow-up only 13-15 months.</w:t>
            </w:r>
          </w:p>
        </w:tc>
      </w:tr>
      <w:tr w14:paraId="66CE8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0054995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Yang Y et al. [29]</w:t>
            </w:r>
          </w:p>
        </w:tc>
        <w:tc>
          <w:tcPr>
            <w:tcW w:w="163" w:type="pct"/>
            <w:tcBorders>
              <w:top w:val="nil"/>
              <w:left w:val="nil"/>
              <w:bottom w:val="nil"/>
              <w:right w:val="nil"/>
            </w:tcBorders>
            <w:shd w:val="clear" w:color="auto" w:fill="FFFFFF"/>
            <w:vAlign w:val="center"/>
          </w:tcPr>
          <w:p w14:paraId="51A06BD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nil"/>
              <w:right w:val="nil"/>
            </w:tcBorders>
            <w:shd w:val="clear" w:color="auto" w:fill="FFFFFF"/>
            <w:vAlign w:val="center"/>
          </w:tcPr>
          <w:p w14:paraId="1C74EF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582B132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78A479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2B35AAE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7233C47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63B16E1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3CAEB48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1:1 PSM; median follow-up 30.3 months and survival/recurrence reporting.</w:t>
            </w:r>
          </w:p>
        </w:tc>
      </w:tr>
      <w:tr w14:paraId="17B04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74D2EF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Yu YK et al. [12]</w:t>
            </w:r>
          </w:p>
        </w:tc>
        <w:tc>
          <w:tcPr>
            <w:tcW w:w="163" w:type="pct"/>
            <w:tcBorders>
              <w:top w:val="nil"/>
              <w:left w:val="nil"/>
              <w:bottom w:val="nil"/>
              <w:right w:val="nil"/>
            </w:tcBorders>
            <w:shd w:val="clear" w:color="auto" w:fill="FFFFFF"/>
            <w:vAlign w:val="center"/>
          </w:tcPr>
          <w:p w14:paraId="4C40DC2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2024</w:t>
            </w:r>
          </w:p>
        </w:tc>
        <w:tc>
          <w:tcPr>
            <w:tcW w:w="199" w:type="pct"/>
            <w:tcBorders>
              <w:top w:val="nil"/>
              <w:left w:val="nil"/>
              <w:bottom w:val="nil"/>
              <w:right w:val="nil"/>
            </w:tcBorders>
            <w:shd w:val="clear" w:color="auto" w:fill="FFFFFF"/>
            <w:vAlign w:val="center"/>
          </w:tcPr>
          <w:p w14:paraId="4C82227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062E923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0EC4AF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6991C29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35A6631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272116E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9</w:t>
            </w:r>
          </w:p>
        </w:tc>
        <w:tc>
          <w:tcPr>
            <w:tcW w:w="1961" w:type="pct"/>
            <w:tcBorders>
              <w:top w:val="nil"/>
              <w:left w:val="nil"/>
              <w:bottom w:val="nil"/>
              <w:right w:val="nil"/>
            </w:tcBorders>
            <w:shd w:val="clear" w:color="auto" w:fill="FFFFFF"/>
            <w:vAlign w:val="center"/>
          </w:tcPr>
          <w:p w14:paraId="5622D7E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IPTW-adjusted analysis; median follow-up 29 months and structured surveillance.</w:t>
            </w:r>
          </w:p>
        </w:tc>
      </w:tr>
      <w:tr w14:paraId="0E84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4BDB4C3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Zhang B et al. [30]</w:t>
            </w:r>
          </w:p>
        </w:tc>
        <w:tc>
          <w:tcPr>
            <w:tcW w:w="163" w:type="pct"/>
            <w:tcBorders>
              <w:top w:val="nil"/>
              <w:left w:val="nil"/>
              <w:bottom w:val="nil"/>
              <w:right w:val="nil"/>
            </w:tcBorders>
            <w:shd w:val="clear" w:color="auto" w:fill="FFFFFF"/>
            <w:vAlign w:val="center"/>
          </w:tcPr>
          <w:p w14:paraId="6CC2038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2023</w:t>
            </w:r>
          </w:p>
        </w:tc>
        <w:tc>
          <w:tcPr>
            <w:tcW w:w="199" w:type="pct"/>
            <w:tcBorders>
              <w:top w:val="nil"/>
              <w:left w:val="nil"/>
              <w:bottom w:val="nil"/>
              <w:right w:val="nil"/>
            </w:tcBorders>
            <w:shd w:val="clear" w:color="auto" w:fill="FFFFFF"/>
            <w:vAlign w:val="center"/>
          </w:tcPr>
          <w:p w14:paraId="6F431F8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07847F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observational study</w:t>
            </w:r>
          </w:p>
        </w:tc>
        <w:tc>
          <w:tcPr>
            <w:tcW w:w="330" w:type="pct"/>
            <w:tcBorders>
              <w:top w:val="nil"/>
              <w:left w:val="nil"/>
              <w:bottom w:val="nil"/>
              <w:right w:val="nil"/>
            </w:tcBorders>
            <w:shd w:val="clear" w:color="auto" w:fill="FFFFFF"/>
            <w:vAlign w:val="center"/>
          </w:tcPr>
          <w:p w14:paraId="7362DE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6421A2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0</w:t>
            </w:r>
          </w:p>
        </w:tc>
        <w:tc>
          <w:tcPr>
            <w:tcW w:w="323" w:type="pct"/>
            <w:tcBorders>
              <w:top w:val="nil"/>
              <w:left w:val="nil"/>
              <w:bottom w:val="nil"/>
              <w:right w:val="nil"/>
            </w:tcBorders>
            <w:shd w:val="clear" w:color="auto" w:fill="FFFFFF"/>
            <w:vAlign w:val="center"/>
          </w:tcPr>
          <w:p w14:paraId="0674D04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nil"/>
              <w:right w:val="nil"/>
            </w:tcBorders>
            <w:shd w:val="clear" w:color="auto" w:fill="FFFFFF"/>
            <w:vAlign w:val="center"/>
          </w:tcPr>
          <w:p w14:paraId="561A78E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6</w:t>
            </w:r>
          </w:p>
        </w:tc>
        <w:tc>
          <w:tcPr>
            <w:tcW w:w="1961" w:type="pct"/>
            <w:tcBorders>
              <w:top w:val="nil"/>
              <w:left w:val="nil"/>
              <w:bottom w:val="nil"/>
              <w:right w:val="nil"/>
            </w:tcBorders>
            <w:shd w:val="clear" w:color="auto" w:fill="FFFFFF"/>
            <w:vAlign w:val="center"/>
          </w:tcPr>
          <w:p w14:paraId="7547CE1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No comparative adjustment; limited sample and approximately 20-month median follow-up.</w:t>
            </w:r>
          </w:p>
        </w:tc>
      </w:tr>
      <w:tr w14:paraId="40BE2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46DDC8C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Zhao J et al. [31]</w:t>
            </w:r>
          </w:p>
        </w:tc>
        <w:tc>
          <w:tcPr>
            <w:tcW w:w="163" w:type="pct"/>
            <w:tcBorders>
              <w:top w:val="nil"/>
              <w:left w:val="nil"/>
              <w:bottom w:val="nil"/>
              <w:right w:val="nil"/>
            </w:tcBorders>
            <w:shd w:val="clear" w:color="auto" w:fill="FFFFFF"/>
            <w:vAlign w:val="center"/>
          </w:tcPr>
          <w:p w14:paraId="15F1605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2023</w:t>
            </w:r>
          </w:p>
        </w:tc>
        <w:tc>
          <w:tcPr>
            <w:tcW w:w="199" w:type="pct"/>
            <w:tcBorders>
              <w:top w:val="nil"/>
              <w:left w:val="nil"/>
              <w:bottom w:val="nil"/>
              <w:right w:val="nil"/>
            </w:tcBorders>
            <w:shd w:val="clear" w:color="auto" w:fill="FFFFFF"/>
            <w:vAlign w:val="center"/>
          </w:tcPr>
          <w:p w14:paraId="5A3237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663C835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3990708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1F98FB4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23" w:type="pct"/>
            <w:tcBorders>
              <w:top w:val="nil"/>
              <w:left w:val="nil"/>
              <w:bottom w:val="nil"/>
              <w:right w:val="nil"/>
            </w:tcBorders>
            <w:shd w:val="clear" w:color="auto" w:fill="FFFFFF"/>
            <w:vAlign w:val="center"/>
          </w:tcPr>
          <w:p w14:paraId="3699C9A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nil"/>
              <w:right w:val="nil"/>
            </w:tcBorders>
            <w:shd w:val="clear" w:color="auto" w:fill="FFFFFF"/>
            <w:vAlign w:val="center"/>
          </w:tcPr>
          <w:p w14:paraId="00CA4F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8</w:t>
            </w:r>
          </w:p>
        </w:tc>
        <w:tc>
          <w:tcPr>
            <w:tcW w:w="1961" w:type="pct"/>
            <w:tcBorders>
              <w:top w:val="nil"/>
              <w:left w:val="nil"/>
              <w:bottom w:val="nil"/>
              <w:right w:val="nil"/>
            </w:tcBorders>
            <w:shd w:val="clear" w:color="auto" w:fill="FFFFFF"/>
            <w:vAlign w:val="center"/>
          </w:tcPr>
          <w:p w14:paraId="496B59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1:2 PSM/IPTW; median overall follow-up 18 months with marked group imbalance.</w:t>
            </w:r>
          </w:p>
        </w:tc>
      </w:tr>
      <w:tr w14:paraId="4C8EE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nil"/>
              <w:right w:val="nil"/>
            </w:tcBorders>
            <w:shd w:val="clear" w:color="auto" w:fill="FFFFFF"/>
            <w:vAlign w:val="center"/>
          </w:tcPr>
          <w:p w14:paraId="4288905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Zhuang FN et al. [32]</w:t>
            </w:r>
          </w:p>
        </w:tc>
        <w:tc>
          <w:tcPr>
            <w:tcW w:w="163" w:type="pct"/>
            <w:tcBorders>
              <w:top w:val="nil"/>
              <w:left w:val="nil"/>
              <w:bottom w:val="nil"/>
              <w:right w:val="nil"/>
            </w:tcBorders>
            <w:shd w:val="clear" w:color="auto" w:fill="FFFFFF"/>
            <w:vAlign w:val="center"/>
          </w:tcPr>
          <w:p w14:paraId="03847BD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2026</w:t>
            </w:r>
          </w:p>
        </w:tc>
        <w:tc>
          <w:tcPr>
            <w:tcW w:w="199" w:type="pct"/>
            <w:tcBorders>
              <w:top w:val="nil"/>
              <w:left w:val="nil"/>
              <w:bottom w:val="nil"/>
              <w:right w:val="nil"/>
            </w:tcBorders>
            <w:shd w:val="clear" w:color="auto" w:fill="FFFFFF"/>
            <w:vAlign w:val="center"/>
          </w:tcPr>
          <w:p w14:paraId="1790EA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nil"/>
              <w:right w:val="nil"/>
            </w:tcBorders>
            <w:shd w:val="clear" w:color="auto" w:fill="FFFFFF"/>
            <w:vAlign w:val="center"/>
          </w:tcPr>
          <w:p w14:paraId="229035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nil"/>
              <w:right w:val="nil"/>
            </w:tcBorders>
            <w:shd w:val="clear" w:color="auto" w:fill="FFFFFF"/>
            <w:vAlign w:val="center"/>
          </w:tcPr>
          <w:p w14:paraId="3CE047D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nil"/>
              <w:right w:val="nil"/>
            </w:tcBorders>
            <w:shd w:val="clear" w:color="auto" w:fill="FFFFFF"/>
            <w:vAlign w:val="center"/>
          </w:tcPr>
          <w:p w14:paraId="5FB361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0</w:t>
            </w:r>
          </w:p>
        </w:tc>
        <w:tc>
          <w:tcPr>
            <w:tcW w:w="323" w:type="pct"/>
            <w:tcBorders>
              <w:top w:val="nil"/>
              <w:left w:val="nil"/>
              <w:bottom w:val="nil"/>
              <w:right w:val="nil"/>
            </w:tcBorders>
            <w:shd w:val="clear" w:color="auto" w:fill="FFFFFF"/>
            <w:vAlign w:val="center"/>
          </w:tcPr>
          <w:p w14:paraId="55106EF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3</w:t>
            </w:r>
          </w:p>
        </w:tc>
        <w:tc>
          <w:tcPr>
            <w:tcW w:w="330" w:type="pct"/>
            <w:tcBorders>
              <w:top w:val="nil"/>
              <w:left w:val="nil"/>
              <w:bottom w:val="nil"/>
              <w:right w:val="nil"/>
            </w:tcBorders>
            <w:shd w:val="clear" w:color="auto" w:fill="FFFFFF"/>
            <w:vAlign w:val="center"/>
          </w:tcPr>
          <w:p w14:paraId="6A9950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7</w:t>
            </w:r>
          </w:p>
        </w:tc>
        <w:tc>
          <w:tcPr>
            <w:tcW w:w="1961" w:type="pct"/>
            <w:tcBorders>
              <w:top w:val="nil"/>
              <w:left w:val="nil"/>
              <w:bottom w:val="nil"/>
              <w:right w:val="nil"/>
            </w:tcBorders>
            <w:shd w:val="clear" w:color="auto" w:fill="FFFFFF"/>
            <w:vAlign w:val="center"/>
          </w:tcPr>
          <w:p w14:paraId="250C231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No matching/weighting; median follow-up 24 months and time-to-event outcomes reported.</w:t>
            </w:r>
          </w:p>
        </w:tc>
      </w:tr>
      <w:tr w14:paraId="77FB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56" w:type="pct"/>
            <w:tcBorders>
              <w:top w:val="nil"/>
              <w:left w:val="nil"/>
              <w:bottom w:val="single" w:color="auto" w:sz="4" w:space="0"/>
              <w:right w:val="nil"/>
            </w:tcBorders>
            <w:shd w:val="clear" w:color="auto" w:fill="FFFFFF"/>
            <w:vAlign w:val="center"/>
          </w:tcPr>
          <w:p w14:paraId="3648CB2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Zou J et al. [33]</w:t>
            </w:r>
          </w:p>
        </w:tc>
        <w:tc>
          <w:tcPr>
            <w:tcW w:w="163" w:type="pct"/>
            <w:tcBorders>
              <w:top w:val="nil"/>
              <w:left w:val="nil"/>
              <w:bottom w:val="single" w:color="auto" w:sz="4" w:space="0"/>
              <w:right w:val="nil"/>
            </w:tcBorders>
            <w:shd w:val="clear" w:color="auto" w:fill="FFFFFF"/>
            <w:vAlign w:val="center"/>
          </w:tcPr>
          <w:p w14:paraId="2C77A8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2025</w:t>
            </w:r>
          </w:p>
        </w:tc>
        <w:tc>
          <w:tcPr>
            <w:tcW w:w="199" w:type="pct"/>
            <w:tcBorders>
              <w:top w:val="nil"/>
              <w:left w:val="nil"/>
              <w:bottom w:val="single" w:color="auto" w:sz="4" w:space="0"/>
              <w:right w:val="nil"/>
            </w:tcBorders>
            <w:shd w:val="clear" w:color="auto" w:fill="FFFFFF"/>
            <w:vAlign w:val="center"/>
          </w:tcPr>
          <w:p w14:paraId="78F4754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China</w:t>
            </w:r>
          </w:p>
        </w:tc>
        <w:tc>
          <w:tcPr>
            <w:tcW w:w="825" w:type="pct"/>
            <w:tcBorders>
              <w:top w:val="nil"/>
              <w:left w:val="nil"/>
              <w:bottom w:val="single" w:color="auto" w:sz="4" w:space="0"/>
              <w:right w:val="nil"/>
            </w:tcBorders>
            <w:shd w:val="clear" w:color="auto" w:fill="FFFFFF"/>
            <w:vAlign w:val="center"/>
          </w:tcPr>
          <w:p w14:paraId="255F0B4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Single-center retrospective cohort</w:t>
            </w:r>
          </w:p>
        </w:tc>
        <w:tc>
          <w:tcPr>
            <w:tcW w:w="330" w:type="pct"/>
            <w:tcBorders>
              <w:top w:val="nil"/>
              <w:left w:val="nil"/>
              <w:bottom w:val="single" w:color="auto" w:sz="4" w:space="0"/>
              <w:right w:val="nil"/>
            </w:tcBorders>
            <w:shd w:val="clear" w:color="auto" w:fill="FFFFFF"/>
            <w:vAlign w:val="center"/>
          </w:tcPr>
          <w:p w14:paraId="55EB6B4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4</w:t>
            </w:r>
          </w:p>
        </w:tc>
        <w:tc>
          <w:tcPr>
            <w:tcW w:w="411" w:type="pct"/>
            <w:tcBorders>
              <w:top w:val="nil"/>
              <w:left w:val="nil"/>
              <w:bottom w:val="single" w:color="auto" w:sz="4" w:space="0"/>
              <w:right w:val="nil"/>
            </w:tcBorders>
            <w:shd w:val="clear" w:color="auto" w:fill="FFFFFF"/>
            <w:vAlign w:val="center"/>
          </w:tcPr>
          <w:p w14:paraId="7D705E8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0</w:t>
            </w:r>
          </w:p>
        </w:tc>
        <w:tc>
          <w:tcPr>
            <w:tcW w:w="323" w:type="pct"/>
            <w:tcBorders>
              <w:top w:val="nil"/>
              <w:left w:val="nil"/>
              <w:bottom w:val="single" w:color="auto" w:sz="4" w:space="0"/>
              <w:right w:val="nil"/>
            </w:tcBorders>
            <w:shd w:val="clear" w:color="auto" w:fill="FFFFFF"/>
            <w:vAlign w:val="center"/>
          </w:tcPr>
          <w:p w14:paraId="679A31A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2</w:t>
            </w:r>
          </w:p>
        </w:tc>
        <w:tc>
          <w:tcPr>
            <w:tcW w:w="330" w:type="pct"/>
            <w:tcBorders>
              <w:top w:val="nil"/>
              <w:left w:val="nil"/>
              <w:bottom w:val="single" w:color="auto" w:sz="4" w:space="0"/>
              <w:right w:val="nil"/>
            </w:tcBorders>
            <w:shd w:val="clear" w:color="auto" w:fill="FFFFFF"/>
            <w:vAlign w:val="center"/>
          </w:tcPr>
          <w:p w14:paraId="73A827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6</w:t>
            </w:r>
          </w:p>
        </w:tc>
        <w:tc>
          <w:tcPr>
            <w:tcW w:w="1961" w:type="pct"/>
            <w:tcBorders>
              <w:top w:val="nil"/>
              <w:left w:val="nil"/>
              <w:bottom w:val="single" w:color="auto" w:sz="4" w:space="0"/>
              <w:right w:val="nil"/>
            </w:tcBorders>
            <w:shd w:val="clear" w:color="auto" w:fill="FFFFFF"/>
            <w:vAlign w:val="center"/>
          </w:tcPr>
          <w:p w14:paraId="490EE6F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000000"/>
                <w:sz w:val="18"/>
                <w:szCs w:val="18"/>
                <w:u w:val="none"/>
              </w:rPr>
            </w:pPr>
            <w:r>
              <w:rPr>
                <w:rFonts w:hint="default" w:ascii="Times New Roman" w:hAnsi="Times New Roman" w:eastAsia="Carlito" w:cs="Times New Roman"/>
                <w:i w:val="0"/>
                <w:iCs w:val="0"/>
                <w:color w:val="000000"/>
                <w:kern w:val="0"/>
                <w:sz w:val="18"/>
                <w:szCs w:val="18"/>
                <w:u w:val="none"/>
                <w:lang w:val="en-US" w:eastAsia="zh-CN" w:bidi="ar"/>
              </w:rPr>
              <w:t>No adjustment; small three-arm cohort and incomplete reporting of follow-up completeness.</w:t>
            </w:r>
          </w:p>
        </w:tc>
      </w:tr>
      <w:tr w14:paraId="74DE9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9"/>
            <w:vMerge w:val="restart"/>
            <w:tcBorders>
              <w:top w:val="single" w:color="auto" w:sz="4" w:space="0"/>
              <w:left w:val="nil"/>
              <w:bottom w:val="nil"/>
              <w:right w:val="nil"/>
            </w:tcBorders>
            <w:shd w:val="clear" w:color="auto" w:fill="FFFFFF"/>
            <w:vAlign w:val="center"/>
          </w:tcPr>
          <w:p w14:paraId="3FA59C61">
            <w:pPr>
              <w:keepNext w:val="0"/>
              <w:keepLines w:val="0"/>
              <w:widowControl/>
              <w:suppressLineNumbers w:val="0"/>
              <w:ind w:left="0" w:leftChars="0" w:right="0" w:rightChars="0" w:firstLine="0" w:firstLineChars="0"/>
              <w:jc w:val="left"/>
              <w:textAlignment w:val="center"/>
              <w:rPr>
                <w:rFonts w:hint="default" w:ascii="Times New Roman" w:hAnsi="Times New Roman" w:eastAsia="Carlito" w:cs="Times New Roman"/>
                <w:i w:val="0"/>
                <w:iCs w:val="0"/>
                <w:color w:val="000000"/>
                <w:sz w:val="18"/>
                <w:szCs w:val="18"/>
                <w:u w:val="none"/>
              </w:rPr>
            </w:pPr>
            <w:bookmarkStart w:id="0" w:name="_GoBack"/>
            <w:r>
              <w:rPr>
                <w:rFonts w:hint="default" w:ascii="Times New Roman" w:hAnsi="Times New Roman" w:eastAsia="Carlito" w:cs="Times New Roman"/>
                <w:i w:val="0"/>
                <w:iCs w:val="0"/>
                <w:color w:val="000000"/>
                <w:kern w:val="0"/>
                <w:sz w:val="18"/>
                <w:szCs w:val="18"/>
                <w:u w:val="none"/>
                <w:lang w:val="en-US" w:eastAsia="zh-CN" w:bidi="ar"/>
              </w:rPr>
              <w:t>Footnote: NOS was retained only as a supplementary descriptive assessment and was not used as the primary causal risk-of-bias tool. Selection comprises representativeness of the exposed cohort, selection of the nonexposed cohort, ascertainment of exposure, and confirmation that the outcome was not present at baseline. Comparability reflects control of the most important and additional prognostic factors. Outcome comprises outcome ascertainment, sufficient follow-up duration, and adequacy of follow-up. Wang P et al. [28] was randomized and was therefore assessed with RoB 2 rather than NOS.</w:t>
            </w:r>
            <w:bookmarkEnd w:id="0"/>
          </w:p>
        </w:tc>
      </w:tr>
      <w:tr w14:paraId="26FFB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9"/>
            <w:vMerge w:val="continue"/>
            <w:tcBorders>
              <w:top w:val="nil"/>
              <w:left w:val="nil"/>
              <w:bottom w:val="nil"/>
              <w:right w:val="nil"/>
            </w:tcBorders>
            <w:shd w:val="clear" w:color="auto" w:fill="FFFFFF"/>
            <w:vAlign w:val="center"/>
          </w:tcPr>
          <w:p w14:paraId="395AD447">
            <w:pPr>
              <w:ind w:left="0" w:leftChars="0" w:right="0" w:rightChars="0" w:firstLine="0" w:firstLineChars="0"/>
              <w:jc w:val="center"/>
              <w:rPr>
                <w:rFonts w:hint="default" w:ascii="Times New Roman" w:hAnsi="Times New Roman" w:eastAsia="Carlito" w:cs="Times New Roman"/>
                <w:i w:val="0"/>
                <w:iCs w:val="0"/>
                <w:color w:val="000000"/>
                <w:sz w:val="18"/>
                <w:szCs w:val="18"/>
                <w:u w:val="none"/>
              </w:rPr>
            </w:pPr>
          </w:p>
        </w:tc>
      </w:tr>
      <w:tr w14:paraId="0F7D5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0" w:type="pct"/>
            <w:gridSpan w:val="9"/>
            <w:vMerge w:val="continue"/>
            <w:tcBorders>
              <w:top w:val="nil"/>
              <w:left w:val="nil"/>
              <w:bottom w:val="nil"/>
              <w:right w:val="nil"/>
            </w:tcBorders>
            <w:shd w:val="clear" w:color="auto" w:fill="FFFFFF"/>
            <w:vAlign w:val="center"/>
          </w:tcPr>
          <w:p w14:paraId="66672C75">
            <w:pPr>
              <w:ind w:left="0" w:leftChars="0" w:right="0" w:rightChars="0" w:firstLine="0" w:firstLineChars="0"/>
              <w:jc w:val="center"/>
              <w:rPr>
                <w:rFonts w:hint="default" w:ascii="Times New Roman" w:hAnsi="Times New Roman" w:eastAsia="Carlito" w:cs="Times New Roman"/>
                <w:i w:val="0"/>
                <w:iCs w:val="0"/>
                <w:color w:val="000000"/>
                <w:sz w:val="18"/>
                <w:szCs w:val="18"/>
                <w:u w:val="none"/>
              </w:rPr>
            </w:pPr>
          </w:p>
        </w:tc>
      </w:tr>
      <w:tr w14:paraId="73D7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0" w:type="pct"/>
            <w:gridSpan w:val="9"/>
            <w:vMerge w:val="continue"/>
            <w:tcBorders>
              <w:top w:val="nil"/>
              <w:left w:val="nil"/>
              <w:bottom w:val="nil"/>
              <w:right w:val="nil"/>
            </w:tcBorders>
            <w:shd w:val="clear" w:color="auto" w:fill="FFFFFF"/>
            <w:vAlign w:val="center"/>
          </w:tcPr>
          <w:p w14:paraId="3B075624">
            <w:pPr>
              <w:ind w:left="0" w:leftChars="0" w:right="0" w:rightChars="0" w:firstLine="0" w:firstLineChars="0"/>
              <w:jc w:val="center"/>
              <w:rPr>
                <w:rFonts w:hint="default" w:ascii="Times New Roman" w:hAnsi="Times New Roman" w:eastAsia="Carlito" w:cs="Times New Roman"/>
                <w:i w:val="0"/>
                <w:iCs w:val="0"/>
                <w:color w:val="000000"/>
                <w:sz w:val="18"/>
                <w:szCs w:val="18"/>
                <w:u w:val="none"/>
              </w:rPr>
            </w:pPr>
          </w:p>
        </w:tc>
      </w:tr>
    </w:tbl>
    <w:p w14:paraId="26677091"/>
    <w:sectPr>
      <w:pgSz w:w="23811" w:h="16838"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783C"/>
    <w:rsid w:val="2FA70FF6"/>
    <w:rsid w:val="5E596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597</Words>
  <Characters>3272</Characters>
  <Lines>0</Lines>
  <Paragraphs>0</Paragraphs>
  <TotalTime>2</TotalTime>
  <ScaleCrop>false</ScaleCrop>
  <LinksUpToDate>false</LinksUpToDate>
  <CharactersWithSpaces>3687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2026-07-29T04:39:00Z</dcterms:created>
  <dc:creator>14040</dc:creator>
  <cp:lastModifiedBy>petty</cp:lastModifiedBy>
  <dcterms:modified xsi:type="dcterms:W3CDTF">2026-07-30T09:42:08Z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eyJoZGlkIjoiNzJhYmVmZmFkN2RlMWNlMGYyNWE0ZjgzN2YyYmUwNGQiLCJ1c2VySWQiOiIzODA3MDA0MDIifQ==</vt:lpwstr>
  </property>
  <property fmtid="{D5CDD505-2E9C-101B-9397-08002B2CF9AE}" pid="4" name="ICV">
    <vt:lpwstr>C4BE34C77B7A4AA2827FD9790DE04221_12</vt:lpwstr>
  </property>
</Properties>
</file>