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372" w:type="pct"/>
        <w:tblInd w:w="-84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7"/>
        <w:gridCol w:w="679"/>
        <w:gridCol w:w="1092"/>
        <w:gridCol w:w="1074"/>
        <w:gridCol w:w="715"/>
        <w:gridCol w:w="940"/>
        <w:gridCol w:w="949"/>
        <w:gridCol w:w="870"/>
        <w:gridCol w:w="784"/>
        <w:gridCol w:w="521"/>
        <w:gridCol w:w="805"/>
        <w:gridCol w:w="731"/>
        <w:gridCol w:w="653"/>
        <w:gridCol w:w="746"/>
        <w:gridCol w:w="553"/>
        <w:gridCol w:w="706"/>
        <w:gridCol w:w="706"/>
        <w:gridCol w:w="643"/>
        <w:gridCol w:w="553"/>
        <w:gridCol w:w="634"/>
        <w:gridCol w:w="984"/>
        <w:gridCol w:w="1116"/>
        <w:gridCol w:w="1359"/>
        <w:gridCol w:w="1735"/>
        <w:gridCol w:w="1518"/>
        <w:gridCol w:w="666"/>
        <w:gridCol w:w="841"/>
      </w:tblGrid>
      <w:tr w14:paraId="2EF3D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480" w:hRule="atLeast"/>
        </w:trPr>
        <w:tc>
          <w:tcPr>
            <w:tcW w:w="5000" w:type="pct"/>
            <w:gridSpan w:val="27"/>
            <w:tcBorders>
              <w:top w:val="nil"/>
              <w:left w:val="nil"/>
              <w:bottom w:val="nil"/>
              <w:right w:val="nil"/>
            </w:tcBorders>
            <w:shd w:val="clear" w:color="auto" w:fill="FFFFFF"/>
            <w:vAlign w:val="center"/>
          </w:tcPr>
          <w:p w14:paraId="63FF3AB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kern w:val="0"/>
                <w:sz w:val="16"/>
                <w:szCs w:val="16"/>
                <w:u w:val="none"/>
                <w:lang w:val="en-US" w:eastAsia="zh-CN" w:bidi="ar"/>
              </w:rPr>
            </w:pPr>
            <w:r>
              <w:rPr>
                <w:rFonts w:hint="default" w:ascii="Times New Roman" w:hAnsi="Times New Roman" w:eastAsia="Carlito" w:cs="Times New Roman"/>
                <w:i w:val="0"/>
                <w:iCs w:val="0"/>
                <w:color w:val="000000"/>
                <w:kern w:val="0"/>
                <w:sz w:val="16"/>
                <w:szCs w:val="16"/>
                <w:u w:val="none"/>
                <w:lang w:val="en-US" w:eastAsia="zh-CN" w:bidi="ar"/>
              </w:rPr>
              <w:t xml:space="preserve">Supplementary Table </w:t>
            </w:r>
            <w:r>
              <w:rPr>
                <w:rFonts w:hint="eastAsia" w:ascii="Times New Roman" w:hAnsi="Times New Roman" w:eastAsia="Carlito" w:cs="Times New Roman"/>
                <w:i w:val="0"/>
                <w:iCs w:val="0"/>
                <w:color w:val="000000"/>
                <w:kern w:val="0"/>
                <w:sz w:val="16"/>
                <w:szCs w:val="16"/>
                <w:u w:val="none"/>
                <w:lang w:val="en-US" w:eastAsia="zh-CN" w:bidi="ar"/>
              </w:rPr>
              <w:t>S</w:t>
            </w:r>
            <w:r>
              <w:rPr>
                <w:rFonts w:hint="default" w:ascii="Times New Roman" w:hAnsi="Times New Roman" w:eastAsia="Carlito" w:cs="Times New Roman"/>
                <w:i w:val="0"/>
                <w:iCs w:val="0"/>
                <w:color w:val="000000"/>
                <w:kern w:val="0"/>
                <w:sz w:val="16"/>
                <w:szCs w:val="16"/>
                <w:u w:val="none"/>
                <w:lang w:val="en-US" w:eastAsia="zh-CN" w:bidi="ar"/>
              </w:rPr>
              <w:t>1B. Treatment, Pathological Response, Recurrence, and Survival Outcomes</w:t>
            </w:r>
          </w:p>
        </w:tc>
      </w:tr>
      <w:tr w14:paraId="0D85E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72" w:type="pct"/>
            <w:tcBorders>
              <w:top w:val="single" w:color="000000" w:sz="4" w:space="0"/>
              <w:left w:val="nil"/>
              <w:bottom w:val="single" w:color="000000" w:sz="4" w:space="0"/>
              <w:right w:val="nil"/>
            </w:tcBorders>
            <w:shd w:val="clear" w:color="auto" w:fill="FFFFFF"/>
            <w:vAlign w:val="center"/>
          </w:tcPr>
          <w:p w14:paraId="215429B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Authors</w:t>
            </w:r>
          </w:p>
        </w:tc>
        <w:tc>
          <w:tcPr>
            <w:tcW w:w="145" w:type="pct"/>
            <w:tcBorders>
              <w:top w:val="single" w:color="000000" w:sz="4" w:space="0"/>
              <w:left w:val="nil"/>
              <w:bottom w:val="single" w:color="000000" w:sz="4" w:space="0"/>
              <w:right w:val="nil"/>
            </w:tcBorders>
            <w:shd w:val="clear" w:color="auto" w:fill="FFFFFF"/>
            <w:vAlign w:val="center"/>
          </w:tcPr>
          <w:p w14:paraId="6D4E761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Group</w:t>
            </w:r>
          </w:p>
        </w:tc>
        <w:tc>
          <w:tcPr>
            <w:tcW w:w="233" w:type="pct"/>
            <w:tcBorders>
              <w:top w:val="single" w:color="000000" w:sz="4" w:space="0"/>
              <w:left w:val="nil"/>
              <w:bottom w:val="single" w:color="000000" w:sz="4" w:space="0"/>
              <w:right w:val="nil"/>
            </w:tcBorders>
            <w:shd w:val="clear" w:color="auto" w:fill="FFFFFF"/>
            <w:vAlign w:val="center"/>
          </w:tcPr>
          <w:p w14:paraId="7C57890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Regimen</w:t>
            </w:r>
          </w:p>
        </w:tc>
        <w:tc>
          <w:tcPr>
            <w:tcW w:w="229" w:type="pct"/>
            <w:tcBorders>
              <w:top w:val="single" w:color="000000" w:sz="4" w:space="0"/>
              <w:left w:val="nil"/>
              <w:bottom w:val="single" w:color="000000" w:sz="4" w:space="0"/>
              <w:right w:val="nil"/>
            </w:tcBorders>
            <w:shd w:val="clear" w:color="auto" w:fill="FFFFFF"/>
            <w:vAlign w:val="center"/>
          </w:tcPr>
          <w:p w14:paraId="7985AEC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NCRT Regimen</w:t>
            </w:r>
          </w:p>
        </w:tc>
        <w:tc>
          <w:tcPr>
            <w:tcW w:w="152" w:type="pct"/>
            <w:tcBorders>
              <w:top w:val="single" w:color="000000" w:sz="4" w:space="0"/>
              <w:left w:val="nil"/>
              <w:bottom w:val="single" w:color="000000" w:sz="4" w:space="0"/>
              <w:right w:val="nil"/>
            </w:tcBorders>
            <w:shd w:val="clear" w:color="auto" w:fill="FFFFFF"/>
            <w:vAlign w:val="center"/>
          </w:tcPr>
          <w:p w14:paraId="39DD7AC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Radiotherapy Dose</w:t>
            </w:r>
          </w:p>
        </w:tc>
        <w:tc>
          <w:tcPr>
            <w:tcW w:w="201" w:type="pct"/>
            <w:tcBorders>
              <w:top w:val="single" w:color="000000" w:sz="4" w:space="0"/>
              <w:left w:val="nil"/>
              <w:bottom w:val="single" w:color="000000" w:sz="4" w:space="0"/>
              <w:right w:val="nil"/>
            </w:tcBorders>
            <w:shd w:val="clear" w:color="auto" w:fill="FFFFFF"/>
            <w:vAlign w:val="center"/>
          </w:tcPr>
          <w:p w14:paraId="294319F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Neoadjuvant Cycles</w:t>
            </w:r>
          </w:p>
        </w:tc>
        <w:tc>
          <w:tcPr>
            <w:tcW w:w="202" w:type="pct"/>
            <w:tcBorders>
              <w:top w:val="single" w:color="000000" w:sz="4" w:space="0"/>
              <w:left w:val="nil"/>
              <w:bottom w:val="single" w:color="000000" w:sz="4" w:space="0"/>
              <w:right w:val="nil"/>
            </w:tcBorders>
            <w:shd w:val="clear" w:color="auto" w:fill="FFFFFF"/>
            <w:vAlign w:val="center"/>
          </w:tcPr>
          <w:p w14:paraId="715D038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Surgery Type</w:t>
            </w:r>
          </w:p>
        </w:tc>
        <w:tc>
          <w:tcPr>
            <w:tcW w:w="186" w:type="pct"/>
            <w:tcBorders>
              <w:top w:val="single" w:color="000000" w:sz="4" w:space="0"/>
              <w:left w:val="nil"/>
              <w:bottom w:val="single" w:color="000000" w:sz="4" w:space="0"/>
              <w:right w:val="nil"/>
            </w:tcBorders>
            <w:shd w:val="clear" w:color="auto" w:fill="FFFFFF"/>
            <w:vAlign w:val="center"/>
          </w:tcPr>
          <w:p w14:paraId="7BC3DAB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Lymphadenectomy</w:t>
            </w:r>
          </w:p>
        </w:tc>
        <w:tc>
          <w:tcPr>
            <w:tcW w:w="167" w:type="pct"/>
            <w:tcBorders>
              <w:top w:val="single" w:color="000000" w:sz="4" w:space="0"/>
              <w:left w:val="nil"/>
              <w:bottom w:val="single" w:color="000000" w:sz="4" w:space="0"/>
              <w:right w:val="nil"/>
            </w:tcBorders>
            <w:shd w:val="clear" w:color="auto" w:fill="FFFFFF"/>
            <w:vAlign w:val="center"/>
          </w:tcPr>
          <w:p w14:paraId="3BCB836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Adjuvant Therapy After Surgery</w:t>
            </w:r>
          </w:p>
        </w:tc>
        <w:tc>
          <w:tcPr>
            <w:tcW w:w="111" w:type="pct"/>
            <w:tcBorders>
              <w:top w:val="single" w:color="000000" w:sz="4" w:space="0"/>
              <w:left w:val="nil"/>
              <w:bottom w:val="single" w:color="000000" w:sz="4" w:space="0"/>
              <w:right w:val="nil"/>
            </w:tcBorders>
            <w:shd w:val="clear" w:color="auto" w:fill="FFFFFF"/>
            <w:vAlign w:val="center"/>
          </w:tcPr>
          <w:p w14:paraId="6798657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Interval to Surgery</w:t>
            </w:r>
          </w:p>
        </w:tc>
        <w:tc>
          <w:tcPr>
            <w:tcW w:w="172" w:type="pct"/>
            <w:tcBorders>
              <w:top w:val="single" w:color="000000" w:sz="4" w:space="0"/>
              <w:left w:val="nil"/>
              <w:bottom w:val="single" w:color="000000" w:sz="4" w:space="0"/>
              <w:right w:val="nil"/>
            </w:tcBorders>
            <w:shd w:val="clear" w:color="auto" w:fill="FFFFFF"/>
            <w:vAlign w:val="center"/>
          </w:tcPr>
          <w:p w14:paraId="578A94A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Follow-up</w:t>
            </w:r>
          </w:p>
        </w:tc>
        <w:tc>
          <w:tcPr>
            <w:tcW w:w="156" w:type="pct"/>
            <w:tcBorders>
              <w:top w:val="single" w:color="000000" w:sz="4" w:space="0"/>
              <w:left w:val="nil"/>
              <w:bottom w:val="single" w:color="000000" w:sz="4" w:space="0"/>
              <w:right w:val="nil"/>
            </w:tcBorders>
            <w:shd w:val="clear" w:color="auto" w:fill="FFFFFF"/>
            <w:vAlign w:val="center"/>
          </w:tcPr>
          <w:p w14:paraId="09909A6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pCR (n, %)</w:t>
            </w:r>
          </w:p>
        </w:tc>
        <w:tc>
          <w:tcPr>
            <w:tcW w:w="139" w:type="pct"/>
            <w:tcBorders>
              <w:top w:val="single" w:color="000000" w:sz="4" w:space="0"/>
              <w:left w:val="nil"/>
              <w:bottom w:val="single" w:color="000000" w:sz="4" w:space="0"/>
              <w:right w:val="nil"/>
            </w:tcBorders>
            <w:shd w:val="clear" w:color="auto" w:fill="FFFFFF"/>
            <w:vAlign w:val="center"/>
          </w:tcPr>
          <w:p w14:paraId="70DFBAF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MPR (n, %)</w:t>
            </w:r>
          </w:p>
        </w:tc>
        <w:tc>
          <w:tcPr>
            <w:tcW w:w="159" w:type="pct"/>
            <w:tcBorders>
              <w:top w:val="single" w:color="000000" w:sz="4" w:space="0"/>
              <w:left w:val="nil"/>
              <w:bottom w:val="single" w:color="000000" w:sz="4" w:space="0"/>
              <w:right w:val="nil"/>
            </w:tcBorders>
            <w:shd w:val="clear" w:color="auto" w:fill="FFFFFF"/>
            <w:vAlign w:val="center"/>
          </w:tcPr>
          <w:p w14:paraId="51CC45C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R0 Resection (n, %)</w:t>
            </w:r>
          </w:p>
        </w:tc>
        <w:tc>
          <w:tcPr>
            <w:tcW w:w="118" w:type="pct"/>
            <w:tcBorders>
              <w:top w:val="single" w:color="000000" w:sz="4" w:space="0"/>
              <w:left w:val="nil"/>
              <w:bottom w:val="single" w:color="000000" w:sz="4" w:space="0"/>
              <w:right w:val="nil"/>
            </w:tcBorders>
            <w:shd w:val="clear" w:color="auto" w:fill="FFFFFF"/>
            <w:vAlign w:val="center"/>
          </w:tcPr>
          <w:p w14:paraId="53E9511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Harvested Lymph Nodes</w:t>
            </w:r>
          </w:p>
        </w:tc>
        <w:tc>
          <w:tcPr>
            <w:tcW w:w="150" w:type="pct"/>
            <w:tcBorders>
              <w:top w:val="single" w:color="000000" w:sz="4" w:space="0"/>
              <w:left w:val="nil"/>
              <w:bottom w:val="single" w:color="000000" w:sz="4" w:space="0"/>
              <w:right w:val="nil"/>
            </w:tcBorders>
            <w:shd w:val="clear" w:color="auto" w:fill="FFFFFF"/>
            <w:vAlign w:val="center"/>
          </w:tcPr>
          <w:p w14:paraId="0CC6191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Overall Complications (n, %)</w:t>
            </w:r>
          </w:p>
        </w:tc>
        <w:tc>
          <w:tcPr>
            <w:tcW w:w="150" w:type="pct"/>
            <w:tcBorders>
              <w:top w:val="single" w:color="000000" w:sz="4" w:space="0"/>
              <w:left w:val="nil"/>
              <w:bottom w:val="single" w:color="000000" w:sz="4" w:space="0"/>
              <w:right w:val="nil"/>
            </w:tcBorders>
            <w:shd w:val="clear" w:color="auto" w:fill="FFFFFF"/>
            <w:vAlign w:val="center"/>
          </w:tcPr>
          <w:p w14:paraId="5F6F753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Pulmonary Complications (n, %)</w:t>
            </w:r>
          </w:p>
        </w:tc>
        <w:tc>
          <w:tcPr>
            <w:tcW w:w="137" w:type="pct"/>
            <w:tcBorders>
              <w:top w:val="single" w:color="000000" w:sz="4" w:space="0"/>
              <w:left w:val="nil"/>
              <w:bottom w:val="single" w:color="000000" w:sz="4" w:space="0"/>
              <w:right w:val="nil"/>
            </w:tcBorders>
            <w:shd w:val="clear" w:color="auto" w:fill="FFFFFF"/>
            <w:vAlign w:val="center"/>
          </w:tcPr>
          <w:p w14:paraId="55E8912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Anastomotic Leakage (n, %)</w:t>
            </w:r>
          </w:p>
        </w:tc>
        <w:tc>
          <w:tcPr>
            <w:tcW w:w="118" w:type="pct"/>
            <w:tcBorders>
              <w:top w:val="single" w:color="000000" w:sz="4" w:space="0"/>
              <w:left w:val="nil"/>
              <w:bottom w:val="single" w:color="000000" w:sz="4" w:space="0"/>
              <w:right w:val="nil"/>
            </w:tcBorders>
            <w:shd w:val="clear" w:color="auto" w:fill="FFFFFF"/>
            <w:vAlign w:val="center"/>
          </w:tcPr>
          <w:p w14:paraId="22B3FE3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Recurrent Laryngeal Nerve Injury (n, %)</w:t>
            </w:r>
          </w:p>
        </w:tc>
        <w:tc>
          <w:tcPr>
            <w:tcW w:w="135" w:type="pct"/>
            <w:tcBorders>
              <w:top w:val="single" w:color="000000" w:sz="4" w:space="0"/>
              <w:left w:val="nil"/>
              <w:bottom w:val="single" w:color="000000" w:sz="4" w:space="0"/>
              <w:right w:val="nil"/>
            </w:tcBorders>
            <w:shd w:val="clear" w:color="auto" w:fill="FFFFFF"/>
            <w:vAlign w:val="center"/>
          </w:tcPr>
          <w:p w14:paraId="0E7237C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Chylothorax (n, %)</w:t>
            </w:r>
          </w:p>
        </w:tc>
        <w:tc>
          <w:tcPr>
            <w:tcW w:w="210" w:type="pct"/>
            <w:tcBorders>
              <w:top w:val="single" w:color="000000" w:sz="4" w:space="0"/>
              <w:left w:val="nil"/>
              <w:bottom w:val="single" w:color="000000" w:sz="4" w:space="0"/>
              <w:right w:val="nil"/>
            </w:tcBorders>
            <w:shd w:val="clear" w:color="auto" w:fill="FFFFFF"/>
            <w:vAlign w:val="center"/>
          </w:tcPr>
          <w:p w14:paraId="205169A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Overall Recurrence (n, %)</w:t>
            </w:r>
          </w:p>
        </w:tc>
        <w:tc>
          <w:tcPr>
            <w:tcW w:w="238" w:type="pct"/>
            <w:tcBorders>
              <w:top w:val="single" w:color="000000" w:sz="4" w:space="0"/>
              <w:left w:val="nil"/>
              <w:bottom w:val="single" w:color="000000" w:sz="4" w:space="0"/>
              <w:right w:val="nil"/>
            </w:tcBorders>
            <w:shd w:val="clear" w:color="auto" w:fill="FFFFFF"/>
            <w:vAlign w:val="center"/>
          </w:tcPr>
          <w:p w14:paraId="4CF358D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Locoregional Recurrence (n, %)</w:t>
            </w:r>
          </w:p>
        </w:tc>
        <w:tc>
          <w:tcPr>
            <w:tcW w:w="290" w:type="pct"/>
            <w:tcBorders>
              <w:top w:val="single" w:color="000000" w:sz="4" w:space="0"/>
              <w:left w:val="nil"/>
              <w:bottom w:val="single" w:color="000000" w:sz="4" w:space="0"/>
              <w:right w:val="nil"/>
            </w:tcBorders>
            <w:shd w:val="clear" w:color="auto" w:fill="FFFFFF"/>
            <w:vAlign w:val="center"/>
          </w:tcPr>
          <w:p w14:paraId="550BC0B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Distant Recurrence/Metastasis (n, %)</w:t>
            </w:r>
          </w:p>
        </w:tc>
        <w:tc>
          <w:tcPr>
            <w:tcW w:w="371" w:type="pct"/>
            <w:tcBorders>
              <w:top w:val="single" w:color="000000" w:sz="4" w:space="0"/>
              <w:left w:val="nil"/>
              <w:bottom w:val="single" w:color="000000" w:sz="4" w:space="0"/>
              <w:right w:val="nil"/>
            </w:tcBorders>
            <w:shd w:val="clear" w:color="auto" w:fill="FFFFFF"/>
            <w:vAlign w:val="center"/>
          </w:tcPr>
          <w:p w14:paraId="5B03A66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DFS/RFS</w:t>
            </w:r>
          </w:p>
        </w:tc>
        <w:tc>
          <w:tcPr>
            <w:tcW w:w="324" w:type="pct"/>
            <w:tcBorders>
              <w:top w:val="single" w:color="000000" w:sz="4" w:space="0"/>
              <w:left w:val="nil"/>
              <w:bottom w:val="single" w:color="000000" w:sz="4" w:space="0"/>
              <w:right w:val="nil"/>
            </w:tcBorders>
            <w:shd w:val="clear" w:color="auto" w:fill="FFFFFF"/>
            <w:vAlign w:val="center"/>
          </w:tcPr>
          <w:p w14:paraId="6944981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OS</w:t>
            </w:r>
          </w:p>
        </w:tc>
        <w:tc>
          <w:tcPr>
            <w:tcW w:w="142" w:type="pct"/>
            <w:tcBorders>
              <w:top w:val="single" w:color="000000" w:sz="4" w:space="0"/>
              <w:left w:val="nil"/>
              <w:bottom w:val="single" w:color="000000" w:sz="4" w:space="0"/>
              <w:right w:val="nil"/>
            </w:tcBorders>
            <w:shd w:val="clear" w:color="auto" w:fill="FFFFFF"/>
            <w:vAlign w:val="center"/>
          </w:tcPr>
          <w:p w14:paraId="552DDE2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DFS/RFS HR (95% CI)</w:t>
            </w:r>
          </w:p>
        </w:tc>
        <w:tc>
          <w:tcPr>
            <w:tcW w:w="179" w:type="pct"/>
            <w:tcBorders>
              <w:top w:val="single" w:color="000000" w:sz="4" w:space="0"/>
              <w:left w:val="nil"/>
              <w:bottom w:val="single" w:color="000000" w:sz="4" w:space="0"/>
              <w:right w:val="nil"/>
            </w:tcBorders>
            <w:shd w:val="clear" w:color="auto" w:fill="FFFFFF"/>
            <w:vAlign w:val="center"/>
          </w:tcPr>
          <w:p w14:paraId="26318E2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OS HR (95% CI)</w:t>
            </w:r>
          </w:p>
        </w:tc>
      </w:tr>
      <w:tr w14:paraId="551D2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6393B70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Chen et al. [17]</w:t>
            </w:r>
          </w:p>
        </w:tc>
        <w:tc>
          <w:tcPr>
            <w:tcW w:w="145" w:type="pct"/>
            <w:tcBorders>
              <w:top w:val="nil"/>
              <w:left w:val="nil"/>
              <w:bottom w:val="nil"/>
              <w:right w:val="nil"/>
            </w:tcBorders>
            <w:shd w:val="clear" w:color="auto" w:fill="FFFFFF"/>
            <w:vAlign w:val="center"/>
          </w:tcPr>
          <w:p w14:paraId="087C13B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NICT; NCRT</w:t>
            </w:r>
          </w:p>
        </w:tc>
        <w:tc>
          <w:tcPr>
            <w:tcW w:w="233" w:type="pct"/>
            <w:tcBorders>
              <w:top w:val="nil"/>
              <w:left w:val="nil"/>
              <w:bottom w:val="nil"/>
              <w:right w:val="nil"/>
            </w:tcBorders>
            <w:shd w:val="clear" w:color="auto" w:fill="FFFFFF"/>
            <w:vAlign w:val="center"/>
          </w:tcPr>
          <w:p w14:paraId="7D0EA3B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Camrelizumab 200 mg + paclitaxel/platinum or 5-FU/cisplatin</w:t>
            </w:r>
          </w:p>
        </w:tc>
        <w:tc>
          <w:tcPr>
            <w:tcW w:w="229" w:type="pct"/>
            <w:tcBorders>
              <w:top w:val="nil"/>
              <w:left w:val="nil"/>
              <w:bottom w:val="nil"/>
              <w:right w:val="nil"/>
            </w:tcBorders>
            <w:shd w:val="clear" w:color="auto" w:fill="FFFFFF"/>
            <w:vAlign w:val="center"/>
          </w:tcPr>
          <w:p w14:paraId="2D8A73A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Chemotherapy + IMRT</w:t>
            </w:r>
          </w:p>
        </w:tc>
        <w:tc>
          <w:tcPr>
            <w:tcW w:w="152" w:type="pct"/>
            <w:tcBorders>
              <w:top w:val="nil"/>
              <w:left w:val="nil"/>
              <w:bottom w:val="nil"/>
              <w:right w:val="nil"/>
            </w:tcBorders>
            <w:shd w:val="clear" w:color="auto" w:fill="FFFFFF"/>
            <w:vAlign w:val="center"/>
          </w:tcPr>
          <w:p w14:paraId="704C29A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41.4 Gy/23 fractions</w:t>
            </w:r>
          </w:p>
        </w:tc>
        <w:tc>
          <w:tcPr>
            <w:tcW w:w="201" w:type="pct"/>
            <w:tcBorders>
              <w:top w:val="nil"/>
              <w:left w:val="nil"/>
              <w:bottom w:val="nil"/>
              <w:right w:val="nil"/>
            </w:tcBorders>
            <w:shd w:val="clear" w:color="auto" w:fill="FFFFFF"/>
            <w:vAlign w:val="center"/>
          </w:tcPr>
          <w:p w14:paraId="59101D6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2–4</w:t>
            </w:r>
          </w:p>
        </w:tc>
        <w:tc>
          <w:tcPr>
            <w:tcW w:w="202" w:type="pct"/>
            <w:tcBorders>
              <w:top w:val="nil"/>
              <w:left w:val="nil"/>
              <w:bottom w:val="nil"/>
              <w:right w:val="nil"/>
            </w:tcBorders>
            <w:shd w:val="clear" w:color="auto" w:fill="FFFFFF"/>
            <w:vAlign w:val="center"/>
          </w:tcPr>
          <w:p w14:paraId="6FA9242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MIE/open: 73/18; 83/30</w:t>
            </w:r>
          </w:p>
        </w:tc>
        <w:tc>
          <w:tcPr>
            <w:tcW w:w="186" w:type="pct"/>
            <w:tcBorders>
              <w:top w:val="nil"/>
              <w:left w:val="nil"/>
              <w:bottom w:val="nil"/>
              <w:right w:val="nil"/>
            </w:tcBorders>
            <w:shd w:val="clear" w:color="auto" w:fill="FFFFFF"/>
            <w:vAlign w:val="center"/>
          </w:tcPr>
          <w:p w14:paraId="1C16333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7" w:type="pct"/>
            <w:tcBorders>
              <w:top w:val="nil"/>
              <w:left w:val="nil"/>
              <w:bottom w:val="nil"/>
              <w:right w:val="nil"/>
            </w:tcBorders>
            <w:shd w:val="clear" w:color="auto" w:fill="FFFFFF"/>
            <w:vAlign w:val="center"/>
          </w:tcPr>
          <w:p w14:paraId="0D75BF6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1" w:type="pct"/>
            <w:tcBorders>
              <w:top w:val="nil"/>
              <w:left w:val="nil"/>
              <w:bottom w:val="nil"/>
              <w:right w:val="nil"/>
            </w:tcBorders>
            <w:shd w:val="clear" w:color="auto" w:fill="FFFFFF"/>
            <w:vAlign w:val="center"/>
          </w:tcPr>
          <w:p w14:paraId="03C26E0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4–6 weeks</w:t>
            </w:r>
          </w:p>
        </w:tc>
        <w:tc>
          <w:tcPr>
            <w:tcW w:w="172" w:type="pct"/>
            <w:tcBorders>
              <w:top w:val="nil"/>
              <w:left w:val="nil"/>
              <w:bottom w:val="nil"/>
              <w:right w:val="nil"/>
            </w:tcBorders>
            <w:shd w:val="clear" w:color="auto" w:fill="FFFFFF"/>
            <w:vAlign w:val="center"/>
          </w:tcPr>
          <w:p w14:paraId="58EAC92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NICT 22.2 mo; NCRT 22.1 mo</w:t>
            </w:r>
          </w:p>
        </w:tc>
        <w:tc>
          <w:tcPr>
            <w:tcW w:w="156" w:type="pct"/>
            <w:tcBorders>
              <w:top w:val="nil"/>
              <w:left w:val="nil"/>
              <w:bottom w:val="nil"/>
              <w:right w:val="nil"/>
            </w:tcBorders>
            <w:shd w:val="clear" w:color="auto" w:fill="FFFFFF"/>
            <w:vAlign w:val="center"/>
          </w:tcPr>
          <w:p w14:paraId="5B40A34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23 (25.3); 62 (54.9)</w:t>
            </w:r>
          </w:p>
        </w:tc>
        <w:tc>
          <w:tcPr>
            <w:tcW w:w="139" w:type="pct"/>
            <w:tcBorders>
              <w:top w:val="nil"/>
              <w:left w:val="nil"/>
              <w:bottom w:val="nil"/>
              <w:right w:val="nil"/>
            </w:tcBorders>
            <w:shd w:val="clear" w:color="auto" w:fill="FFFFFF"/>
            <w:vAlign w:val="center"/>
          </w:tcPr>
          <w:p w14:paraId="48002CA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9" w:type="pct"/>
            <w:tcBorders>
              <w:top w:val="nil"/>
              <w:left w:val="nil"/>
              <w:bottom w:val="nil"/>
              <w:right w:val="nil"/>
            </w:tcBorders>
            <w:shd w:val="clear" w:color="auto" w:fill="FFFFFF"/>
            <w:vAlign w:val="center"/>
          </w:tcPr>
          <w:p w14:paraId="1C52AD9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8" w:type="pct"/>
            <w:tcBorders>
              <w:top w:val="nil"/>
              <w:left w:val="nil"/>
              <w:bottom w:val="nil"/>
              <w:right w:val="nil"/>
            </w:tcBorders>
            <w:shd w:val="clear" w:color="auto" w:fill="FFFFFF"/>
            <w:vAlign w:val="center"/>
          </w:tcPr>
          <w:p w14:paraId="262EF3C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3520854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16 (17.6); 41 (36.3)</w:t>
            </w:r>
          </w:p>
        </w:tc>
        <w:tc>
          <w:tcPr>
            <w:tcW w:w="150" w:type="pct"/>
            <w:tcBorders>
              <w:top w:val="nil"/>
              <w:left w:val="nil"/>
              <w:bottom w:val="nil"/>
              <w:right w:val="nil"/>
            </w:tcBorders>
            <w:shd w:val="clear" w:color="auto" w:fill="FFFFFF"/>
            <w:vAlign w:val="center"/>
          </w:tcPr>
          <w:p w14:paraId="65E536B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 (3.3); 5 (4.4)</w:t>
            </w:r>
          </w:p>
        </w:tc>
        <w:tc>
          <w:tcPr>
            <w:tcW w:w="137" w:type="pct"/>
            <w:tcBorders>
              <w:top w:val="nil"/>
              <w:left w:val="nil"/>
              <w:bottom w:val="nil"/>
              <w:right w:val="nil"/>
            </w:tcBorders>
            <w:shd w:val="clear" w:color="auto" w:fill="FFFFFF"/>
            <w:vAlign w:val="center"/>
          </w:tcPr>
          <w:p w14:paraId="26461DC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 (8.8); 20 (17.7)</w:t>
            </w:r>
          </w:p>
        </w:tc>
        <w:tc>
          <w:tcPr>
            <w:tcW w:w="118" w:type="pct"/>
            <w:tcBorders>
              <w:top w:val="nil"/>
              <w:left w:val="nil"/>
              <w:bottom w:val="nil"/>
              <w:right w:val="nil"/>
            </w:tcBorders>
            <w:shd w:val="clear" w:color="auto" w:fill="FFFFFF"/>
            <w:vAlign w:val="center"/>
          </w:tcPr>
          <w:p w14:paraId="2547BCB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 (3.3); 6 (5.3)</w:t>
            </w:r>
          </w:p>
        </w:tc>
        <w:tc>
          <w:tcPr>
            <w:tcW w:w="135" w:type="pct"/>
            <w:tcBorders>
              <w:top w:val="nil"/>
              <w:left w:val="nil"/>
              <w:bottom w:val="nil"/>
              <w:right w:val="nil"/>
            </w:tcBorders>
            <w:shd w:val="clear" w:color="auto" w:fill="FFFFFF"/>
            <w:vAlign w:val="center"/>
          </w:tcPr>
          <w:p w14:paraId="3F120ED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 (0.0); 1 (0.9)</w:t>
            </w:r>
          </w:p>
        </w:tc>
        <w:tc>
          <w:tcPr>
            <w:tcW w:w="210" w:type="pct"/>
            <w:tcBorders>
              <w:top w:val="nil"/>
              <w:left w:val="nil"/>
              <w:bottom w:val="nil"/>
              <w:right w:val="nil"/>
            </w:tcBorders>
            <w:shd w:val="clear" w:color="auto" w:fill="FFFFFF"/>
            <w:vAlign w:val="center"/>
          </w:tcPr>
          <w:p w14:paraId="49F1D57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38" w:type="pct"/>
            <w:tcBorders>
              <w:top w:val="nil"/>
              <w:left w:val="nil"/>
              <w:bottom w:val="nil"/>
              <w:right w:val="nil"/>
            </w:tcBorders>
            <w:shd w:val="clear" w:color="auto" w:fill="FFFFFF"/>
            <w:vAlign w:val="center"/>
          </w:tcPr>
          <w:p w14:paraId="79065AE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90" w:type="pct"/>
            <w:tcBorders>
              <w:top w:val="nil"/>
              <w:left w:val="nil"/>
              <w:bottom w:val="nil"/>
              <w:right w:val="nil"/>
            </w:tcBorders>
            <w:shd w:val="clear" w:color="auto" w:fill="FFFFFF"/>
            <w:vAlign w:val="center"/>
          </w:tcPr>
          <w:p w14:paraId="29B34E3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371" w:type="pct"/>
            <w:tcBorders>
              <w:top w:val="nil"/>
              <w:left w:val="nil"/>
              <w:bottom w:val="nil"/>
              <w:right w:val="nil"/>
            </w:tcBorders>
            <w:shd w:val="clear" w:color="auto" w:fill="FFFFFF"/>
            <w:vAlign w:val="center"/>
          </w:tcPr>
          <w:p w14:paraId="2BF9DC6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2-y RFS: 81.3%; 73.5%</w:t>
            </w:r>
          </w:p>
        </w:tc>
        <w:tc>
          <w:tcPr>
            <w:tcW w:w="324" w:type="pct"/>
            <w:tcBorders>
              <w:top w:val="nil"/>
              <w:left w:val="nil"/>
              <w:bottom w:val="nil"/>
              <w:right w:val="nil"/>
            </w:tcBorders>
            <w:shd w:val="clear" w:color="auto" w:fill="FFFFFF"/>
            <w:vAlign w:val="center"/>
          </w:tcPr>
          <w:p w14:paraId="7D8F0CA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2-y OS: 93.4%; 84.1%</w:t>
            </w:r>
          </w:p>
        </w:tc>
        <w:tc>
          <w:tcPr>
            <w:tcW w:w="142" w:type="pct"/>
            <w:tcBorders>
              <w:top w:val="nil"/>
              <w:left w:val="nil"/>
              <w:bottom w:val="nil"/>
              <w:right w:val="nil"/>
            </w:tcBorders>
            <w:shd w:val="clear" w:color="auto" w:fill="FFFFFF"/>
            <w:vAlign w:val="center"/>
          </w:tcPr>
          <w:p w14:paraId="115EB79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79" w:type="pct"/>
            <w:tcBorders>
              <w:top w:val="nil"/>
              <w:left w:val="nil"/>
              <w:bottom w:val="nil"/>
              <w:right w:val="nil"/>
            </w:tcBorders>
            <w:shd w:val="clear" w:color="auto" w:fill="FFFFFF"/>
            <w:vAlign w:val="center"/>
          </w:tcPr>
          <w:p w14:paraId="12661EB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r>
      <w:tr w14:paraId="33051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5C35BB9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Deng et al. [18]</w:t>
            </w:r>
          </w:p>
        </w:tc>
        <w:tc>
          <w:tcPr>
            <w:tcW w:w="145" w:type="pct"/>
            <w:tcBorders>
              <w:top w:val="nil"/>
              <w:left w:val="nil"/>
              <w:bottom w:val="nil"/>
              <w:right w:val="nil"/>
            </w:tcBorders>
            <w:shd w:val="clear" w:color="auto" w:fill="FFFFFF"/>
            <w:vAlign w:val="center"/>
          </w:tcPr>
          <w:p w14:paraId="6F2821F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nCRT</w:t>
            </w:r>
          </w:p>
        </w:tc>
        <w:tc>
          <w:tcPr>
            <w:tcW w:w="233" w:type="pct"/>
            <w:tcBorders>
              <w:top w:val="nil"/>
              <w:left w:val="nil"/>
              <w:bottom w:val="nil"/>
              <w:right w:val="nil"/>
            </w:tcBorders>
            <w:shd w:val="clear" w:color="auto" w:fill="FFFFFF"/>
            <w:vAlign w:val="center"/>
          </w:tcPr>
          <w:p w14:paraId="7B8E6AA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ICI + TP chemotherapy</w:t>
            </w:r>
          </w:p>
        </w:tc>
        <w:tc>
          <w:tcPr>
            <w:tcW w:w="229" w:type="pct"/>
            <w:tcBorders>
              <w:top w:val="nil"/>
              <w:left w:val="nil"/>
              <w:bottom w:val="nil"/>
              <w:right w:val="nil"/>
            </w:tcBorders>
            <w:shd w:val="clear" w:color="auto" w:fill="FFFFFF"/>
            <w:vAlign w:val="center"/>
          </w:tcPr>
          <w:p w14:paraId="471679C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Concurrent chemoradiotherapy</w:t>
            </w:r>
          </w:p>
        </w:tc>
        <w:tc>
          <w:tcPr>
            <w:tcW w:w="152" w:type="pct"/>
            <w:tcBorders>
              <w:top w:val="nil"/>
              <w:left w:val="nil"/>
              <w:bottom w:val="nil"/>
              <w:right w:val="nil"/>
            </w:tcBorders>
            <w:shd w:val="clear" w:color="auto" w:fill="FFFFFF"/>
            <w:vAlign w:val="center"/>
          </w:tcPr>
          <w:p w14:paraId="6242209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40–50 Gy/20–25 fractions</w:t>
            </w:r>
          </w:p>
        </w:tc>
        <w:tc>
          <w:tcPr>
            <w:tcW w:w="201" w:type="pct"/>
            <w:tcBorders>
              <w:top w:val="nil"/>
              <w:left w:val="nil"/>
              <w:bottom w:val="nil"/>
              <w:right w:val="nil"/>
            </w:tcBorders>
            <w:shd w:val="clear" w:color="auto" w:fill="FFFFFF"/>
            <w:vAlign w:val="center"/>
          </w:tcPr>
          <w:p w14:paraId="66F9E46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02" w:type="pct"/>
            <w:tcBorders>
              <w:top w:val="nil"/>
              <w:left w:val="nil"/>
              <w:bottom w:val="nil"/>
              <w:right w:val="nil"/>
            </w:tcBorders>
            <w:shd w:val="clear" w:color="auto" w:fill="FFFFFF"/>
            <w:vAlign w:val="center"/>
          </w:tcPr>
          <w:p w14:paraId="20C4CAF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Minimally invasive McKeown esophagectomy</w:t>
            </w:r>
          </w:p>
        </w:tc>
        <w:tc>
          <w:tcPr>
            <w:tcW w:w="186" w:type="pct"/>
            <w:tcBorders>
              <w:top w:val="nil"/>
              <w:left w:val="nil"/>
              <w:bottom w:val="nil"/>
              <w:right w:val="nil"/>
            </w:tcBorders>
            <w:shd w:val="clear" w:color="auto" w:fill="FFFFFF"/>
            <w:vAlign w:val="center"/>
          </w:tcPr>
          <w:p w14:paraId="3CD723F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7" w:type="pct"/>
            <w:tcBorders>
              <w:top w:val="nil"/>
              <w:left w:val="nil"/>
              <w:bottom w:val="nil"/>
              <w:right w:val="nil"/>
            </w:tcBorders>
            <w:shd w:val="clear" w:color="auto" w:fill="FFFFFF"/>
            <w:vAlign w:val="center"/>
          </w:tcPr>
          <w:p w14:paraId="352E469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1" w:type="pct"/>
            <w:tcBorders>
              <w:top w:val="nil"/>
              <w:left w:val="nil"/>
              <w:bottom w:val="nil"/>
              <w:right w:val="nil"/>
            </w:tcBorders>
            <w:shd w:val="clear" w:color="auto" w:fill="FFFFFF"/>
            <w:vAlign w:val="center"/>
          </w:tcPr>
          <w:p w14:paraId="69F9595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72" w:type="pct"/>
            <w:tcBorders>
              <w:top w:val="nil"/>
              <w:left w:val="nil"/>
              <w:bottom w:val="nil"/>
              <w:right w:val="nil"/>
            </w:tcBorders>
            <w:shd w:val="clear" w:color="auto" w:fill="FFFFFF"/>
            <w:vAlign w:val="center"/>
          </w:tcPr>
          <w:p w14:paraId="08FACBF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44.5 mo; nCRT 35.1 mo</w:t>
            </w:r>
          </w:p>
        </w:tc>
        <w:tc>
          <w:tcPr>
            <w:tcW w:w="156" w:type="pct"/>
            <w:tcBorders>
              <w:top w:val="nil"/>
              <w:left w:val="nil"/>
              <w:bottom w:val="nil"/>
              <w:right w:val="nil"/>
            </w:tcBorders>
            <w:shd w:val="clear" w:color="auto" w:fill="FFFFFF"/>
            <w:vAlign w:val="center"/>
          </w:tcPr>
          <w:p w14:paraId="4031819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13 (14.9); 33 (37.9)</w:t>
            </w:r>
          </w:p>
        </w:tc>
        <w:tc>
          <w:tcPr>
            <w:tcW w:w="139" w:type="pct"/>
            <w:tcBorders>
              <w:top w:val="nil"/>
              <w:left w:val="nil"/>
              <w:bottom w:val="nil"/>
              <w:right w:val="nil"/>
            </w:tcBorders>
            <w:shd w:val="clear" w:color="auto" w:fill="FFFFFF"/>
            <w:vAlign w:val="center"/>
          </w:tcPr>
          <w:p w14:paraId="0707588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37 (42.5); 51 (58.6)</w:t>
            </w:r>
          </w:p>
        </w:tc>
        <w:tc>
          <w:tcPr>
            <w:tcW w:w="159" w:type="pct"/>
            <w:tcBorders>
              <w:top w:val="nil"/>
              <w:left w:val="nil"/>
              <w:bottom w:val="nil"/>
              <w:right w:val="nil"/>
            </w:tcBorders>
            <w:shd w:val="clear" w:color="auto" w:fill="FFFFFF"/>
            <w:vAlign w:val="center"/>
          </w:tcPr>
          <w:p w14:paraId="5C583AA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8" w:type="pct"/>
            <w:tcBorders>
              <w:top w:val="nil"/>
              <w:left w:val="nil"/>
              <w:bottom w:val="nil"/>
              <w:right w:val="nil"/>
            </w:tcBorders>
            <w:shd w:val="clear" w:color="auto" w:fill="FFFFFF"/>
            <w:vAlign w:val="center"/>
          </w:tcPr>
          <w:p w14:paraId="2519EEA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0A61782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7730821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21 (24.1); 32 (36.8)</w:t>
            </w:r>
          </w:p>
        </w:tc>
        <w:tc>
          <w:tcPr>
            <w:tcW w:w="137" w:type="pct"/>
            <w:tcBorders>
              <w:top w:val="nil"/>
              <w:left w:val="nil"/>
              <w:bottom w:val="nil"/>
              <w:right w:val="nil"/>
            </w:tcBorders>
            <w:shd w:val="clear" w:color="auto" w:fill="FFFFFF"/>
            <w:vAlign w:val="center"/>
          </w:tcPr>
          <w:p w14:paraId="278CFAE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8" w:type="pct"/>
            <w:tcBorders>
              <w:top w:val="nil"/>
              <w:left w:val="nil"/>
              <w:bottom w:val="nil"/>
              <w:right w:val="nil"/>
            </w:tcBorders>
            <w:shd w:val="clear" w:color="auto" w:fill="FFFFFF"/>
            <w:vAlign w:val="center"/>
          </w:tcPr>
          <w:p w14:paraId="5BB6E54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5AC4FBE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10" w:type="pct"/>
            <w:tcBorders>
              <w:top w:val="nil"/>
              <w:left w:val="nil"/>
              <w:bottom w:val="nil"/>
              <w:right w:val="nil"/>
            </w:tcBorders>
            <w:shd w:val="clear" w:color="auto" w:fill="FFFFFF"/>
            <w:vAlign w:val="center"/>
          </w:tcPr>
          <w:p w14:paraId="7F04AC1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38" w:type="pct"/>
            <w:tcBorders>
              <w:top w:val="nil"/>
              <w:left w:val="nil"/>
              <w:bottom w:val="nil"/>
              <w:right w:val="nil"/>
            </w:tcBorders>
            <w:shd w:val="clear" w:color="auto" w:fill="FFFFFF"/>
            <w:vAlign w:val="center"/>
          </w:tcPr>
          <w:p w14:paraId="0563326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90" w:type="pct"/>
            <w:tcBorders>
              <w:top w:val="nil"/>
              <w:left w:val="nil"/>
              <w:bottom w:val="nil"/>
              <w:right w:val="nil"/>
            </w:tcBorders>
            <w:shd w:val="clear" w:color="auto" w:fill="FFFFFF"/>
            <w:vAlign w:val="center"/>
          </w:tcPr>
          <w:p w14:paraId="2FBF640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371" w:type="pct"/>
            <w:tcBorders>
              <w:top w:val="nil"/>
              <w:left w:val="nil"/>
              <w:bottom w:val="nil"/>
              <w:right w:val="nil"/>
            </w:tcBorders>
            <w:shd w:val="clear" w:color="auto" w:fill="FFFFFF"/>
            <w:vAlign w:val="center"/>
          </w:tcPr>
          <w:p w14:paraId="178A05D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1-y DFS: 91.72%; 76.55%; 2-y DFS: 76.73%; 55.09%; 3-y DFS: 66.35%; 47.32%</w:t>
            </w:r>
          </w:p>
        </w:tc>
        <w:tc>
          <w:tcPr>
            <w:tcW w:w="324" w:type="pct"/>
            <w:tcBorders>
              <w:top w:val="nil"/>
              <w:left w:val="nil"/>
              <w:bottom w:val="nil"/>
              <w:right w:val="nil"/>
            </w:tcBorders>
            <w:shd w:val="clear" w:color="auto" w:fill="FFFFFF"/>
            <w:vAlign w:val="center"/>
          </w:tcPr>
          <w:p w14:paraId="4B58D6B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1-y OS: 96.43%; 88.27%; 2-y OS: 82.49%; 68.03%; 3-y OS: 75.89%; 55.57%</w:t>
            </w:r>
          </w:p>
        </w:tc>
        <w:tc>
          <w:tcPr>
            <w:tcW w:w="142" w:type="pct"/>
            <w:tcBorders>
              <w:top w:val="nil"/>
              <w:left w:val="nil"/>
              <w:bottom w:val="nil"/>
              <w:right w:val="nil"/>
            </w:tcBorders>
            <w:shd w:val="clear" w:color="auto" w:fill="FFFFFF"/>
            <w:vAlign w:val="center"/>
          </w:tcPr>
          <w:p w14:paraId="690EF2A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bookmarkStart w:id="0" w:name="_GoBack"/>
            <w:bookmarkEnd w:id="0"/>
          </w:p>
        </w:tc>
        <w:tc>
          <w:tcPr>
            <w:tcW w:w="179" w:type="pct"/>
            <w:tcBorders>
              <w:top w:val="nil"/>
              <w:left w:val="nil"/>
              <w:bottom w:val="nil"/>
              <w:right w:val="nil"/>
            </w:tcBorders>
            <w:shd w:val="clear" w:color="auto" w:fill="FFFFFF"/>
            <w:vAlign w:val="center"/>
          </w:tcPr>
          <w:p w14:paraId="7F34EA2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r>
      <w:tr w14:paraId="1A278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032BA78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Duan et al. [19]</w:t>
            </w:r>
          </w:p>
        </w:tc>
        <w:tc>
          <w:tcPr>
            <w:tcW w:w="145" w:type="pct"/>
            <w:tcBorders>
              <w:top w:val="nil"/>
              <w:left w:val="nil"/>
              <w:bottom w:val="nil"/>
              <w:right w:val="nil"/>
            </w:tcBorders>
            <w:shd w:val="clear" w:color="auto" w:fill="FFFFFF"/>
            <w:vAlign w:val="center"/>
          </w:tcPr>
          <w:p w14:paraId="08284A5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NCRT</w:t>
            </w:r>
          </w:p>
        </w:tc>
        <w:tc>
          <w:tcPr>
            <w:tcW w:w="233" w:type="pct"/>
            <w:tcBorders>
              <w:top w:val="nil"/>
              <w:left w:val="nil"/>
              <w:bottom w:val="nil"/>
              <w:right w:val="nil"/>
            </w:tcBorders>
            <w:shd w:val="clear" w:color="auto" w:fill="FFFFFF"/>
            <w:vAlign w:val="center"/>
          </w:tcPr>
          <w:p w14:paraId="0219741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PD-1/PD-L1 inhibitor + chemotherapy</w:t>
            </w:r>
          </w:p>
        </w:tc>
        <w:tc>
          <w:tcPr>
            <w:tcW w:w="229" w:type="pct"/>
            <w:tcBorders>
              <w:top w:val="nil"/>
              <w:left w:val="nil"/>
              <w:bottom w:val="nil"/>
              <w:right w:val="nil"/>
            </w:tcBorders>
            <w:shd w:val="clear" w:color="auto" w:fill="FFFFFF"/>
            <w:vAlign w:val="center"/>
          </w:tcPr>
          <w:p w14:paraId="4276952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Chemotherapy + radiotherapy</w:t>
            </w:r>
          </w:p>
        </w:tc>
        <w:tc>
          <w:tcPr>
            <w:tcW w:w="152" w:type="pct"/>
            <w:tcBorders>
              <w:top w:val="nil"/>
              <w:left w:val="nil"/>
              <w:bottom w:val="nil"/>
              <w:right w:val="nil"/>
            </w:tcBorders>
            <w:shd w:val="clear" w:color="auto" w:fill="FFFFFF"/>
            <w:vAlign w:val="center"/>
          </w:tcPr>
          <w:p w14:paraId="55FC7BE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40–41.4 Gy/20–23 fractions</w:t>
            </w:r>
          </w:p>
        </w:tc>
        <w:tc>
          <w:tcPr>
            <w:tcW w:w="201" w:type="pct"/>
            <w:tcBorders>
              <w:top w:val="nil"/>
              <w:left w:val="nil"/>
              <w:bottom w:val="nil"/>
              <w:right w:val="nil"/>
            </w:tcBorders>
            <w:shd w:val="clear" w:color="auto" w:fill="FFFFFF"/>
            <w:vAlign w:val="center"/>
          </w:tcPr>
          <w:p w14:paraId="48C949E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mostly 3 cycles; NCRT concurrent/sequential</w:t>
            </w:r>
          </w:p>
        </w:tc>
        <w:tc>
          <w:tcPr>
            <w:tcW w:w="202" w:type="pct"/>
            <w:tcBorders>
              <w:top w:val="nil"/>
              <w:left w:val="nil"/>
              <w:bottom w:val="nil"/>
              <w:right w:val="nil"/>
            </w:tcBorders>
            <w:shd w:val="clear" w:color="auto" w:fill="FFFFFF"/>
            <w:vAlign w:val="center"/>
          </w:tcPr>
          <w:p w14:paraId="5A0761A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Three-incision McKeown esophagectomy</w:t>
            </w:r>
          </w:p>
        </w:tc>
        <w:tc>
          <w:tcPr>
            <w:tcW w:w="186" w:type="pct"/>
            <w:tcBorders>
              <w:top w:val="nil"/>
              <w:left w:val="nil"/>
              <w:bottom w:val="nil"/>
              <w:right w:val="nil"/>
            </w:tcBorders>
            <w:shd w:val="clear" w:color="auto" w:fill="FFFFFF"/>
            <w:vAlign w:val="center"/>
          </w:tcPr>
          <w:p w14:paraId="0B94B9A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Lymph node dissection</w:t>
            </w:r>
          </w:p>
        </w:tc>
        <w:tc>
          <w:tcPr>
            <w:tcW w:w="167" w:type="pct"/>
            <w:tcBorders>
              <w:top w:val="nil"/>
              <w:left w:val="nil"/>
              <w:bottom w:val="nil"/>
              <w:right w:val="nil"/>
            </w:tcBorders>
            <w:shd w:val="clear" w:color="auto" w:fill="FFFFFF"/>
            <w:vAlign w:val="center"/>
          </w:tcPr>
          <w:p w14:paraId="4F70522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1" w:type="pct"/>
            <w:tcBorders>
              <w:top w:val="nil"/>
              <w:left w:val="nil"/>
              <w:bottom w:val="nil"/>
              <w:right w:val="nil"/>
            </w:tcBorders>
            <w:shd w:val="clear" w:color="auto" w:fill="FFFFFF"/>
            <w:vAlign w:val="center"/>
          </w:tcPr>
          <w:p w14:paraId="3DEEAE2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34.7 ± 8.8 d; 47.1 ± 13.2 d</w:t>
            </w:r>
          </w:p>
        </w:tc>
        <w:tc>
          <w:tcPr>
            <w:tcW w:w="172" w:type="pct"/>
            <w:tcBorders>
              <w:top w:val="nil"/>
              <w:left w:val="nil"/>
              <w:bottom w:val="nil"/>
              <w:right w:val="nil"/>
            </w:tcBorders>
            <w:shd w:val="clear" w:color="auto" w:fill="FFFFFF"/>
            <w:vAlign w:val="center"/>
          </w:tcPr>
          <w:p w14:paraId="4D79D70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27 mo; NCRT 33 mo</w:t>
            </w:r>
          </w:p>
        </w:tc>
        <w:tc>
          <w:tcPr>
            <w:tcW w:w="156" w:type="pct"/>
            <w:tcBorders>
              <w:top w:val="nil"/>
              <w:left w:val="nil"/>
              <w:bottom w:val="nil"/>
              <w:right w:val="nil"/>
            </w:tcBorders>
            <w:shd w:val="clear" w:color="auto" w:fill="FFFFFF"/>
            <w:vAlign w:val="center"/>
          </w:tcPr>
          <w:p w14:paraId="1A0D311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17/66 (25.8); 18/66 (27.3)</w:t>
            </w:r>
          </w:p>
        </w:tc>
        <w:tc>
          <w:tcPr>
            <w:tcW w:w="139" w:type="pct"/>
            <w:tcBorders>
              <w:top w:val="nil"/>
              <w:left w:val="nil"/>
              <w:bottom w:val="nil"/>
              <w:right w:val="nil"/>
            </w:tcBorders>
            <w:shd w:val="clear" w:color="auto" w:fill="FFFFFF"/>
            <w:vAlign w:val="center"/>
          </w:tcPr>
          <w:p w14:paraId="7374874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41/66 (62.1); 37/66 (56.1)</w:t>
            </w:r>
          </w:p>
        </w:tc>
        <w:tc>
          <w:tcPr>
            <w:tcW w:w="159" w:type="pct"/>
            <w:tcBorders>
              <w:top w:val="nil"/>
              <w:left w:val="nil"/>
              <w:bottom w:val="nil"/>
              <w:right w:val="nil"/>
            </w:tcBorders>
            <w:shd w:val="clear" w:color="auto" w:fill="FFFFFF"/>
            <w:vAlign w:val="center"/>
          </w:tcPr>
          <w:p w14:paraId="044155F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8" w:type="pct"/>
            <w:tcBorders>
              <w:top w:val="nil"/>
              <w:left w:val="nil"/>
              <w:bottom w:val="nil"/>
              <w:right w:val="nil"/>
            </w:tcBorders>
            <w:shd w:val="clear" w:color="auto" w:fill="FFFFFF"/>
            <w:vAlign w:val="center"/>
          </w:tcPr>
          <w:p w14:paraId="3FB6164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33.6 ± 12.7; 21.7 ± 10.2</w:t>
            </w:r>
          </w:p>
        </w:tc>
        <w:tc>
          <w:tcPr>
            <w:tcW w:w="150" w:type="pct"/>
            <w:tcBorders>
              <w:top w:val="nil"/>
              <w:left w:val="nil"/>
              <w:bottom w:val="nil"/>
              <w:right w:val="nil"/>
            </w:tcBorders>
            <w:shd w:val="clear" w:color="auto" w:fill="FFFFFF"/>
            <w:vAlign w:val="center"/>
          </w:tcPr>
          <w:p w14:paraId="747C471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14/66 (21.2); 21/66 (31.8)</w:t>
            </w:r>
          </w:p>
        </w:tc>
        <w:tc>
          <w:tcPr>
            <w:tcW w:w="150" w:type="pct"/>
            <w:tcBorders>
              <w:top w:val="nil"/>
              <w:left w:val="nil"/>
              <w:bottom w:val="nil"/>
              <w:right w:val="nil"/>
            </w:tcBorders>
            <w:shd w:val="clear" w:color="auto" w:fill="FFFFFF"/>
            <w:vAlign w:val="center"/>
          </w:tcPr>
          <w:p w14:paraId="33C1C07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7" w:type="pct"/>
            <w:tcBorders>
              <w:top w:val="nil"/>
              <w:left w:val="nil"/>
              <w:bottom w:val="nil"/>
              <w:right w:val="nil"/>
            </w:tcBorders>
            <w:shd w:val="clear" w:color="auto" w:fill="FFFFFF"/>
            <w:vAlign w:val="center"/>
          </w:tcPr>
          <w:p w14:paraId="6957F47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3/66 (4.5); 7/66 (10.6)</w:t>
            </w:r>
          </w:p>
        </w:tc>
        <w:tc>
          <w:tcPr>
            <w:tcW w:w="118" w:type="pct"/>
            <w:tcBorders>
              <w:top w:val="nil"/>
              <w:left w:val="nil"/>
              <w:bottom w:val="nil"/>
              <w:right w:val="nil"/>
            </w:tcBorders>
            <w:shd w:val="clear" w:color="auto" w:fill="FFFFFF"/>
            <w:vAlign w:val="center"/>
          </w:tcPr>
          <w:p w14:paraId="121BD5A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572690B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10" w:type="pct"/>
            <w:tcBorders>
              <w:top w:val="nil"/>
              <w:left w:val="nil"/>
              <w:bottom w:val="nil"/>
              <w:right w:val="nil"/>
            </w:tcBorders>
            <w:shd w:val="clear" w:color="auto" w:fill="FFFFFF"/>
            <w:vAlign w:val="center"/>
          </w:tcPr>
          <w:p w14:paraId="6B65F0E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6/65 (9.2); 18/60 (30.0)</w:t>
            </w:r>
          </w:p>
        </w:tc>
        <w:tc>
          <w:tcPr>
            <w:tcW w:w="238" w:type="pct"/>
            <w:tcBorders>
              <w:top w:val="nil"/>
              <w:left w:val="nil"/>
              <w:bottom w:val="nil"/>
              <w:right w:val="nil"/>
            </w:tcBorders>
            <w:shd w:val="clear" w:color="auto" w:fill="FFFFFF"/>
            <w:vAlign w:val="center"/>
          </w:tcPr>
          <w:p w14:paraId="02AA91C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4/65 (6.2); 7/60 (11.7)</w:t>
            </w:r>
          </w:p>
        </w:tc>
        <w:tc>
          <w:tcPr>
            <w:tcW w:w="290" w:type="pct"/>
            <w:tcBorders>
              <w:top w:val="nil"/>
              <w:left w:val="nil"/>
              <w:bottom w:val="nil"/>
              <w:right w:val="nil"/>
            </w:tcBorders>
            <w:shd w:val="clear" w:color="auto" w:fill="FFFFFF"/>
            <w:vAlign w:val="center"/>
          </w:tcPr>
          <w:p w14:paraId="2CE0F7F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1/65 (1.5); 8/60 (13.3)</w:t>
            </w:r>
          </w:p>
        </w:tc>
        <w:tc>
          <w:tcPr>
            <w:tcW w:w="371" w:type="pct"/>
            <w:tcBorders>
              <w:top w:val="nil"/>
              <w:left w:val="nil"/>
              <w:bottom w:val="nil"/>
              <w:right w:val="nil"/>
            </w:tcBorders>
            <w:shd w:val="clear" w:color="auto" w:fill="FFFFFF"/>
            <w:vAlign w:val="center"/>
          </w:tcPr>
          <w:p w14:paraId="5E4FB1D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2-y DFS: 70.0%; 50.8%</w:t>
            </w:r>
          </w:p>
        </w:tc>
        <w:tc>
          <w:tcPr>
            <w:tcW w:w="324" w:type="pct"/>
            <w:tcBorders>
              <w:top w:val="nil"/>
              <w:left w:val="nil"/>
              <w:bottom w:val="nil"/>
              <w:right w:val="nil"/>
            </w:tcBorders>
            <w:shd w:val="clear" w:color="auto" w:fill="FFFFFF"/>
            <w:vAlign w:val="center"/>
          </w:tcPr>
          <w:p w14:paraId="772C1E6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2-y OS: 80.2%; 62.2%</w:t>
            </w:r>
          </w:p>
        </w:tc>
        <w:tc>
          <w:tcPr>
            <w:tcW w:w="142" w:type="pct"/>
            <w:tcBorders>
              <w:top w:val="nil"/>
              <w:left w:val="nil"/>
              <w:bottom w:val="nil"/>
              <w:right w:val="nil"/>
            </w:tcBorders>
            <w:shd w:val="clear" w:color="auto" w:fill="FFFFFF"/>
            <w:vAlign w:val="center"/>
          </w:tcPr>
          <w:p w14:paraId="1CE456B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79" w:type="pct"/>
            <w:tcBorders>
              <w:top w:val="nil"/>
              <w:left w:val="nil"/>
              <w:bottom w:val="nil"/>
              <w:right w:val="nil"/>
            </w:tcBorders>
            <w:shd w:val="clear" w:color="auto" w:fill="FFFFFF"/>
            <w:vAlign w:val="center"/>
          </w:tcPr>
          <w:p w14:paraId="5FF1DB8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r>
      <w:tr w14:paraId="49BCC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6EBB2AB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Guo et al. [11]</w:t>
            </w:r>
          </w:p>
        </w:tc>
        <w:tc>
          <w:tcPr>
            <w:tcW w:w="145" w:type="pct"/>
            <w:tcBorders>
              <w:top w:val="nil"/>
              <w:left w:val="nil"/>
              <w:bottom w:val="nil"/>
              <w:right w:val="nil"/>
            </w:tcBorders>
            <w:shd w:val="clear" w:color="auto" w:fill="FFFFFF"/>
            <w:vAlign w:val="center"/>
          </w:tcPr>
          <w:p w14:paraId="7F91D4F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NCRT</w:t>
            </w:r>
          </w:p>
        </w:tc>
        <w:tc>
          <w:tcPr>
            <w:tcW w:w="233" w:type="pct"/>
            <w:tcBorders>
              <w:top w:val="nil"/>
              <w:left w:val="nil"/>
              <w:bottom w:val="nil"/>
              <w:right w:val="nil"/>
            </w:tcBorders>
            <w:shd w:val="clear" w:color="auto" w:fill="FFFFFF"/>
            <w:vAlign w:val="center"/>
          </w:tcPr>
          <w:p w14:paraId="2528096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Immune checkpoint inhibitor + chemotherapy</w:t>
            </w:r>
          </w:p>
        </w:tc>
        <w:tc>
          <w:tcPr>
            <w:tcW w:w="229" w:type="pct"/>
            <w:tcBorders>
              <w:top w:val="nil"/>
              <w:left w:val="nil"/>
              <w:bottom w:val="nil"/>
              <w:right w:val="nil"/>
            </w:tcBorders>
            <w:shd w:val="clear" w:color="auto" w:fill="FFFFFF"/>
            <w:vAlign w:val="center"/>
          </w:tcPr>
          <w:p w14:paraId="5E9640F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Chemotherapy + radiotherapy</w:t>
            </w:r>
          </w:p>
        </w:tc>
        <w:tc>
          <w:tcPr>
            <w:tcW w:w="152" w:type="pct"/>
            <w:tcBorders>
              <w:top w:val="nil"/>
              <w:left w:val="nil"/>
              <w:bottom w:val="nil"/>
              <w:right w:val="nil"/>
            </w:tcBorders>
            <w:shd w:val="clear" w:color="auto" w:fill="FFFFFF"/>
            <w:vAlign w:val="center"/>
          </w:tcPr>
          <w:p w14:paraId="2D6EA3F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01" w:type="pct"/>
            <w:tcBorders>
              <w:top w:val="nil"/>
              <w:left w:val="nil"/>
              <w:bottom w:val="nil"/>
              <w:right w:val="nil"/>
            </w:tcBorders>
            <w:shd w:val="clear" w:color="auto" w:fill="FFFFFF"/>
            <w:vAlign w:val="center"/>
          </w:tcPr>
          <w:p w14:paraId="5ECA7F3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02" w:type="pct"/>
            <w:tcBorders>
              <w:top w:val="nil"/>
              <w:left w:val="nil"/>
              <w:bottom w:val="nil"/>
              <w:right w:val="nil"/>
            </w:tcBorders>
            <w:shd w:val="clear" w:color="auto" w:fill="FFFFFF"/>
            <w:vAlign w:val="center"/>
          </w:tcPr>
          <w:p w14:paraId="5B96249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Esophagectomy</w:t>
            </w:r>
          </w:p>
        </w:tc>
        <w:tc>
          <w:tcPr>
            <w:tcW w:w="186" w:type="pct"/>
            <w:tcBorders>
              <w:top w:val="nil"/>
              <w:left w:val="nil"/>
              <w:bottom w:val="nil"/>
              <w:right w:val="nil"/>
            </w:tcBorders>
            <w:shd w:val="clear" w:color="auto" w:fill="FFFFFF"/>
            <w:vAlign w:val="center"/>
          </w:tcPr>
          <w:p w14:paraId="3414847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7" w:type="pct"/>
            <w:tcBorders>
              <w:top w:val="nil"/>
              <w:left w:val="nil"/>
              <w:bottom w:val="nil"/>
              <w:right w:val="nil"/>
            </w:tcBorders>
            <w:shd w:val="clear" w:color="auto" w:fill="FFFFFF"/>
            <w:vAlign w:val="center"/>
          </w:tcPr>
          <w:p w14:paraId="246ED98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1" w:type="pct"/>
            <w:tcBorders>
              <w:top w:val="nil"/>
              <w:left w:val="nil"/>
              <w:bottom w:val="nil"/>
              <w:right w:val="nil"/>
            </w:tcBorders>
            <w:shd w:val="clear" w:color="auto" w:fill="FFFFFF"/>
            <w:vAlign w:val="center"/>
          </w:tcPr>
          <w:p w14:paraId="46EC4F1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72" w:type="pct"/>
            <w:tcBorders>
              <w:top w:val="nil"/>
              <w:left w:val="nil"/>
              <w:bottom w:val="nil"/>
              <w:right w:val="nil"/>
            </w:tcBorders>
            <w:shd w:val="clear" w:color="auto" w:fill="FFFFFF"/>
            <w:vAlign w:val="center"/>
          </w:tcPr>
          <w:p w14:paraId="6231C3D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30.2 mo; NCRT 32.4 mo</w:t>
            </w:r>
          </w:p>
        </w:tc>
        <w:tc>
          <w:tcPr>
            <w:tcW w:w="156" w:type="pct"/>
            <w:tcBorders>
              <w:top w:val="nil"/>
              <w:left w:val="nil"/>
              <w:bottom w:val="nil"/>
              <w:right w:val="nil"/>
            </w:tcBorders>
            <w:shd w:val="clear" w:color="auto" w:fill="FFFFFF"/>
            <w:vAlign w:val="center"/>
          </w:tcPr>
          <w:p w14:paraId="1C9F06D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122 (22.9); 138 (25.9)</w:t>
            </w:r>
          </w:p>
        </w:tc>
        <w:tc>
          <w:tcPr>
            <w:tcW w:w="139" w:type="pct"/>
            <w:tcBorders>
              <w:top w:val="nil"/>
              <w:left w:val="nil"/>
              <w:bottom w:val="nil"/>
              <w:right w:val="nil"/>
            </w:tcBorders>
            <w:shd w:val="clear" w:color="auto" w:fill="FFFFFF"/>
            <w:vAlign w:val="center"/>
          </w:tcPr>
          <w:p w14:paraId="69F7230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327 (61.5); 382 (71.8)</w:t>
            </w:r>
          </w:p>
        </w:tc>
        <w:tc>
          <w:tcPr>
            <w:tcW w:w="159" w:type="pct"/>
            <w:tcBorders>
              <w:top w:val="nil"/>
              <w:left w:val="nil"/>
              <w:bottom w:val="nil"/>
              <w:right w:val="nil"/>
            </w:tcBorders>
            <w:shd w:val="clear" w:color="auto" w:fill="FFFFFF"/>
            <w:vAlign w:val="center"/>
          </w:tcPr>
          <w:p w14:paraId="3529CAA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8" w:type="pct"/>
            <w:tcBorders>
              <w:top w:val="nil"/>
              <w:left w:val="nil"/>
              <w:bottom w:val="nil"/>
              <w:right w:val="nil"/>
            </w:tcBorders>
            <w:shd w:val="clear" w:color="auto" w:fill="FFFFFF"/>
            <w:vAlign w:val="center"/>
          </w:tcPr>
          <w:p w14:paraId="264C04E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629D857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7411D00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7" w:type="pct"/>
            <w:tcBorders>
              <w:top w:val="nil"/>
              <w:left w:val="nil"/>
              <w:bottom w:val="nil"/>
              <w:right w:val="nil"/>
            </w:tcBorders>
            <w:shd w:val="clear" w:color="auto" w:fill="FFFFFF"/>
            <w:vAlign w:val="center"/>
          </w:tcPr>
          <w:p w14:paraId="3F86BD2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8" w:type="pct"/>
            <w:tcBorders>
              <w:top w:val="nil"/>
              <w:left w:val="nil"/>
              <w:bottom w:val="nil"/>
              <w:right w:val="nil"/>
            </w:tcBorders>
            <w:shd w:val="clear" w:color="auto" w:fill="FFFFFF"/>
            <w:vAlign w:val="center"/>
          </w:tcPr>
          <w:p w14:paraId="6786262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62D7769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10" w:type="pct"/>
            <w:tcBorders>
              <w:top w:val="nil"/>
              <w:left w:val="nil"/>
              <w:bottom w:val="nil"/>
              <w:right w:val="nil"/>
            </w:tcBorders>
            <w:shd w:val="clear" w:color="auto" w:fill="FFFFFF"/>
            <w:vAlign w:val="center"/>
          </w:tcPr>
          <w:p w14:paraId="55C873E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126 (23.7); 190 (35.7)</w:t>
            </w:r>
          </w:p>
        </w:tc>
        <w:tc>
          <w:tcPr>
            <w:tcW w:w="238" w:type="pct"/>
            <w:tcBorders>
              <w:top w:val="nil"/>
              <w:left w:val="nil"/>
              <w:bottom w:val="nil"/>
              <w:right w:val="nil"/>
            </w:tcBorders>
            <w:shd w:val="clear" w:color="auto" w:fill="FFFFFF"/>
            <w:vAlign w:val="center"/>
          </w:tcPr>
          <w:p w14:paraId="0E43164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98 (18.4); 111 (20.9)</w:t>
            </w:r>
          </w:p>
        </w:tc>
        <w:tc>
          <w:tcPr>
            <w:tcW w:w="290" w:type="pct"/>
            <w:tcBorders>
              <w:top w:val="nil"/>
              <w:left w:val="nil"/>
              <w:bottom w:val="nil"/>
              <w:right w:val="nil"/>
            </w:tcBorders>
            <w:shd w:val="clear" w:color="auto" w:fill="FFFFFF"/>
            <w:vAlign w:val="center"/>
          </w:tcPr>
          <w:p w14:paraId="4C1BF91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72 (13.5); 133 (25.0)</w:t>
            </w:r>
          </w:p>
        </w:tc>
        <w:tc>
          <w:tcPr>
            <w:tcW w:w="371" w:type="pct"/>
            <w:tcBorders>
              <w:top w:val="nil"/>
              <w:left w:val="nil"/>
              <w:bottom w:val="nil"/>
              <w:right w:val="nil"/>
            </w:tcBorders>
            <w:shd w:val="clear" w:color="auto" w:fill="FFFFFF"/>
            <w:vAlign w:val="center"/>
          </w:tcPr>
          <w:p w14:paraId="2D2FDAB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2-y DFS: -</w:t>
            </w:r>
          </w:p>
        </w:tc>
        <w:tc>
          <w:tcPr>
            <w:tcW w:w="324" w:type="pct"/>
            <w:tcBorders>
              <w:top w:val="nil"/>
              <w:left w:val="nil"/>
              <w:bottom w:val="nil"/>
              <w:right w:val="nil"/>
            </w:tcBorders>
            <w:shd w:val="clear" w:color="auto" w:fill="FFFFFF"/>
            <w:vAlign w:val="center"/>
          </w:tcPr>
          <w:p w14:paraId="39864D3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2-y OS: -</w:t>
            </w:r>
          </w:p>
        </w:tc>
        <w:tc>
          <w:tcPr>
            <w:tcW w:w="142" w:type="pct"/>
            <w:tcBorders>
              <w:top w:val="nil"/>
              <w:left w:val="nil"/>
              <w:bottom w:val="nil"/>
              <w:right w:val="nil"/>
            </w:tcBorders>
            <w:shd w:val="clear" w:color="auto" w:fill="FFFFFF"/>
            <w:vAlign w:val="center"/>
          </w:tcPr>
          <w:p w14:paraId="59EE26C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0.60 (0.48–0.75)</w:t>
            </w:r>
          </w:p>
        </w:tc>
        <w:tc>
          <w:tcPr>
            <w:tcW w:w="179" w:type="pct"/>
            <w:tcBorders>
              <w:top w:val="nil"/>
              <w:left w:val="nil"/>
              <w:bottom w:val="nil"/>
              <w:right w:val="nil"/>
            </w:tcBorders>
            <w:shd w:val="clear" w:color="auto" w:fill="FFFFFF"/>
            <w:vAlign w:val="center"/>
          </w:tcPr>
          <w:p w14:paraId="48F9C02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0.57 (0.46–0.72)</w:t>
            </w:r>
          </w:p>
        </w:tc>
      </w:tr>
      <w:tr w14:paraId="6EEE4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1DD225E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Jiang et al. [20]</w:t>
            </w:r>
          </w:p>
        </w:tc>
        <w:tc>
          <w:tcPr>
            <w:tcW w:w="145" w:type="pct"/>
            <w:tcBorders>
              <w:top w:val="nil"/>
              <w:left w:val="nil"/>
              <w:bottom w:val="nil"/>
              <w:right w:val="nil"/>
            </w:tcBorders>
            <w:shd w:val="clear" w:color="auto" w:fill="FFFFFF"/>
            <w:vAlign w:val="center"/>
          </w:tcPr>
          <w:p w14:paraId="22EC208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NCRT</w:t>
            </w:r>
          </w:p>
        </w:tc>
        <w:tc>
          <w:tcPr>
            <w:tcW w:w="233" w:type="pct"/>
            <w:tcBorders>
              <w:top w:val="nil"/>
              <w:left w:val="nil"/>
              <w:bottom w:val="nil"/>
              <w:right w:val="nil"/>
            </w:tcBorders>
            <w:shd w:val="clear" w:color="auto" w:fill="FFFFFF"/>
            <w:vAlign w:val="center"/>
          </w:tcPr>
          <w:p w14:paraId="09076EE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PD-1 inhibitor + platinum-based chemotherapy</w:t>
            </w:r>
          </w:p>
        </w:tc>
        <w:tc>
          <w:tcPr>
            <w:tcW w:w="229" w:type="pct"/>
            <w:tcBorders>
              <w:top w:val="nil"/>
              <w:left w:val="nil"/>
              <w:bottom w:val="nil"/>
              <w:right w:val="nil"/>
            </w:tcBorders>
            <w:shd w:val="clear" w:color="auto" w:fill="FFFFFF"/>
            <w:vAlign w:val="center"/>
          </w:tcPr>
          <w:p w14:paraId="7CA10A2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Platinum-based chemotherapy + radiotherapy</w:t>
            </w:r>
          </w:p>
        </w:tc>
        <w:tc>
          <w:tcPr>
            <w:tcW w:w="152" w:type="pct"/>
            <w:tcBorders>
              <w:top w:val="nil"/>
              <w:left w:val="nil"/>
              <w:bottom w:val="nil"/>
              <w:right w:val="nil"/>
            </w:tcBorders>
            <w:shd w:val="clear" w:color="auto" w:fill="FFFFFF"/>
            <w:vAlign w:val="center"/>
          </w:tcPr>
          <w:p w14:paraId="51D842D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40.0–50.4 Gy</w:t>
            </w:r>
          </w:p>
        </w:tc>
        <w:tc>
          <w:tcPr>
            <w:tcW w:w="201" w:type="pct"/>
            <w:tcBorders>
              <w:top w:val="nil"/>
              <w:left w:val="nil"/>
              <w:bottom w:val="nil"/>
              <w:right w:val="nil"/>
            </w:tcBorders>
            <w:shd w:val="clear" w:color="auto" w:fill="FFFFFF"/>
            <w:vAlign w:val="center"/>
          </w:tcPr>
          <w:p w14:paraId="0D06B11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2–4; 2–4</w:t>
            </w:r>
          </w:p>
        </w:tc>
        <w:tc>
          <w:tcPr>
            <w:tcW w:w="202" w:type="pct"/>
            <w:tcBorders>
              <w:top w:val="nil"/>
              <w:left w:val="nil"/>
              <w:bottom w:val="nil"/>
              <w:right w:val="nil"/>
            </w:tcBorders>
            <w:shd w:val="clear" w:color="auto" w:fill="FFFFFF"/>
            <w:vAlign w:val="center"/>
          </w:tcPr>
          <w:p w14:paraId="02895BF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Esophagectomy</w:t>
            </w:r>
          </w:p>
        </w:tc>
        <w:tc>
          <w:tcPr>
            <w:tcW w:w="186" w:type="pct"/>
            <w:tcBorders>
              <w:top w:val="nil"/>
              <w:left w:val="nil"/>
              <w:bottom w:val="nil"/>
              <w:right w:val="nil"/>
            </w:tcBorders>
            <w:shd w:val="clear" w:color="auto" w:fill="FFFFFF"/>
            <w:vAlign w:val="center"/>
          </w:tcPr>
          <w:p w14:paraId="214B7C8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7" w:type="pct"/>
            <w:tcBorders>
              <w:top w:val="nil"/>
              <w:left w:val="nil"/>
              <w:bottom w:val="nil"/>
              <w:right w:val="nil"/>
            </w:tcBorders>
            <w:shd w:val="clear" w:color="auto" w:fill="FFFFFF"/>
            <w:vAlign w:val="center"/>
          </w:tcPr>
          <w:p w14:paraId="7146369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82 (55.4); 79 (53.4)</w:t>
            </w:r>
          </w:p>
        </w:tc>
        <w:tc>
          <w:tcPr>
            <w:tcW w:w="111" w:type="pct"/>
            <w:tcBorders>
              <w:top w:val="nil"/>
              <w:left w:val="nil"/>
              <w:bottom w:val="nil"/>
              <w:right w:val="nil"/>
            </w:tcBorders>
            <w:shd w:val="clear" w:color="auto" w:fill="FFFFFF"/>
            <w:vAlign w:val="center"/>
          </w:tcPr>
          <w:p w14:paraId="437230F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4–8 weeks</w:t>
            </w:r>
          </w:p>
        </w:tc>
        <w:tc>
          <w:tcPr>
            <w:tcW w:w="172" w:type="pct"/>
            <w:tcBorders>
              <w:top w:val="nil"/>
              <w:left w:val="nil"/>
              <w:bottom w:val="nil"/>
              <w:right w:val="nil"/>
            </w:tcBorders>
            <w:shd w:val="clear" w:color="auto" w:fill="FFFFFF"/>
            <w:vAlign w:val="center"/>
          </w:tcPr>
          <w:p w14:paraId="0794517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22.9 mo</w:t>
            </w:r>
          </w:p>
        </w:tc>
        <w:tc>
          <w:tcPr>
            <w:tcW w:w="156" w:type="pct"/>
            <w:tcBorders>
              <w:top w:val="nil"/>
              <w:left w:val="nil"/>
              <w:bottom w:val="nil"/>
              <w:right w:val="nil"/>
            </w:tcBorders>
            <w:shd w:val="clear" w:color="auto" w:fill="FFFFFF"/>
            <w:vAlign w:val="center"/>
          </w:tcPr>
          <w:p w14:paraId="0196598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31 (20.9); 69 (46.6)</w:t>
            </w:r>
          </w:p>
        </w:tc>
        <w:tc>
          <w:tcPr>
            <w:tcW w:w="139" w:type="pct"/>
            <w:tcBorders>
              <w:top w:val="nil"/>
              <w:left w:val="nil"/>
              <w:bottom w:val="nil"/>
              <w:right w:val="nil"/>
            </w:tcBorders>
            <w:shd w:val="clear" w:color="auto" w:fill="FFFFFF"/>
            <w:vAlign w:val="center"/>
          </w:tcPr>
          <w:p w14:paraId="25DF795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57 (38.5); 110 (74.3)</w:t>
            </w:r>
          </w:p>
        </w:tc>
        <w:tc>
          <w:tcPr>
            <w:tcW w:w="159" w:type="pct"/>
            <w:tcBorders>
              <w:top w:val="nil"/>
              <w:left w:val="nil"/>
              <w:bottom w:val="nil"/>
              <w:right w:val="nil"/>
            </w:tcBorders>
            <w:shd w:val="clear" w:color="auto" w:fill="FFFFFF"/>
            <w:vAlign w:val="center"/>
          </w:tcPr>
          <w:p w14:paraId="4F1699E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147 (99.3); 148 (100.0)</w:t>
            </w:r>
          </w:p>
        </w:tc>
        <w:tc>
          <w:tcPr>
            <w:tcW w:w="118" w:type="pct"/>
            <w:tcBorders>
              <w:top w:val="nil"/>
              <w:left w:val="nil"/>
              <w:bottom w:val="nil"/>
              <w:right w:val="nil"/>
            </w:tcBorders>
            <w:shd w:val="clear" w:color="auto" w:fill="FFFFFF"/>
            <w:vAlign w:val="center"/>
          </w:tcPr>
          <w:p w14:paraId="110130C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570DB67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113 (76.4); 104 (70.3)</w:t>
            </w:r>
          </w:p>
        </w:tc>
        <w:tc>
          <w:tcPr>
            <w:tcW w:w="150" w:type="pct"/>
            <w:tcBorders>
              <w:top w:val="nil"/>
              <w:left w:val="nil"/>
              <w:bottom w:val="nil"/>
              <w:right w:val="nil"/>
            </w:tcBorders>
            <w:shd w:val="clear" w:color="auto" w:fill="FFFFFF"/>
            <w:vAlign w:val="center"/>
          </w:tcPr>
          <w:p w14:paraId="42921EC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7" w:type="pct"/>
            <w:tcBorders>
              <w:top w:val="nil"/>
              <w:left w:val="nil"/>
              <w:bottom w:val="nil"/>
              <w:right w:val="nil"/>
            </w:tcBorders>
            <w:shd w:val="clear" w:color="auto" w:fill="FFFFFF"/>
            <w:vAlign w:val="center"/>
          </w:tcPr>
          <w:p w14:paraId="1DD0274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 (4.1); 14 (9.5)</w:t>
            </w:r>
          </w:p>
        </w:tc>
        <w:tc>
          <w:tcPr>
            <w:tcW w:w="118" w:type="pct"/>
            <w:tcBorders>
              <w:top w:val="nil"/>
              <w:left w:val="nil"/>
              <w:bottom w:val="nil"/>
              <w:right w:val="nil"/>
            </w:tcBorders>
            <w:shd w:val="clear" w:color="auto" w:fill="FFFFFF"/>
            <w:vAlign w:val="center"/>
          </w:tcPr>
          <w:p w14:paraId="24F9D06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071242C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10" w:type="pct"/>
            <w:tcBorders>
              <w:top w:val="nil"/>
              <w:left w:val="nil"/>
              <w:bottom w:val="nil"/>
              <w:right w:val="nil"/>
            </w:tcBorders>
            <w:shd w:val="clear" w:color="auto" w:fill="FFFFFF"/>
            <w:vAlign w:val="center"/>
          </w:tcPr>
          <w:p w14:paraId="6156527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38" w:type="pct"/>
            <w:tcBorders>
              <w:top w:val="nil"/>
              <w:left w:val="nil"/>
              <w:bottom w:val="nil"/>
              <w:right w:val="nil"/>
            </w:tcBorders>
            <w:shd w:val="clear" w:color="auto" w:fill="FFFFFF"/>
            <w:vAlign w:val="center"/>
          </w:tcPr>
          <w:p w14:paraId="6F3C97E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90" w:type="pct"/>
            <w:tcBorders>
              <w:top w:val="nil"/>
              <w:left w:val="nil"/>
              <w:bottom w:val="nil"/>
              <w:right w:val="nil"/>
            </w:tcBorders>
            <w:shd w:val="clear" w:color="auto" w:fill="FFFFFF"/>
            <w:vAlign w:val="center"/>
          </w:tcPr>
          <w:p w14:paraId="17F8C99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371" w:type="pct"/>
            <w:tcBorders>
              <w:top w:val="nil"/>
              <w:left w:val="nil"/>
              <w:bottom w:val="nil"/>
              <w:right w:val="nil"/>
            </w:tcBorders>
            <w:shd w:val="clear" w:color="auto" w:fill="FFFFFF"/>
            <w:vAlign w:val="center"/>
          </w:tcPr>
          <w:p w14:paraId="2B40CB8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2-y DFS: 66.0%; 77.4%</w:t>
            </w:r>
          </w:p>
        </w:tc>
        <w:tc>
          <w:tcPr>
            <w:tcW w:w="324" w:type="pct"/>
            <w:tcBorders>
              <w:top w:val="nil"/>
              <w:left w:val="nil"/>
              <w:bottom w:val="nil"/>
              <w:right w:val="nil"/>
            </w:tcBorders>
            <w:shd w:val="clear" w:color="auto" w:fill="FFFFFF"/>
            <w:vAlign w:val="center"/>
          </w:tcPr>
          <w:p w14:paraId="4493247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2-y OS: 81.5%; 93.7%</w:t>
            </w:r>
          </w:p>
        </w:tc>
        <w:tc>
          <w:tcPr>
            <w:tcW w:w="142" w:type="pct"/>
            <w:tcBorders>
              <w:top w:val="nil"/>
              <w:left w:val="nil"/>
              <w:bottom w:val="nil"/>
              <w:right w:val="nil"/>
            </w:tcBorders>
            <w:shd w:val="clear" w:color="auto" w:fill="FFFFFF"/>
            <w:vAlign w:val="center"/>
          </w:tcPr>
          <w:p w14:paraId="03633F7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1.85 (1.18–2.86)</w:t>
            </w:r>
          </w:p>
        </w:tc>
        <w:tc>
          <w:tcPr>
            <w:tcW w:w="179" w:type="pct"/>
            <w:tcBorders>
              <w:top w:val="nil"/>
              <w:left w:val="nil"/>
              <w:bottom w:val="nil"/>
              <w:right w:val="nil"/>
            </w:tcBorders>
            <w:shd w:val="clear" w:color="auto" w:fill="FFFFFF"/>
            <w:vAlign w:val="center"/>
          </w:tcPr>
          <w:p w14:paraId="1D6B240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3.23 (1.72–6.25)</w:t>
            </w:r>
          </w:p>
        </w:tc>
      </w:tr>
      <w:tr w14:paraId="1771F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37733F7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Lin et al. [21]</w:t>
            </w:r>
          </w:p>
        </w:tc>
        <w:tc>
          <w:tcPr>
            <w:tcW w:w="145" w:type="pct"/>
            <w:tcBorders>
              <w:top w:val="nil"/>
              <w:left w:val="nil"/>
              <w:bottom w:val="nil"/>
              <w:right w:val="nil"/>
            </w:tcBorders>
            <w:shd w:val="clear" w:color="auto" w:fill="FFFFFF"/>
            <w:vAlign w:val="center"/>
          </w:tcPr>
          <w:p w14:paraId="281E518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nICT; nCRT</w:t>
            </w:r>
          </w:p>
        </w:tc>
        <w:tc>
          <w:tcPr>
            <w:tcW w:w="233" w:type="pct"/>
            <w:tcBorders>
              <w:top w:val="nil"/>
              <w:left w:val="nil"/>
              <w:bottom w:val="nil"/>
              <w:right w:val="nil"/>
            </w:tcBorders>
            <w:shd w:val="clear" w:color="auto" w:fill="FFFFFF"/>
            <w:vAlign w:val="center"/>
          </w:tcPr>
          <w:p w14:paraId="50D4D96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PD-1 inhibitor + platinum-based doublet chemotherapy</w:t>
            </w:r>
          </w:p>
        </w:tc>
        <w:tc>
          <w:tcPr>
            <w:tcW w:w="229" w:type="pct"/>
            <w:tcBorders>
              <w:top w:val="nil"/>
              <w:left w:val="nil"/>
              <w:bottom w:val="nil"/>
              <w:right w:val="nil"/>
            </w:tcBorders>
            <w:shd w:val="clear" w:color="auto" w:fill="FFFFFF"/>
            <w:vAlign w:val="center"/>
          </w:tcPr>
          <w:p w14:paraId="057F4AA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Platinum-based doublet chemotherapy + radiotherapy</w:t>
            </w:r>
          </w:p>
        </w:tc>
        <w:tc>
          <w:tcPr>
            <w:tcW w:w="152" w:type="pct"/>
            <w:tcBorders>
              <w:top w:val="nil"/>
              <w:left w:val="nil"/>
              <w:bottom w:val="nil"/>
              <w:right w:val="nil"/>
            </w:tcBorders>
            <w:shd w:val="clear" w:color="auto" w:fill="FFFFFF"/>
            <w:vAlign w:val="center"/>
          </w:tcPr>
          <w:p w14:paraId="1DB84D9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01" w:type="pct"/>
            <w:tcBorders>
              <w:top w:val="nil"/>
              <w:left w:val="nil"/>
              <w:bottom w:val="nil"/>
              <w:right w:val="nil"/>
            </w:tcBorders>
            <w:shd w:val="clear" w:color="auto" w:fill="FFFFFF"/>
            <w:vAlign w:val="center"/>
          </w:tcPr>
          <w:p w14:paraId="5BA4490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 1–4</w:t>
            </w:r>
          </w:p>
        </w:tc>
        <w:tc>
          <w:tcPr>
            <w:tcW w:w="202" w:type="pct"/>
            <w:tcBorders>
              <w:top w:val="nil"/>
              <w:left w:val="nil"/>
              <w:bottom w:val="nil"/>
              <w:right w:val="nil"/>
            </w:tcBorders>
            <w:shd w:val="clear" w:color="auto" w:fill="FFFFFF"/>
            <w:vAlign w:val="center"/>
          </w:tcPr>
          <w:p w14:paraId="27EAEF7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MIE McKeown/Ivor Lewis</w:t>
            </w:r>
          </w:p>
        </w:tc>
        <w:tc>
          <w:tcPr>
            <w:tcW w:w="186" w:type="pct"/>
            <w:tcBorders>
              <w:top w:val="nil"/>
              <w:left w:val="nil"/>
              <w:bottom w:val="nil"/>
              <w:right w:val="nil"/>
            </w:tcBorders>
            <w:shd w:val="clear" w:color="auto" w:fill="FFFFFF"/>
            <w:vAlign w:val="center"/>
          </w:tcPr>
          <w:p w14:paraId="7957382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Standard 2-field; selective cervical LN dissection</w:t>
            </w:r>
          </w:p>
        </w:tc>
        <w:tc>
          <w:tcPr>
            <w:tcW w:w="167" w:type="pct"/>
            <w:tcBorders>
              <w:top w:val="nil"/>
              <w:left w:val="nil"/>
              <w:bottom w:val="nil"/>
              <w:right w:val="nil"/>
            </w:tcBorders>
            <w:shd w:val="clear" w:color="auto" w:fill="FFFFFF"/>
            <w:vAlign w:val="center"/>
          </w:tcPr>
          <w:p w14:paraId="7FBC018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1" w:type="pct"/>
            <w:tcBorders>
              <w:top w:val="nil"/>
              <w:left w:val="nil"/>
              <w:bottom w:val="nil"/>
              <w:right w:val="nil"/>
            </w:tcBorders>
            <w:shd w:val="clear" w:color="auto" w:fill="FFFFFF"/>
            <w:vAlign w:val="center"/>
          </w:tcPr>
          <w:p w14:paraId="35338F6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6–8 weeks</w:t>
            </w:r>
          </w:p>
        </w:tc>
        <w:tc>
          <w:tcPr>
            <w:tcW w:w="172" w:type="pct"/>
            <w:tcBorders>
              <w:top w:val="nil"/>
              <w:left w:val="nil"/>
              <w:bottom w:val="nil"/>
              <w:right w:val="nil"/>
            </w:tcBorders>
            <w:shd w:val="clear" w:color="auto" w:fill="FFFFFF"/>
            <w:vAlign w:val="center"/>
          </w:tcPr>
          <w:p w14:paraId="15D25CD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nICT 34.0 mo; nCRT 55.5 mo</w:t>
            </w:r>
          </w:p>
        </w:tc>
        <w:tc>
          <w:tcPr>
            <w:tcW w:w="156" w:type="pct"/>
            <w:tcBorders>
              <w:top w:val="nil"/>
              <w:left w:val="nil"/>
              <w:bottom w:val="nil"/>
              <w:right w:val="nil"/>
            </w:tcBorders>
            <w:shd w:val="clear" w:color="auto" w:fill="FFFFFF"/>
            <w:vAlign w:val="center"/>
          </w:tcPr>
          <w:p w14:paraId="0431F08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25 (22.3); 104 (37.1)</w:t>
            </w:r>
          </w:p>
        </w:tc>
        <w:tc>
          <w:tcPr>
            <w:tcW w:w="139" w:type="pct"/>
            <w:tcBorders>
              <w:top w:val="nil"/>
              <w:left w:val="nil"/>
              <w:bottom w:val="nil"/>
              <w:right w:val="nil"/>
            </w:tcBorders>
            <w:shd w:val="clear" w:color="auto" w:fill="FFFFFF"/>
            <w:vAlign w:val="center"/>
          </w:tcPr>
          <w:p w14:paraId="16F6B8C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43 (38.4); 165 (58.9)</w:t>
            </w:r>
          </w:p>
        </w:tc>
        <w:tc>
          <w:tcPr>
            <w:tcW w:w="159" w:type="pct"/>
            <w:tcBorders>
              <w:top w:val="nil"/>
              <w:left w:val="nil"/>
              <w:bottom w:val="nil"/>
              <w:right w:val="nil"/>
            </w:tcBorders>
            <w:shd w:val="clear" w:color="auto" w:fill="FFFFFF"/>
            <w:vAlign w:val="center"/>
          </w:tcPr>
          <w:p w14:paraId="2EEA2F2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108 (96.4); 264 (94.3)</w:t>
            </w:r>
          </w:p>
        </w:tc>
        <w:tc>
          <w:tcPr>
            <w:tcW w:w="118" w:type="pct"/>
            <w:tcBorders>
              <w:top w:val="nil"/>
              <w:left w:val="nil"/>
              <w:bottom w:val="nil"/>
              <w:right w:val="nil"/>
            </w:tcBorders>
            <w:shd w:val="clear" w:color="auto" w:fill="FFFFFF"/>
            <w:vAlign w:val="center"/>
          </w:tcPr>
          <w:p w14:paraId="4CDB01E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094D2D3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0769335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7" w:type="pct"/>
            <w:tcBorders>
              <w:top w:val="nil"/>
              <w:left w:val="nil"/>
              <w:bottom w:val="nil"/>
              <w:right w:val="nil"/>
            </w:tcBorders>
            <w:shd w:val="clear" w:color="auto" w:fill="FFFFFF"/>
            <w:vAlign w:val="center"/>
          </w:tcPr>
          <w:p w14:paraId="7DC6C1E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8" w:type="pct"/>
            <w:tcBorders>
              <w:top w:val="nil"/>
              <w:left w:val="nil"/>
              <w:bottom w:val="nil"/>
              <w:right w:val="nil"/>
            </w:tcBorders>
            <w:shd w:val="clear" w:color="auto" w:fill="FFFFFF"/>
            <w:vAlign w:val="center"/>
          </w:tcPr>
          <w:p w14:paraId="48FA6E0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4F528C2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10" w:type="pct"/>
            <w:tcBorders>
              <w:top w:val="nil"/>
              <w:left w:val="nil"/>
              <w:bottom w:val="nil"/>
              <w:right w:val="nil"/>
            </w:tcBorders>
            <w:shd w:val="clear" w:color="auto" w:fill="FFFFFF"/>
            <w:vAlign w:val="center"/>
          </w:tcPr>
          <w:p w14:paraId="5FD0CF3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38" w:type="pct"/>
            <w:tcBorders>
              <w:top w:val="nil"/>
              <w:left w:val="nil"/>
              <w:bottom w:val="nil"/>
              <w:right w:val="nil"/>
            </w:tcBorders>
            <w:shd w:val="clear" w:color="auto" w:fill="FFFFFF"/>
            <w:vAlign w:val="center"/>
          </w:tcPr>
          <w:p w14:paraId="23B5B62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15 (13.4); 35 (12.5)</w:t>
            </w:r>
          </w:p>
        </w:tc>
        <w:tc>
          <w:tcPr>
            <w:tcW w:w="290" w:type="pct"/>
            <w:tcBorders>
              <w:top w:val="nil"/>
              <w:left w:val="nil"/>
              <w:bottom w:val="nil"/>
              <w:right w:val="nil"/>
            </w:tcBorders>
            <w:shd w:val="clear" w:color="auto" w:fill="FFFFFF"/>
            <w:vAlign w:val="center"/>
          </w:tcPr>
          <w:p w14:paraId="3EF2D0F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16 (14.3); 66 (23.6)</w:t>
            </w:r>
          </w:p>
        </w:tc>
        <w:tc>
          <w:tcPr>
            <w:tcW w:w="371" w:type="pct"/>
            <w:tcBorders>
              <w:top w:val="nil"/>
              <w:left w:val="nil"/>
              <w:bottom w:val="nil"/>
              <w:right w:val="nil"/>
            </w:tcBorders>
            <w:shd w:val="clear" w:color="auto" w:fill="FFFFFF"/>
            <w:vAlign w:val="center"/>
          </w:tcPr>
          <w:p w14:paraId="38EC6D8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2-y DFS: 64.2%; 56.8%</w:t>
            </w:r>
          </w:p>
        </w:tc>
        <w:tc>
          <w:tcPr>
            <w:tcW w:w="324" w:type="pct"/>
            <w:tcBorders>
              <w:top w:val="nil"/>
              <w:left w:val="nil"/>
              <w:bottom w:val="nil"/>
              <w:right w:val="nil"/>
            </w:tcBorders>
            <w:shd w:val="clear" w:color="auto" w:fill="FFFFFF"/>
            <w:vAlign w:val="center"/>
          </w:tcPr>
          <w:p w14:paraId="5E223ED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2-y OS: 81.3%; 70.0%</w:t>
            </w:r>
          </w:p>
        </w:tc>
        <w:tc>
          <w:tcPr>
            <w:tcW w:w="142" w:type="pct"/>
            <w:tcBorders>
              <w:top w:val="nil"/>
              <w:left w:val="nil"/>
              <w:bottom w:val="nil"/>
              <w:right w:val="nil"/>
            </w:tcBorders>
            <w:shd w:val="clear" w:color="auto" w:fill="FFFFFF"/>
            <w:vAlign w:val="center"/>
          </w:tcPr>
          <w:p w14:paraId="741DA62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0.586 (0.406–0.846)</w:t>
            </w:r>
          </w:p>
        </w:tc>
        <w:tc>
          <w:tcPr>
            <w:tcW w:w="179" w:type="pct"/>
            <w:tcBorders>
              <w:top w:val="nil"/>
              <w:left w:val="nil"/>
              <w:bottom w:val="nil"/>
              <w:right w:val="nil"/>
            </w:tcBorders>
            <w:shd w:val="clear" w:color="auto" w:fill="FFFFFF"/>
            <w:vAlign w:val="center"/>
          </w:tcPr>
          <w:p w14:paraId="39340C3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0.447 (0.284–0.704)</w:t>
            </w:r>
          </w:p>
        </w:tc>
      </w:tr>
      <w:tr w14:paraId="3EB60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771C7CD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Lin et al. [22]</w:t>
            </w:r>
          </w:p>
        </w:tc>
        <w:tc>
          <w:tcPr>
            <w:tcW w:w="145" w:type="pct"/>
            <w:tcBorders>
              <w:top w:val="nil"/>
              <w:left w:val="nil"/>
              <w:bottom w:val="nil"/>
              <w:right w:val="nil"/>
            </w:tcBorders>
            <w:shd w:val="clear" w:color="auto" w:fill="FFFFFF"/>
            <w:vAlign w:val="center"/>
          </w:tcPr>
          <w:p w14:paraId="49DD2AB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NACI; NCRT</w:t>
            </w:r>
          </w:p>
        </w:tc>
        <w:tc>
          <w:tcPr>
            <w:tcW w:w="233" w:type="pct"/>
            <w:tcBorders>
              <w:top w:val="nil"/>
              <w:left w:val="nil"/>
              <w:bottom w:val="nil"/>
              <w:right w:val="nil"/>
            </w:tcBorders>
            <w:shd w:val="clear" w:color="auto" w:fill="FFFFFF"/>
            <w:vAlign w:val="center"/>
          </w:tcPr>
          <w:p w14:paraId="266DA1F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ICI + platinum-taxane chemotherapy</w:t>
            </w:r>
          </w:p>
        </w:tc>
        <w:tc>
          <w:tcPr>
            <w:tcW w:w="229" w:type="pct"/>
            <w:tcBorders>
              <w:top w:val="nil"/>
              <w:left w:val="nil"/>
              <w:bottom w:val="nil"/>
              <w:right w:val="nil"/>
            </w:tcBorders>
            <w:shd w:val="clear" w:color="auto" w:fill="FFFFFF"/>
            <w:vAlign w:val="center"/>
          </w:tcPr>
          <w:p w14:paraId="52281EF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Platinum-taxane chemotherapy + radiotherapy</w:t>
            </w:r>
          </w:p>
        </w:tc>
        <w:tc>
          <w:tcPr>
            <w:tcW w:w="152" w:type="pct"/>
            <w:tcBorders>
              <w:top w:val="nil"/>
              <w:left w:val="nil"/>
              <w:bottom w:val="nil"/>
              <w:right w:val="nil"/>
            </w:tcBorders>
            <w:shd w:val="clear" w:color="auto" w:fill="FFFFFF"/>
            <w:vAlign w:val="center"/>
          </w:tcPr>
          <w:p w14:paraId="5DB9451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36–40 Gy/20 fractions</w:t>
            </w:r>
          </w:p>
        </w:tc>
        <w:tc>
          <w:tcPr>
            <w:tcW w:w="201" w:type="pct"/>
            <w:tcBorders>
              <w:top w:val="nil"/>
              <w:left w:val="nil"/>
              <w:bottom w:val="nil"/>
              <w:right w:val="nil"/>
            </w:tcBorders>
            <w:shd w:val="clear" w:color="auto" w:fill="FFFFFF"/>
            <w:vAlign w:val="center"/>
          </w:tcPr>
          <w:p w14:paraId="0E75AD0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 ≥2</w:t>
            </w:r>
          </w:p>
        </w:tc>
        <w:tc>
          <w:tcPr>
            <w:tcW w:w="202" w:type="pct"/>
            <w:tcBorders>
              <w:top w:val="nil"/>
              <w:left w:val="nil"/>
              <w:bottom w:val="nil"/>
              <w:right w:val="nil"/>
            </w:tcBorders>
            <w:shd w:val="clear" w:color="auto" w:fill="FFFFFF"/>
            <w:vAlign w:val="center"/>
          </w:tcPr>
          <w:p w14:paraId="760C902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Open/MIE McKeown, Ivor-Lewis, or Sweet esophagectomy</w:t>
            </w:r>
          </w:p>
        </w:tc>
        <w:tc>
          <w:tcPr>
            <w:tcW w:w="186" w:type="pct"/>
            <w:tcBorders>
              <w:top w:val="nil"/>
              <w:left w:val="nil"/>
              <w:bottom w:val="nil"/>
              <w:right w:val="nil"/>
            </w:tcBorders>
            <w:shd w:val="clear" w:color="auto" w:fill="FFFFFF"/>
            <w:vAlign w:val="center"/>
          </w:tcPr>
          <w:p w14:paraId="4FB1CA6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2-field; selective 3-field</w:t>
            </w:r>
          </w:p>
        </w:tc>
        <w:tc>
          <w:tcPr>
            <w:tcW w:w="167" w:type="pct"/>
            <w:tcBorders>
              <w:top w:val="nil"/>
              <w:left w:val="nil"/>
              <w:bottom w:val="nil"/>
              <w:right w:val="nil"/>
            </w:tcBorders>
            <w:shd w:val="clear" w:color="auto" w:fill="FFFFFF"/>
            <w:vAlign w:val="center"/>
          </w:tcPr>
          <w:p w14:paraId="48453AC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46 (54.8); 40 (47.6)</w:t>
            </w:r>
          </w:p>
        </w:tc>
        <w:tc>
          <w:tcPr>
            <w:tcW w:w="111" w:type="pct"/>
            <w:tcBorders>
              <w:top w:val="nil"/>
              <w:left w:val="nil"/>
              <w:bottom w:val="nil"/>
              <w:right w:val="nil"/>
            </w:tcBorders>
            <w:shd w:val="clear" w:color="auto" w:fill="FFFFFF"/>
            <w:vAlign w:val="center"/>
          </w:tcPr>
          <w:p w14:paraId="06D36A9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4–8 weeks</w:t>
            </w:r>
          </w:p>
        </w:tc>
        <w:tc>
          <w:tcPr>
            <w:tcW w:w="172" w:type="pct"/>
            <w:tcBorders>
              <w:top w:val="nil"/>
              <w:left w:val="nil"/>
              <w:bottom w:val="nil"/>
              <w:right w:val="nil"/>
            </w:tcBorders>
            <w:shd w:val="clear" w:color="auto" w:fill="FFFFFF"/>
            <w:vAlign w:val="center"/>
          </w:tcPr>
          <w:p w14:paraId="16A37D1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25 (14–40) mo</w:t>
            </w:r>
          </w:p>
        </w:tc>
        <w:tc>
          <w:tcPr>
            <w:tcW w:w="156" w:type="pct"/>
            <w:tcBorders>
              <w:top w:val="nil"/>
              <w:left w:val="nil"/>
              <w:bottom w:val="nil"/>
              <w:right w:val="nil"/>
            </w:tcBorders>
            <w:shd w:val="clear" w:color="auto" w:fill="FFFFFF"/>
            <w:vAlign w:val="center"/>
          </w:tcPr>
          <w:p w14:paraId="60C3FDF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16 (19.0); 22 (26.2)</w:t>
            </w:r>
          </w:p>
        </w:tc>
        <w:tc>
          <w:tcPr>
            <w:tcW w:w="139" w:type="pct"/>
            <w:tcBorders>
              <w:top w:val="nil"/>
              <w:left w:val="nil"/>
              <w:bottom w:val="nil"/>
              <w:right w:val="nil"/>
            </w:tcBorders>
            <w:shd w:val="clear" w:color="auto" w:fill="FFFFFF"/>
            <w:vAlign w:val="center"/>
          </w:tcPr>
          <w:p w14:paraId="10B5C4F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27 (32.1); 47 (56.0)</w:t>
            </w:r>
          </w:p>
        </w:tc>
        <w:tc>
          <w:tcPr>
            <w:tcW w:w="159" w:type="pct"/>
            <w:tcBorders>
              <w:top w:val="nil"/>
              <w:left w:val="nil"/>
              <w:bottom w:val="nil"/>
              <w:right w:val="nil"/>
            </w:tcBorders>
            <w:shd w:val="clear" w:color="auto" w:fill="FFFFFF"/>
            <w:vAlign w:val="center"/>
          </w:tcPr>
          <w:p w14:paraId="60CB75B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72 (85.7); 76 (90.5)</w:t>
            </w:r>
          </w:p>
        </w:tc>
        <w:tc>
          <w:tcPr>
            <w:tcW w:w="118" w:type="pct"/>
            <w:tcBorders>
              <w:top w:val="nil"/>
              <w:left w:val="nil"/>
              <w:bottom w:val="nil"/>
              <w:right w:val="nil"/>
            </w:tcBorders>
            <w:shd w:val="clear" w:color="auto" w:fill="FFFFFF"/>
            <w:vAlign w:val="center"/>
          </w:tcPr>
          <w:p w14:paraId="37D9576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56FB64A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 (23.8); 29 (34.5)</w:t>
            </w:r>
          </w:p>
        </w:tc>
        <w:tc>
          <w:tcPr>
            <w:tcW w:w="150" w:type="pct"/>
            <w:tcBorders>
              <w:top w:val="nil"/>
              <w:left w:val="nil"/>
              <w:bottom w:val="nil"/>
              <w:right w:val="nil"/>
            </w:tcBorders>
            <w:shd w:val="clear" w:color="auto" w:fill="FFFFFF"/>
            <w:vAlign w:val="center"/>
          </w:tcPr>
          <w:p w14:paraId="042BB7E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16 (19.0); 23 (27.4)</w:t>
            </w:r>
          </w:p>
        </w:tc>
        <w:tc>
          <w:tcPr>
            <w:tcW w:w="137" w:type="pct"/>
            <w:tcBorders>
              <w:top w:val="nil"/>
              <w:left w:val="nil"/>
              <w:bottom w:val="nil"/>
              <w:right w:val="nil"/>
            </w:tcBorders>
            <w:shd w:val="clear" w:color="auto" w:fill="FFFFFF"/>
            <w:vAlign w:val="center"/>
          </w:tcPr>
          <w:p w14:paraId="7341111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 (2.4); 10 (11.9)</w:t>
            </w:r>
          </w:p>
        </w:tc>
        <w:tc>
          <w:tcPr>
            <w:tcW w:w="118" w:type="pct"/>
            <w:tcBorders>
              <w:top w:val="nil"/>
              <w:left w:val="nil"/>
              <w:bottom w:val="nil"/>
              <w:right w:val="nil"/>
            </w:tcBorders>
            <w:shd w:val="clear" w:color="auto" w:fill="FFFFFF"/>
            <w:vAlign w:val="center"/>
          </w:tcPr>
          <w:p w14:paraId="5DC2973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 (1.2); 3 (3.6)</w:t>
            </w:r>
          </w:p>
        </w:tc>
        <w:tc>
          <w:tcPr>
            <w:tcW w:w="135" w:type="pct"/>
            <w:tcBorders>
              <w:top w:val="nil"/>
              <w:left w:val="nil"/>
              <w:bottom w:val="nil"/>
              <w:right w:val="nil"/>
            </w:tcBorders>
            <w:shd w:val="clear" w:color="auto" w:fill="FFFFFF"/>
            <w:vAlign w:val="center"/>
          </w:tcPr>
          <w:p w14:paraId="2EEA0B0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10" w:type="pct"/>
            <w:tcBorders>
              <w:top w:val="nil"/>
              <w:left w:val="nil"/>
              <w:bottom w:val="nil"/>
              <w:right w:val="nil"/>
            </w:tcBorders>
            <w:shd w:val="clear" w:color="auto" w:fill="FFFFFF"/>
            <w:vAlign w:val="center"/>
          </w:tcPr>
          <w:p w14:paraId="6C58922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27 (32.1); 25 (29.8)</w:t>
            </w:r>
          </w:p>
        </w:tc>
        <w:tc>
          <w:tcPr>
            <w:tcW w:w="238" w:type="pct"/>
            <w:tcBorders>
              <w:top w:val="nil"/>
              <w:left w:val="nil"/>
              <w:bottom w:val="nil"/>
              <w:right w:val="nil"/>
            </w:tcBorders>
            <w:shd w:val="clear" w:color="auto" w:fill="FFFFFF"/>
            <w:vAlign w:val="center"/>
          </w:tcPr>
          <w:p w14:paraId="15B4BAA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 (9.5); 6 (7.1)</w:t>
            </w:r>
          </w:p>
        </w:tc>
        <w:tc>
          <w:tcPr>
            <w:tcW w:w="290" w:type="pct"/>
            <w:tcBorders>
              <w:top w:val="nil"/>
              <w:left w:val="nil"/>
              <w:bottom w:val="nil"/>
              <w:right w:val="nil"/>
            </w:tcBorders>
            <w:shd w:val="clear" w:color="auto" w:fill="FFFFFF"/>
            <w:vAlign w:val="center"/>
          </w:tcPr>
          <w:p w14:paraId="78CA84F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17 (20.2); 15 (17.9)</w:t>
            </w:r>
          </w:p>
        </w:tc>
        <w:tc>
          <w:tcPr>
            <w:tcW w:w="371" w:type="pct"/>
            <w:tcBorders>
              <w:top w:val="nil"/>
              <w:left w:val="nil"/>
              <w:bottom w:val="nil"/>
              <w:right w:val="nil"/>
            </w:tcBorders>
            <w:shd w:val="clear" w:color="auto" w:fill="FFFFFF"/>
            <w:vAlign w:val="center"/>
          </w:tcPr>
          <w:p w14:paraId="7ECB692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3-y DFS: 55.7%; 49.7%</w:t>
            </w:r>
          </w:p>
        </w:tc>
        <w:tc>
          <w:tcPr>
            <w:tcW w:w="324" w:type="pct"/>
            <w:tcBorders>
              <w:top w:val="nil"/>
              <w:left w:val="nil"/>
              <w:bottom w:val="nil"/>
              <w:right w:val="nil"/>
            </w:tcBorders>
            <w:shd w:val="clear" w:color="auto" w:fill="FFFFFF"/>
            <w:vAlign w:val="center"/>
          </w:tcPr>
          <w:p w14:paraId="3C01448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3-y OS: 69.4%; 55.7%</w:t>
            </w:r>
          </w:p>
        </w:tc>
        <w:tc>
          <w:tcPr>
            <w:tcW w:w="142" w:type="pct"/>
            <w:tcBorders>
              <w:top w:val="nil"/>
              <w:left w:val="nil"/>
              <w:bottom w:val="nil"/>
              <w:right w:val="nil"/>
            </w:tcBorders>
            <w:shd w:val="clear" w:color="auto" w:fill="FFFFFF"/>
            <w:vAlign w:val="center"/>
          </w:tcPr>
          <w:p w14:paraId="57AD747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79" w:type="pct"/>
            <w:tcBorders>
              <w:top w:val="nil"/>
              <w:left w:val="nil"/>
              <w:bottom w:val="nil"/>
              <w:right w:val="nil"/>
            </w:tcBorders>
            <w:shd w:val="clear" w:color="auto" w:fill="FFFFFF"/>
            <w:vAlign w:val="center"/>
          </w:tcPr>
          <w:p w14:paraId="05A84CC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r>
      <w:tr w14:paraId="11F0E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1B4CEF4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Liu et al. [23]</w:t>
            </w:r>
          </w:p>
        </w:tc>
        <w:tc>
          <w:tcPr>
            <w:tcW w:w="145" w:type="pct"/>
            <w:tcBorders>
              <w:top w:val="nil"/>
              <w:left w:val="nil"/>
              <w:bottom w:val="nil"/>
              <w:right w:val="nil"/>
            </w:tcBorders>
            <w:shd w:val="clear" w:color="auto" w:fill="FFFFFF"/>
            <w:vAlign w:val="center"/>
          </w:tcPr>
          <w:p w14:paraId="58A4618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NCRT</w:t>
            </w:r>
          </w:p>
        </w:tc>
        <w:tc>
          <w:tcPr>
            <w:tcW w:w="233" w:type="pct"/>
            <w:tcBorders>
              <w:top w:val="nil"/>
              <w:left w:val="nil"/>
              <w:bottom w:val="nil"/>
              <w:right w:val="nil"/>
            </w:tcBorders>
            <w:shd w:val="clear" w:color="auto" w:fill="FFFFFF"/>
            <w:vAlign w:val="center"/>
          </w:tcPr>
          <w:p w14:paraId="4BB7529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Anti-PD-1 antibody + chemotherapy</w:t>
            </w:r>
          </w:p>
        </w:tc>
        <w:tc>
          <w:tcPr>
            <w:tcW w:w="229" w:type="pct"/>
            <w:tcBorders>
              <w:top w:val="nil"/>
              <w:left w:val="nil"/>
              <w:bottom w:val="nil"/>
              <w:right w:val="nil"/>
            </w:tcBorders>
            <w:shd w:val="clear" w:color="auto" w:fill="FFFFFF"/>
            <w:vAlign w:val="center"/>
          </w:tcPr>
          <w:p w14:paraId="702026F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Concurrent chemoradiotherapy</w:t>
            </w:r>
          </w:p>
        </w:tc>
        <w:tc>
          <w:tcPr>
            <w:tcW w:w="152" w:type="pct"/>
            <w:tcBorders>
              <w:top w:val="nil"/>
              <w:left w:val="nil"/>
              <w:bottom w:val="nil"/>
              <w:right w:val="nil"/>
            </w:tcBorders>
            <w:shd w:val="clear" w:color="auto" w:fill="FFFFFF"/>
            <w:vAlign w:val="center"/>
          </w:tcPr>
          <w:p w14:paraId="1896CF1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40–50.4 Gy</w:t>
            </w:r>
          </w:p>
        </w:tc>
        <w:tc>
          <w:tcPr>
            <w:tcW w:w="201" w:type="pct"/>
            <w:tcBorders>
              <w:top w:val="nil"/>
              <w:left w:val="nil"/>
              <w:bottom w:val="nil"/>
              <w:right w:val="nil"/>
            </w:tcBorders>
            <w:shd w:val="clear" w:color="auto" w:fill="FFFFFF"/>
            <w:vAlign w:val="center"/>
          </w:tcPr>
          <w:p w14:paraId="3286911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2–3; 2 or &gt;2</w:t>
            </w:r>
          </w:p>
        </w:tc>
        <w:tc>
          <w:tcPr>
            <w:tcW w:w="202" w:type="pct"/>
            <w:tcBorders>
              <w:top w:val="nil"/>
              <w:left w:val="nil"/>
              <w:bottom w:val="nil"/>
              <w:right w:val="nil"/>
            </w:tcBorders>
            <w:shd w:val="clear" w:color="auto" w:fill="FFFFFF"/>
            <w:vAlign w:val="center"/>
          </w:tcPr>
          <w:p w14:paraId="2B2B636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Sweet/Ivor Lewis/McKeown esophagectomy</w:t>
            </w:r>
          </w:p>
        </w:tc>
        <w:tc>
          <w:tcPr>
            <w:tcW w:w="186" w:type="pct"/>
            <w:tcBorders>
              <w:top w:val="nil"/>
              <w:left w:val="nil"/>
              <w:bottom w:val="nil"/>
              <w:right w:val="nil"/>
            </w:tcBorders>
            <w:shd w:val="clear" w:color="auto" w:fill="FFFFFF"/>
            <w:vAlign w:val="center"/>
          </w:tcPr>
          <w:p w14:paraId="0520115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2-field lymphadenectomy</w:t>
            </w:r>
          </w:p>
        </w:tc>
        <w:tc>
          <w:tcPr>
            <w:tcW w:w="167" w:type="pct"/>
            <w:tcBorders>
              <w:top w:val="nil"/>
              <w:left w:val="nil"/>
              <w:bottom w:val="nil"/>
              <w:right w:val="nil"/>
            </w:tcBorders>
            <w:shd w:val="clear" w:color="auto" w:fill="FFFFFF"/>
            <w:vAlign w:val="center"/>
          </w:tcPr>
          <w:p w14:paraId="02944D4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124 (94.7); 35 (70.0)</w:t>
            </w:r>
          </w:p>
        </w:tc>
        <w:tc>
          <w:tcPr>
            <w:tcW w:w="111" w:type="pct"/>
            <w:tcBorders>
              <w:top w:val="nil"/>
              <w:left w:val="nil"/>
              <w:bottom w:val="nil"/>
              <w:right w:val="nil"/>
            </w:tcBorders>
            <w:shd w:val="clear" w:color="auto" w:fill="FFFFFF"/>
            <w:vAlign w:val="center"/>
          </w:tcPr>
          <w:p w14:paraId="13C94B3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4–8 weeks</w:t>
            </w:r>
          </w:p>
        </w:tc>
        <w:tc>
          <w:tcPr>
            <w:tcW w:w="172" w:type="pct"/>
            <w:tcBorders>
              <w:top w:val="nil"/>
              <w:left w:val="nil"/>
              <w:bottom w:val="nil"/>
              <w:right w:val="nil"/>
            </w:tcBorders>
            <w:shd w:val="clear" w:color="auto" w:fill="FFFFFF"/>
            <w:vAlign w:val="center"/>
          </w:tcPr>
          <w:p w14:paraId="38769EF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52.0 mo</w:t>
            </w:r>
          </w:p>
        </w:tc>
        <w:tc>
          <w:tcPr>
            <w:tcW w:w="156" w:type="pct"/>
            <w:tcBorders>
              <w:top w:val="nil"/>
              <w:left w:val="nil"/>
              <w:bottom w:val="nil"/>
              <w:right w:val="nil"/>
            </w:tcBorders>
            <w:shd w:val="clear" w:color="auto" w:fill="FFFFFF"/>
            <w:vAlign w:val="center"/>
          </w:tcPr>
          <w:p w14:paraId="0A8D725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13 (9.9); 13 (26.0)</w:t>
            </w:r>
          </w:p>
        </w:tc>
        <w:tc>
          <w:tcPr>
            <w:tcW w:w="139" w:type="pct"/>
            <w:tcBorders>
              <w:top w:val="nil"/>
              <w:left w:val="nil"/>
              <w:bottom w:val="nil"/>
              <w:right w:val="nil"/>
            </w:tcBorders>
            <w:shd w:val="clear" w:color="auto" w:fill="FFFFFF"/>
            <w:vAlign w:val="center"/>
          </w:tcPr>
          <w:p w14:paraId="0CF369D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51 (38.9); 23 (46.0)</w:t>
            </w:r>
          </w:p>
        </w:tc>
        <w:tc>
          <w:tcPr>
            <w:tcW w:w="159" w:type="pct"/>
            <w:tcBorders>
              <w:top w:val="nil"/>
              <w:left w:val="nil"/>
              <w:bottom w:val="nil"/>
              <w:right w:val="nil"/>
            </w:tcBorders>
            <w:shd w:val="clear" w:color="auto" w:fill="FFFFFF"/>
            <w:vAlign w:val="center"/>
          </w:tcPr>
          <w:p w14:paraId="7934132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8" w:type="pct"/>
            <w:tcBorders>
              <w:top w:val="nil"/>
              <w:left w:val="nil"/>
              <w:bottom w:val="nil"/>
              <w:right w:val="nil"/>
            </w:tcBorders>
            <w:shd w:val="clear" w:color="auto" w:fill="FFFFFF"/>
            <w:vAlign w:val="center"/>
          </w:tcPr>
          <w:p w14:paraId="15FFB93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≥15 LNs: 103 (78.6); 22 (44.0)</w:t>
            </w:r>
          </w:p>
        </w:tc>
        <w:tc>
          <w:tcPr>
            <w:tcW w:w="150" w:type="pct"/>
            <w:tcBorders>
              <w:top w:val="nil"/>
              <w:left w:val="nil"/>
              <w:bottom w:val="nil"/>
              <w:right w:val="nil"/>
            </w:tcBorders>
            <w:shd w:val="clear" w:color="auto" w:fill="FFFFFF"/>
            <w:vAlign w:val="center"/>
          </w:tcPr>
          <w:p w14:paraId="761AD59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35 (26.7); 11 (22.0)</w:t>
            </w:r>
          </w:p>
        </w:tc>
        <w:tc>
          <w:tcPr>
            <w:tcW w:w="150" w:type="pct"/>
            <w:tcBorders>
              <w:top w:val="nil"/>
              <w:left w:val="nil"/>
              <w:bottom w:val="nil"/>
              <w:right w:val="nil"/>
            </w:tcBorders>
            <w:shd w:val="clear" w:color="auto" w:fill="FFFFFF"/>
            <w:vAlign w:val="center"/>
          </w:tcPr>
          <w:p w14:paraId="7EBE502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 (4.6); 10 (20.0)</w:t>
            </w:r>
          </w:p>
        </w:tc>
        <w:tc>
          <w:tcPr>
            <w:tcW w:w="137" w:type="pct"/>
            <w:tcBorders>
              <w:top w:val="nil"/>
              <w:left w:val="nil"/>
              <w:bottom w:val="nil"/>
              <w:right w:val="nil"/>
            </w:tcBorders>
            <w:shd w:val="clear" w:color="auto" w:fill="FFFFFF"/>
            <w:vAlign w:val="center"/>
          </w:tcPr>
          <w:p w14:paraId="02FA7F7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 (5.3); 1 (2.0)</w:t>
            </w:r>
          </w:p>
        </w:tc>
        <w:tc>
          <w:tcPr>
            <w:tcW w:w="118" w:type="pct"/>
            <w:tcBorders>
              <w:top w:val="nil"/>
              <w:left w:val="nil"/>
              <w:bottom w:val="nil"/>
              <w:right w:val="nil"/>
            </w:tcBorders>
            <w:shd w:val="clear" w:color="auto" w:fill="FFFFFF"/>
            <w:vAlign w:val="center"/>
          </w:tcPr>
          <w:p w14:paraId="297EABF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22 (16.8); 0 (0.0)</w:t>
            </w:r>
          </w:p>
        </w:tc>
        <w:tc>
          <w:tcPr>
            <w:tcW w:w="135" w:type="pct"/>
            <w:tcBorders>
              <w:top w:val="nil"/>
              <w:left w:val="nil"/>
              <w:bottom w:val="nil"/>
              <w:right w:val="nil"/>
            </w:tcBorders>
            <w:shd w:val="clear" w:color="auto" w:fill="FFFFFF"/>
            <w:vAlign w:val="center"/>
          </w:tcPr>
          <w:p w14:paraId="72BC5E8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10" w:type="pct"/>
            <w:tcBorders>
              <w:top w:val="nil"/>
              <w:left w:val="nil"/>
              <w:bottom w:val="nil"/>
              <w:right w:val="nil"/>
            </w:tcBorders>
            <w:shd w:val="clear" w:color="auto" w:fill="FFFFFF"/>
            <w:vAlign w:val="center"/>
          </w:tcPr>
          <w:p w14:paraId="259E7E0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34 (26.0); 16 (32.0)</w:t>
            </w:r>
          </w:p>
        </w:tc>
        <w:tc>
          <w:tcPr>
            <w:tcW w:w="238" w:type="pct"/>
            <w:tcBorders>
              <w:top w:val="nil"/>
              <w:left w:val="nil"/>
              <w:bottom w:val="nil"/>
              <w:right w:val="nil"/>
            </w:tcBorders>
            <w:shd w:val="clear" w:color="auto" w:fill="FFFFFF"/>
            <w:vAlign w:val="center"/>
          </w:tcPr>
          <w:p w14:paraId="128E16B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10 (7.6); 6 (12.0)</w:t>
            </w:r>
          </w:p>
        </w:tc>
        <w:tc>
          <w:tcPr>
            <w:tcW w:w="290" w:type="pct"/>
            <w:tcBorders>
              <w:top w:val="nil"/>
              <w:left w:val="nil"/>
              <w:bottom w:val="nil"/>
              <w:right w:val="nil"/>
            </w:tcBorders>
            <w:shd w:val="clear" w:color="auto" w:fill="FFFFFF"/>
            <w:vAlign w:val="center"/>
          </w:tcPr>
          <w:p w14:paraId="2C7A8F2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24 (18.3); 10 (25.0)</w:t>
            </w:r>
          </w:p>
        </w:tc>
        <w:tc>
          <w:tcPr>
            <w:tcW w:w="371" w:type="pct"/>
            <w:tcBorders>
              <w:top w:val="nil"/>
              <w:left w:val="nil"/>
              <w:bottom w:val="nil"/>
              <w:right w:val="nil"/>
            </w:tcBorders>
            <w:shd w:val="clear" w:color="auto" w:fill="FFFFFF"/>
            <w:vAlign w:val="center"/>
          </w:tcPr>
          <w:p w14:paraId="2CB56C6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324" w:type="pct"/>
            <w:tcBorders>
              <w:top w:val="nil"/>
              <w:left w:val="nil"/>
              <w:bottom w:val="nil"/>
              <w:right w:val="nil"/>
            </w:tcBorders>
            <w:shd w:val="clear" w:color="auto" w:fill="FFFFFF"/>
            <w:vAlign w:val="center"/>
          </w:tcPr>
          <w:p w14:paraId="68EC569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4-y OS after IPTW: 91.4%; 60.4%</w:t>
            </w:r>
          </w:p>
        </w:tc>
        <w:tc>
          <w:tcPr>
            <w:tcW w:w="142" w:type="pct"/>
            <w:tcBorders>
              <w:top w:val="nil"/>
              <w:left w:val="nil"/>
              <w:bottom w:val="nil"/>
              <w:right w:val="nil"/>
            </w:tcBorders>
            <w:shd w:val="clear" w:color="auto" w:fill="FFFFFF"/>
            <w:vAlign w:val="center"/>
          </w:tcPr>
          <w:p w14:paraId="418A5A5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79" w:type="pct"/>
            <w:tcBorders>
              <w:top w:val="nil"/>
              <w:left w:val="nil"/>
              <w:bottom w:val="nil"/>
              <w:right w:val="nil"/>
            </w:tcBorders>
            <w:shd w:val="clear" w:color="auto" w:fill="FFFFFF"/>
            <w:vAlign w:val="center"/>
          </w:tcPr>
          <w:p w14:paraId="6562206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0.27 (0.13–0.54)</w:t>
            </w:r>
          </w:p>
        </w:tc>
      </w:tr>
      <w:tr w14:paraId="6A612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2C914F8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Shao et al. [24]</w:t>
            </w:r>
          </w:p>
        </w:tc>
        <w:tc>
          <w:tcPr>
            <w:tcW w:w="145" w:type="pct"/>
            <w:tcBorders>
              <w:top w:val="nil"/>
              <w:left w:val="nil"/>
              <w:bottom w:val="nil"/>
              <w:right w:val="nil"/>
            </w:tcBorders>
            <w:shd w:val="clear" w:color="auto" w:fill="FFFFFF"/>
            <w:vAlign w:val="center"/>
          </w:tcPr>
          <w:p w14:paraId="7642C6B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NCRT</w:t>
            </w:r>
          </w:p>
        </w:tc>
        <w:tc>
          <w:tcPr>
            <w:tcW w:w="233" w:type="pct"/>
            <w:tcBorders>
              <w:top w:val="nil"/>
              <w:left w:val="nil"/>
              <w:bottom w:val="nil"/>
              <w:right w:val="nil"/>
            </w:tcBorders>
            <w:shd w:val="clear" w:color="auto" w:fill="FFFFFF"/>
            <w:vAlign w:val="center"/>
          </w:tcPr>
          <w:p w14:paraId="56DC6C1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ICI + platinum-based chemotherapy</w:t>
            </w:r>
          </w:p>
        </w:tc>
        <w:tc>
          <w:tcPr>
            <w:tcW w:w="229" w:type="pct"/>
            <w:tcBorders>
              <w:top w:val="nil"/>
              <w:left w:val="nil"/>
              <w:bottom w:val="nil"/>
              <w:right w:val="nil"/>
            </w:tcBorders>
            <w:shd w:val="clear" w:color="auto" w:fill="FFFFFF"/>
            <w:vAlign w:val="center"/>
          </w:tcPr>
          <w:p w14:paraId="6A44D35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Platinum-based chemotherapy + radiotherapy</w:t>
            </w:r>
          </w:p>
        </w:tc>
        <w:tc>
          <w:tcPr>
            <w:tcW w:w="152" w:type="pct"/>
            <w:tcBorders>
              <w:top w:val="nil"/>
              <w:left w:val="nil"/>
              <w:bottom w:val="nil"/>
              <w:right w:val="nil"/>
            </w:tcBorders>
            <w:shd w:val="clear" w:color="auto" w:fill="FFFFFF"/>
            <w:vAlign w:val="center"/>
          </w:tcPr>
          <w:p w14:paraId="50543B3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36–50 Gy</w:t>
            </w:r>
          </w:p>
        </w:tc>
        <w:tc>
          <w:tcPr>
            <w:tcW w:w="201" w:type="pct"/>
            <w:tcBorders>
              <w:top w:val="nil"/>
              <w:left w:val="nil"/>
              <w:bottom w:val="nil"/>
              <w:right w:val="nil"/>
            </w:tcBorders>
            <w:shd w:val="clear" w:color="auto" w:fill="FFFFFF"/>
            <w:vAlign w:val="center"/>
          </w:tcPr>
          <w:p w14:paraId="6F0BD21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2–4; &gt;2</w:t>
            </w:r>
          </w:p>
        </w:tc>
        <w:tc>
          <w:tcPr>
            <w:tcW w:w="202" w:type="pct"/>
            <w:tcBorders>
              <w:top w:val="nil"/>
              <w:left w:val="nil"/>
              <w:bottom w:val="nil"/>
              <w:right w:val="nil"/>
            </w:tcBorders>
            <w:shd w:val="clear" w:color="auto" w:fill="FFFFFF"/>
            <w:vAlign w:val="center"/>
          </w:tcPr>
          <w:p w14:paraId="037A239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McKeown/Ivor Lewis esophagectomy</w:t>
            </w:r>
          </w:p>
        </w:tc>
        <w:tc>
          <w:tcPr>
            <w:tcW w:w="186" w:type="pct"/>
            <w:tcBorders>
              <w:top w:val="nil"/>
              <w:left w:val="nil"/>
              <w:bottom w:val="nil"/>
              <w:right w:val="nil"/>
            </w:tcBorders>
            <w:shd w:val="clear" w:color="auto" w:fill="FFFFFF"/>
            <w:vAlign w:val="center"/>
          </w:tcPr>
          <w:p w14:paraId="64375DD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Standard 2-field; selective cervical LN dissection</w:t>
            </w:r>
          </w:p>
        </w:tc>
        <w:tc>
          <w:tcPr>
            <w:tcW w:w="167" w:type="pct"/>
            <w:tcBorders>
              <w:top w:val="nil"/>
              <w:left w:val="nil"/>
              <w:bottom w:val="nil"/>
              <w:right w:val="nil"/>
            </w:tcBorders>
            <w:shd w:val="clear" w:color="auto" w:fill="FFFFFF"/>
            <w:vAlign w:val="center"/>
          </w:tcPr>
          <w:p w14:paraId="0463077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1" w:type="pct"/>
            <w:tcBorders>
              <w:top w:val="nil"/>
              <w:left w:val="nil"/>
              <w:bottom w:val="nil"/>
              <w:right w:val="nil"/>
            </w:tcBorders>
            <w:shd w:val="clear" w:color="auto" w:fill="FFFFFF"/>
            <w:vAlign w:val="center"/>
          </w:tcPr>
          <w:p w14:paraId="05B195C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4–8 weeks</w:t>
            </w:r>
          </w:p>
        </w:tc>
        <w:tc>
          <w:tcPr>
            <w:tcW w:w="172" w:type="pct"/>
            <w:tcBorders>
              <w:top w:val="nil"/>
              <w:left w:val="nil"/>
              <w:bottom w:val="nil"/>
              <w:right w:val="nil"/>
            </w:tcBorders>
            <w:shd w:val="clear" w:color="auto" w:fill="FFFFFF"/>
            <w:vAlign w:val="center"/>
          </w:tcPr>
          <w:p w14:paraId="1742834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6" w:type="pct"/>
            <w:tcBorders>
              <w:top w:val="nil"/>
              <w:left w:val="nil"/>
              <w:bottom w:val="nil"/>
              <w:right w:val="nil"/>
            </w:tcBorders>
            <w:shd w:val="clear" w:color="auto" w:fill="FFFFFF"/>
            <w:vAlign w:val="center"/>
          </w:tcPr>
          <w:p w14:paraId="0F6D3C8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16 (21.3); 25 (33.3)</w:t>
            </w:r>
          </w:p>
        </w:tc>
        <w:tc>
          <w:tcPr>
            <w:tcW w:w="139" w:type="pct"/>
            <w:tcBorders>
              <w:top w:val="nil"/>
              <w:left w:val="nil"/>
              <w:bottom w:val="nil"/>
              <w:right w:val="nil"/>
            </w:tcBorders>
            <w:shd w:val="clear" w:color="auto" w:fill="FFFFFF"/>
            <w:vAlign w:val="center"/>
          </w:tcPr>
          <w:p w14:paraId="3C9F83C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9" w:type="pct"/>
            <w:tcBorders>
              <w:top w:val="nil"/>
              <w:left w:val="nil"/>
              <w:bottom w:val="nil"/>
              <w:right w:val="nil"/>
            </w:tcBorders>
            <w:shd w:val="clear" w:color="auto" w:fill="FFFFFF"/>
            <w:vAlign w:val="center"/>
          </w:tcPr>
          <w:p w14:paraId="73912EB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8" w:type="pct"/>
            <w:tcBorders>
              <w:top w:val="nil"/>
              <w:left w:val="nil"/>
              <w:bottom w:val="nil"/>
              <w:right w:val="nil"/>
            </w:tcBorders>
            <w:shd w:val="clear" w:color="auto" w:fill="FFFFFF"/>
            <w:vAlign w:val="center"/>
          </w:tcPr>
          <w:p w14:paraId="08B97FA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21D9BD7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2B3FD5C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10 (13.3); 3 (4.0)</w:t>
            </w:r>
          </w:p>
        </w:tc>
        <w:tc>
          <w:tcPr>
            <w:tcW w:w="137" w:type="pct"/>
            <w:tcBorders>
              <w:top w:val="nil"/>
              <w:left w:val="nil"/>
              <w:bottom w:val="nil"/>
              <w:right w:val="nil"/>
            </w:tcBorders>
            <w:shd w:val="clear" w:color="auto" w:fill="FFFFFF"/>
            <w:vAlign w:val="center"/>
          </w:tcPr>
          <w:p w14:paraId="572C6A9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17 (22.7); 19 (25.3)</w:t>
            </w:r>
          </w:p>
        </w:tc>
        <w:tc>
          <w:tcPr>
            <w:tcW w:w="118" w:type="pct"/>
            <w:tcBorders>
              <w:top w:val="nil"/>
              <w:left w:val="nil"/>
              <w:bottom w:val="nil"/>
              <w:right w:val="nil"/>
            </w:tcBorders>
            <w:shd w:val="clear" w:color="auto" w:fill="FFFFFF"/>
            <w:vAlign w:val="center"/>
          </w:tcPr>
          <w:p w14:paraId="2F5CE49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 (12.0); 3 (4.0)</w:t>
            </w:r>
          </w:p>
        </w:tc>
        <w:tc>
          <w:tcPr>
            <w:tcW w:w="135" w:type="pct"/>
            <w:tcBorders>
              <w:top w:val="nil"/>
              <w:left w:val="nil"/>
              <w:bottom w:val="nil"/>
              <w:right w:val="nil"/>
            </w:tcBorders>
            <w:shd w:val="clear" w:color="auto" w:fill="FFFFFF"/>
            <w:vAlign w:val="center"/>
          </w:tcPr>
          <w:p w14:paraId="6C8BFEA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 (4.0); 2 (2.7)</w:t>
            </w:r>
          </w:p>
        </w:tc>
        <w:tc>
          <w:tcPr>
            <w:tcW w:w="210" w:type="pct"/>
            <w:tcBorders>
              <w:top w:val="nil"/>
              <w:left w:val="nil"/>
              <w:bottom w:val="nil"/>
              <w:right w:val="nil"/>
            </w:tcBorders>
            <w:shd w:val="clear" w:color="auto" w:fill="FFFFFF"/>
            <w:vAlign w:val="center"/>
          </w:tcPr>
          <w:p w14:paraId="6A94965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38" w:type="pct"/>
            <w:tcBorders>
              <w:top w:val="nil"/>
              <w:left w:val="nil"/>
              <w:bottom w:val="nil"/>
              <w:right w:val="nil"/>
            </w:tcBorders>
            <w:shd w:val="clear" w:color="auto" w:fill="FFFFFF"/>
            <w:vAlign w:val="center"/>
          </w:tcPr>
          <w:p w14:paraId="4E123C4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90" w:type="pct"/>
            <w:tcBorders>
              <w:top w:val="nil"/>
              <w:left w:val="nil"/>
              <w:bottom w:val="nil"/>
              <w:right w:val="nil"/>
            </w:tcBorders>
            <w:shd w:val="clear" w:color="auto" w:fill="FFFFFF"/>
            <w:vAlign w:val="center"/>
          </w:tcPr>
          <w:p w14:paraId="32B9A8F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371" w:type="pct"/>
            <w:tcBorders>
              <w:top w:val="nil"/>
              <w:left w:val="nil"/>
              <w:bottom w:val="nil"/>
              <w:right w:val="nil"/>
            </w:tcBorders>
            <w:shd w:val="clear" w:color="auto" w:fill="FFFFFF"/>
            <w:vAlign w:val="center"/>
          </w:tcPr>
          <w:p w14:paraId="6075E7D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324" w:type="pct"/>
            <w:tcBorders>
              <w:top w:val="nil"/>
              <w:left w:val="nil"/>
              <w:bottom w:val="nil"/>
              <w:right w:val="nil"/>
            </w:tcBorders>
            <w:shd w:val="clear" w:color="auto" w:fill="FFFFFF"/>
            <w:vAlign w:val="center"/>
          </w:tcPr>
          <w:p w14:paraId="68E6DB4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3-y OS: 73.8%; 54.8%</w:t>
            </w:r>
          </w:p>
        </w:tc>
        <w:tc>
          <w:tcPr>
            <w:tcW w:w="142" w:type="pct"/>
            <w:tcBorders>
              <w:top w:val="nil"/>
              <w:left w:val="nil"/>
              <w:bottom w:val="nil"/>
              <w:right w:val="nil"/>
            </w:tcBorders>
            <w:shd w:val="clear" w:color="auto" w:fill="FFFFFF"/>
            <w:vAlign w:val="center"/>
          </w:tcPr>
          <w:p w14:paraId="45D36C3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79" w:type="pct"/>
            <w:tcBorders>
              <w:top w:val="nil"/>
              <w:left w:val="nil"/>
              <w:bottom w:val="nil"/>
              <w:right w:val="nil"/>
            </w:tcBorders>
            <w:shd w:val="clear" w:color="auto" w:fill="FFFFFF"/>
            <w:vAlign w:val="center"/>
          </w:tcPr>
          <w:p w14:paraId="5AC919D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0.63 (0.41–0.98)</w:t>
            </w:r>
          </w:p>
        </w:tc>
      </w:tr>
      <w:tr w14:paraId="5D7BF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5A179B7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Shi et al. [25]</w:t>
            </w:r>
          </w:p>
        </w:tc>
        <w:tc>
          <w:tcPr>
            <w:tcW w:w="145" w:type="pct"/>
            <w:tcBorders>
              <w:top w:val="nil"/>
              <w:left w:val="nil"/>
              <w:bottom w:val="nil"/>
              <w:right w:val="nil"/>
            </w:tcBorders>
            <w:shd w:val="clear" w:color="auto" w:fill="FFFFFF"/>
            <w:vAlign w:val="center"/>
          </w:tcPr>
          <w:p w14:paraId="0565D17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NICT; NCRT</w:t>
            </w:r>
          </w:p>
        </w:tc>
        <w:tc>
          <w:tcPr>
            <w:tcW w:w="233" w:type="pct"/>
            <w:tcBorders>
              <w:top w:val="nil"/>
              <w:left w:val="nil"/>
              <w:bottom w:val="nil"/>
              <w:right w:val="nil"/>
            </w:tcBorders>
            <w:shd w:val="clear" w:color="auto" w:fill="FFFFFF"/>
            <w:vAlign w:val="center"/>
          </w:tcPr>
          <w:p w14:paraId="075C0C7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PD-1 inhibitor + platinum-based chemotherapy</w:t>
            </w:r>
          </w:p>
        </w:tc>
        <w:tc>
          <w:tcPr>
            <w:tcW w:w="229" w:type="pct"/>
            <w:tcBorders>
              <w:top w:val="nil"/>
              <w:left w:val="nil"/>
              <w:bottom w:val="nil"/>
              <w:right w:val="nil"/>
            </w:tcBorders>
            <w:shd w:val="clear" w:color="auto" w:fill="FFFFFF"/>
            <w:vAlign w:val="center"/>
          </w:tcPr>
          <w:p w14:paraId="46E78D4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Platinum-based chemotherapy + IMRT</w:t>
            </w:r>
          </w:p>
        </w:tc>
        <w:tc>
          <w:tcPr>
            <w:tcW w:w="152" w:type="pct"/>
            <w:tcBorders>
              <w:top w:val="nil"/>
              <w:left w:val="nil"/>
              <w:bottom w:val="nil"/>
              <w:right w:val="nil"/>
            </w:tcBorders>
            <w:shd w:val="clear" w:color="auto" w:fill="FFFFFF"/>
            <w:vAlign w:val="center"/>
          </w:tcPr>
          <w:p w14:paraId="1721AFB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40.0–41.4 Gy</w:t>
            </w:r>
          </w:p>
        </w:tc>
        <w:tc>
          <w:tcPr>
            <w:tcW w:w="201" w:type="pct"/>
            <w:tcBorders>
              <w:top w:val="nil"/>
              <w:left w:val="nil"/>
              <w:bottom w:val="nil"/>
              <w:right w:val="nil"/>
            </w:tcBorders>
            <w:shd w:val="clear" w:color="auto" w:fill="FFFFFF"/>
            <w:vAlign w:val="center"/>
          </w:tcPr>
          <w:p w14:paraId="31879E2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02" w:type="pct"/>
            <w:tcBorders>
              <w:top w:val="nil"/>
              <w:left w:val="nil"/>
              <w:bottom w:val="nil"/>
              <w:right w:val="nil"/>
            </w:tcBorders>
            <w:shd w:val="clear" w:color="auto" w:fill="FFFFFF"/>
            <w:vAlign w:val="center"/>
          </w:tcPr>
          <w:p w14:paraId="61ED71C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Radical esophagectomy</w:t>
            </w:r>
          </w:p>
        </w:tc>
        <w:tc>
          <w:tcPr>
            <w:tcW w:w="186" w:type="pct"/>
            <w:tcBorders>
              <w:top w:val="nil"/>
              <w:left w:val="nil"/>
              <w:bottom w:val="nil"/>
              <w:right w:val="nil"/>
            </w:tcBorders>
            <w:shd w:val="clear" w:color="auto" w:fill="FFFFFF"/>
            <w:vAlign w:val="center"/>
          </w:tcPr>
          <w:p w14:paraId="4E8EB64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Lymph node dissection</w:t>
            </w:r>
          </w:p>
        </w:tc>
        <w:tc>
          <w:tcPr>
            <w:tcW w:w="167" w:type="pct"/>
            <w:tcBorders>
              <w:top w:val="nil"/>
              <w:left w:val="nil"/>
              <w:bottom w:val="nil"/>
              <w:right w:val="nil"/>
            </w:tcBorders>
            <w:shd w:val="clear" w:color="auto" w:fill="FFFFFF"/>
            <w:vAlign w:val="center"/>
          </w:tcPr>
          <w:p w14:paraId="048B1A9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1" w:type="pct"/>
            <w:tcBorders>
              <w:top w:val="nil"/>
              <w:left w:val="nil"/>
              <w:bottom w:val="nil"/>
              <w:right w:val="nil"/>
            </w:tcBorders>
            <w:shd w:val="clear" w:color="auto" w:fill="FFFFFF"/>
            <w:vAlign w:val="center"/>
          </w:tcPr>
          <w:p w14:paraId="7E4C60E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4–6 weeks</w:t>
            </w:r>
          </w:p>
        </w:tc>
        <w:tc>
          <w:tcPr>
            <w:tcW w:w="172" w:type="pct"/>
            <w:tcBorders>
              <w:top w:val="nil"/>
              <w:left w:val="nil"/>
              <w:bottom w:val="nil"/>
              <w:right w:val="nil"/>
            </w:tcBorders>
            <w:shd w:val="clear" w:color="auto" w:fill="FFFFFF"/>
            <w:vAlign w:val="center"/>
          </w:tcPr>
          <w:p w14:paraId="775D9CE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After PSM: 28.5 mo; NICT 14.5 mo; NCRT 28.5 mo</w:t>
            </w:r>
          </w:p>
        </w:tc>
        <w:tc>
          <w:tcPr>
            <w:tcW w:w="156" w:type="pct"/>
            <w:tcBorders>
              <w:top w:val="nil"/>
              <w:left w:val="nil"/>
              <w:bottom w:val="nil"/>
              <w:right w:val="nil"/>
            </w:tcBorders>
            <w:shd w:val="clear" w:color="auto" w:fill="FFFFFF"/>
            <w:vAlign w:val="center"/>
          </w:tcPr>
          <w:p w14:paraId="5C19542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28 (16.0); 78 (44.6)</w:t>
            </w:r>
          </w:p>
        </w:tc>
        <w:tc>
          <w:tcPr>
            <w:tcW w:w="139" w:type="pct"/>
            <w:tcBorders>
              <w:top w:val="nil"/>
              <w:left w:val="nil"/>
              <w:bottom w:val="nil"/>
              <w:right w:val="nil"/>
            </w:tcBorders>
            <w:shd w:val="clear" w:color="auto" w:fill="FFFFFF"/>
            <w:vAlign w:val="center"/>
          </w:tcPr>
          <w:p w14:paraId="7EF275C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9" w:type="pct"/>
            <w:tcBorders>
              <w:top w:val="nil"/>
              <w:left w:val="nil"/>
              <w:bottom w:val="nil"/>
              <w:right w:val="nil"/>
            </w:tcBorders>
            <w:shd w:val="clear" w:color="auto" w:fill="FFFFFF"/>
            <w:vAlign w:val="center"/>
          </w:tcPr>
          <w:p w14:paraId="5C73D38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175 (100.0); 175 (100.0)</w:t>
            </w:r>
          </w:p>
        </w:tc>
        <w:tc>
          <w:tcPr>
            <w:tcW w:w="118" w:type="pct"/>
            <w:tcBorders>
              <w:top w:val="nil"/>
              <w:left w:val="nil"/>
              <w:bottom w:val="nil"/>
              <w:right w:val="nil"/>
            </w:tcBorders>
            <w:shd w:val="clear" w:color="auto" w:fill="FFFFFF"/>
            <w:vAlign w:val="center"/>
          </w:tcPr>
          <w:p w14:paraId="1DDA39B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26 [21–35]; 18 [13–22]</w:t>
            </w:r>
          </w:p>
        </w:tc>
        <w:tc>
          <w:tcPr>
            <w:tcW w:w="150" w:type="pct"/>
            <w:tcBorders>
              <w:top w:val="nil"/>
              <w:left w:val="nil"/>
              <w:bottom w:val="nil"/>
              <w:right w:val="nil"/>
            </w:tcBorders>
            <w:shd w:val="clear" w:color="auto" w:fill="FFFFFF"/>
            <w:vAlign w:val="center"/>
          </w:tcPr>
          <w:p w14:paraId="3C206AB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55 (31.4); 79 (45.1)</w:t>
            </w:r>
          </w:p>
        </w:tc>
        <w:tc>
          <w:tcPr>
            <w:tcW w:w="150" w:type="pct"/>
            <w:tcBorders>
              <w:top w:val="nil"/>
              <w:left w:val="nil"/>
              <w:bottom w:val="nil"/>
              <w:right w:val="nil"/>
            </w:tcBorders>
            <w:shd w:val="clear" w:color="auto" w:fill="FFFFFF"/>
            <w:vAlign w:val="center"/>
          </w:tcPr>
          <w:p w14:paraId="734E0F0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48 (27.4); 54 (30.9)</w:t>
            </w:r>
          </w:p>
        </w:tc>
        <w:tc>
          <w:tcPr>
            <w:tcW w:w="137" w:type="pct"/>
            <w:tcBorders>
              <w:top w:val="nil"/>
              <w:left w:val="nil"/>
              <w:bottom w:val="nil"/>
              <w:right w:val="nil"/>
            </w:tcBorders>
            <w:shd w:val="clear" w:color="auto" w:fill="FFFFFF"/>
            <w:vAlign w:val="center"/>
          </w:tcPr>
          <w:p w14:paraId="26C1B98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 (0.6); 18 (10.3)</w:t>
            </w:r>
          </w:p>
        </w:tc>
        <w:tc>
          <w:tcPr>
            <w:tcW w:w="118" w:type="pct"/>
            <w:tcBorders>
              <w:top w:val="nil"/>
              <w:left w:val="nil"/>
              <w:bottom w:val="nil"/>
              <w:right w:val="nil"/>
            </w:tcBorders>
            <w:shd w:val="clear" w:color="auto" w:fill="FFFFFF"/>
            <w:vAlign w:val="center"/>
          </w:tcPr>
          <w:p w14:paraId="3AE8281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4A4A074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10" w:type="pct"/>
            <w:tcBorders>
              <w:top w:val="nil"/>
              <w:left w:val="nil"/>
              <w:bottom w:val="nil"/>
              <w:right w:val="nil"/>
            </w:tcBorders>
            <w:shd w:val="clear" w:color="auto" w:fill="FFFFFF"/>
            <w:vAlign w:val="center"/>
          </w:tcPr>
          <w:p w14:paraId="653120D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38" w:type="pct"/>
            <w:tcBorders>
              <w:top w:val="nil"/>
              <w:left w:val="nil"/>
              <w:bottom w:val="nil"/>
              <w:right w:val="nil"/>
            </w:tcBorders>
            <w:shd w:val="clear" w:color="auto" w:fill="FFFFFF"/>
            <w:vAlign w:val="center"/>
          </w:tcPr>
          <w:p w14:paraId="3C49E3B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90" w:type="pct"/>
            <w:tcBorders>
              <w:top w:val="nil"/>
              <w:left w:val="nil"/>
              <w:bottom w:val="nil"/>
              <w:right w:val="nil"/>
            </w:tcBorders>
            <w:shd w:val="clear" w:color="auto" w:fill="FFFFFF"/>
            <w:vAlign w:val="center"/>
          </w:tcPr>
          <w:p w14:paraId="49E76AC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371" w:type="pct"/>
            <w:tcBorders>
              <w:top w:val="nil"/>
              <w:left w:val="nil"/>
              <w:bottom w:val="nil"/>
              <w:right w:val="nil"/>
            </w:tcBorders>
            <w:shd w:val="clear" w:color="auto" w:fill="FFFFFF"/>
            <w:vAlign w:val="center"/>
          </w:tcPr>
          <w:p w14:paraId="75474A6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6-mo DFS: 93.2%; 90.4%; 12-mo DFS: 88.0%; 82.2%</w:t>
            </w:r>
          </w:p>
        </w:tc>
        <w:tc>
          <w:tcPr>
            <w:tcW w:w="324" w:type="pct"/>
            <w:tcBorders>
              <w:top w:val="nil"/>
              <w:left w:val="nil"/>
              <w:bottom w:val="nil"/>
              <w:right w:val="nil"/>
            </w:tcBorders>
            <w:shd w:val="clear" w:color="auto" w:fill="FFFFFF"/>
            <w:vAlign w:val="center"/>
          </w:tcPr>
          <w:p w14:paraId="127327F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42" w:type="pct"/>
            <w:tcBorders>
              <w:top w:val="nil"/>
              <w:left w:val="nil"/>
              <w:bottom w:val="nil"/>
              <w:right w:val="nil"/>
            </w:tcBorders>
            <w:shd w:val="clear" w:color="auto" w:fill="FFFFFF"/>
            <w:vAlign w:val="center"/>
          </w:tcPr>
          <w:p w14:paraId="47D4B08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0.692 (0.408–1.172)</w:t>
            </w:r>
          </w:p>
        </w:tc>
        <w:tc>
          <w:tcPr>
            <w:tcW w:w="179" w:type="pct"/>
            <w:tcBorders>
              <w:top w:val="nil"/>
              <w:left w:val="nil"/>
              <w:bottom w:val="nil"/>
              <w:right w:val="nil"/>
            </w:tcBorders>
            <w:shd w:val="clear" w:color="auto" w:fill="FFFFFF"/>
            <w:vAlign w:val="center"/>
          </w:tcPr>
          <w:p w14:paraId="4E4C1F9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r>
      <w:tr w14:paraId="64E16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69636D4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Wang et al. [26]</w:t>
            </w:r>
          </w:p>
        </w:tc>
        <w:tc>
          <w:tcPr>
            <w:tcW w:w="145" w:type="pct"/>
            <w:tcBorders>
              <w:top w:val="nil"/>
              <w:left w:val="nil"/>
              <w:bottom w:val="nil"/>
              <w:right w:val="nil"/>
            </w:tcBorders>
            <w:shd w:val="clear" w:color="auto" w:fill="FFFFFF"/>
            <w:vAlign w:val="center"/>
          </w:tcPr>
          <w:p w14:paraId="332C350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nICT; nCRT</w:t>
            </w:r>
          </w:p>
        </w:tc>
        <w:tc>
          <w:tcPr>
            <w:tcW w:w="233" w:type="pct"/>
            <w:tcBorders>
              <w:top w:val="nil"/>
              <w:left w:val="nil"/>
              <w:bottom w:val="nil"/>
              <w:right w:val="nil"/>
            </w:tcBorders>
            <w:shd w:val="clear" w:color="auto" w:fill="FFFFFF"/>
            <w:vAlign w:val="center"/>
          </w:tcPr>
          <w:p w14:paraId="46028EB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PD-1 inhibitor + platinum-based chemotherapy</w:t>
            </w:r>
          </w:p>
        </w:tc>
        <w:tc>
          <w:tcPr>
            <w:tcW w:w="229" w:type="pct"/>
            <w:tcBorders>
              <w:top w:val="nil"/>
              <w:left w:val="nil"/>
              <w:bottom w:val="nil"/>
              <w:right w:val="nil"/>
            </w:tcBorders>
            <w:shd w:val="clear" w:color="auto" w:fill="FFFFFF"/>
            <w:vAlign w:val="center"/>
          </w:tcPr>
          <w:p w14:paraId="4282C40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Platinum-based chemotherapy + radiotherapy</w:t>
            </w:r>
          </w:p>
        </w:tc>
        <w:tc>
          <w:tcPr>
            <w:tcW w:w="152" w:type="pct"/>
            <w:tcBorders>
              <w:top w:val="nil"/>
              <w:left w:val="nil"/>
              <w:bottom w:val="nil"/>
              <w:right w:val="nil"/>
            </w:tcBorders>
            <w:shd w:val="clear" w:color="auto" w:fill="FFFFFF"/>
            <w:vAlign w:val="center"/>
          </w:tcPr>
          <w:p w14:paraId="70305A8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36–45 Gy</w:t>
            </w:r>
          </w:p>
        </w:tc>
        <w:tc>
          <w:tcPr>
            <w:tcW w:w="201" w:type="pct"/>
            <w:tcBorders>
              <w:top w:val="nil"/>
              <w:left w:val="nil"/>
              <w:bottom w:val="nil"/>
              <w:right w:val="nil"/>
            </w:tcBorders>
            <w:shd w:val="clear" w:color="auto" w:fill="FFFFFF"/>
            <w:vAlign w:val="center"/>
          </w:tcPr>
          <w:p w14:paraId="57B731D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 1–4</w:t>
            </w:r>
          </w:p>
        </w:tc>
        <w:tc>
          <w:tcPr>
            <w:tcW w:w="202" w:type="pct"/>
            <w:tcBorders>
              <w:top w:val="nil"/>
              <w:left w:val="nil"/>
              <w:bottom w:val="nil"/>
              <w:right w:val="nil"/>
            </w:tcBorders>
            <w:shd w:val="clear" w:color="auto" w:fill="FFFFFF"/>
            <w:vAlign w:val="center"/>
          </w:tcPr>
          <w:p w14:paraId="3A89784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McKeown/Ivor Lewis esophagectomy</w:t>
            </w:r>
          </w:p>
        </w:tc>
        <w:tc>
          <w:tcPr>
            <w:tcW w:w="186" w:type="pct"/>
            <w:tcBorders>
              <w:top w:val="nil"/>
              <w:left w:val="nil"/>
              <w:bottom w:val="nil"/>
              <w:right w:val="nil"/>
            </w:tcBorders>
            <w:shd w:val="clear" w:color="auto" w:fill="FFFFFF"/>
            <w:vAlign w:val="center"/>
          </w:tcPr>
          <w:p w14:paraId="4AFEC57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Two-field; selective three-field</w:t>
            </w:r>
          </w:p>
        </w:tc>
        <w:tc>
          <w:tcPr>
            <w:tcW w:w="167" w:type="pct"/>
            <w:tcBorders>
              <w:top w:val="nil"/>
              <w:left w:val="nil"/>
              <w:bottom w:val="nil"/>
              <w:right w:val="nil"/>
            </w:tcBorders>
            <w:shd w:val="clear" w:color="auto" w:fill="FFFFFF"/>
            <w:vAlign w:val="center"/>
          </w:tcPr>
          <w:p w14:paraId="02B50D9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1" w:type="pct"/>
            <w:tcBorders>
              <w:top w:val="nil"/>
              <w:left w:val="nil"/>
              <w:bottom w:val="nil"/>
              <w:right w:val="nil"/>
            </w:tcBorders>
            <w:shd w:val="clear" w:color="auto" w:fill="FFFFFF"/>
            <w:vAlign w:val="center"/>
          </w:tcPr>
          <w:p w14:paraId="1CD6EA4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4–8 weeks</w:t>
            </w:r>
          </w:p>
        </w:tc>
        <w:tc>
          <w:tcPr>
            <w:tcW w:w="172" w:type="pct"/>
            <w:tcBorders>
              <w:top w:val="nil"/>
              <w:left w:val="nil"/>
              <w:bottom w:val="nil"/>
              <w:right w:val="nil"/>
            </w:tcBorders>
            <w:shd w:val="clear" w:color="auto" w:fill="FFFFFF"/>
            <w:vAlign w:val="center"/>
          </w:tcPr>
          <w:p w14:paraId="534C8E5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27.7 mo</w:t>
            </w:r>
          </w:p>
        </w:tc>
        <w:tc>
          <w:tcPr>
            <w:tcW w:w="156" w:type="pct"/>
            <w:tcBorders>
              <w:top w:val="nil"/>
              <w:left w:val="nil"/>
              <w:bottom w:val="nil"/>
              <w:right w:val="nil"/>
            </w:tcBorders>
            <w:shd w:val="clear" w:color="auto" w:fill="FFFFFF"/>
            <w:vAlign w:val="center"/>
          </w:tcPr>
          <w:p w14:paraId="08A2A59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21 (14.6); 71 (32.9)</w:t>
            </w:r>
          </w:p>
        </w:tc>
        <w:tc>
          <w:tcPr>
            <w:tcW w:w="139" w:type="pct"/>
            <w:tcBorders>
              <w:top w:val="nil"/>
              <w:left w:val="nil"/>
              <w:bottom w:val="nil"/>
              <w:right w:val="nil"/>
            </w:tcBorders>
            <w:shd w:val="clear" w:color="auto" w:fill="FFFFFF"/>
            <w:vAlign w:val="center"/>
          </w:tcPr>
          <w:p w14:paraId="5AC08D8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9" w:type="pct"/>
            <w:tcBorders>
              <w:top w:val="nil"/>
              <w:left w:val="nil"/>
              <w:bottom w:val="nil"/>
              <w:right w:val="nil"/>
            </w:tcBorders>
            <w:shd w:val="clear" w:color="auto" w:fill="FFFFFF"/>
            <w:vAlign w:val="center"/>
          </w:tcPr>
          <w:p w14:paraId="1480ACA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135 (93.8); 202 (93.5)</w:t>
            </w:r>
          </w:p>
        </w:tc>
        <w:tc>
          <w:tcPr>
            <w:tcW w:w="118" w:type="pct"/>
            <w:tcBorders>
              <w:top w:val="nil"/>
              <w:left w:val="nil"/>
              <w:bottom w:val="nil"/>
              <w:right w:val="nil"/>
            </w:tcBorders>
            <w:shd w:val="clear" w:color="auto" w:fill="FFFFFF"/>
            <w:vAlign w:val="center"/>
          </w:tcPr>
          <w:p w14:paraId="66A3B6B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26 [19–34]; 17 [12–23]</w:t>
            </w:r>
          </w:p>
        </w:tc>
        <w:tc>
          <w:tcPr>
            <w:tcW w:w="150" w:type="pct"/>
            <w:tcBorders>
              <w:top w:val="nil"/>
              <w:left w:val="nil"/>
              <w:bottom w:val="nil"/>
              <w:right w:val="nil"/>
            </w:tcBorders>
            <w:shd w:val="clear" w:color="auto" w:fill="FFFFFF"/>
            <w:vAlign w:val="center"/>
          </w:tcPr>
          <w:p w14:paraId="6034299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610840B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Pulmonary infection: 47 (32.6); 55 (25.5)</w:t>
            </w:r>
          </w:p>
        </w:tc>
        <w:tc>
          <w:tcPr>
            <w:tcW w:w="137" w:type="pct"/>
            <w:tcBorders>
              <w:top w:val="nil"/>
              <w:left w:val="nil"/>
              <w:bottom w:val="nil"/>
              <w:right w:val="nil"/>
            </w:tcBorders>
            <w:shd w:val="clear" w:color="auto" w:fill="FFFFFF"/>
            <w:vAlign w:val="center"/>
          </w:tcPr>
          <w:p w14:paraId="0DD4C80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25 (17.4); 24 (11.1)</w:t>
            </w:r>
          </w:p>
        </w:tc>
        <w:tc>
          <w:tcPr>
            <w:tcW w:w="118" w:type="pct"/>
            <w:tcBorders>
              <w:top w:val="nil"/>
              <w:left w:val="nil"/>
              <w:bottom w:val="nil"/>
              <w:right w:val="nil"/>
            </w:tcBorders>
            <w:shd w:val="clear" w:color="auto" w:fill="FFFFFF"/>
            <w:vAlign w:val="center"/>
          </w:tcPr>
          <w:p w14:paraId="07E6288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 (2.1); 2 (0.9)</w:t>
            </w:r>
          </w:p>
        </w:tc>
        <w:tc>
          <w:tcPr>
            <w:tcW w:w="135" w:type="pct"/>
            <w:tcBorders>
              <w:top w:val="nil"/>
              <w:left w:val="nil"/>
              <w:bottom w:val="nil"/>
              <w:right w:val="nil"/>
            </w:tcBorders>
            <w:shd w:val="clear" w:color="auto" w:fill="FFFFFF"/>
            <w:vAlign w:val="center"/>
          </w:tcPr>
          <w:p w14:paraId="44233D0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 (2.1); 5 (2.3)</w:t>
            </w:r>
          </w:p>
        </w:tc>
        <w:tc>
          <w:tcPr>
            <w:tcW w:w="210" w:type="pct"/>
            <w:tcBorders>
              <w:top w:val="nil"/>
              <w:left w:val="nil"/>
              <w:bottom w:val="nil"/>
              <w:right w:val="nil"/>
            </w:tcBorders>
            <w:shd w:val="clear" w:color="auto" w:fill="FFFFFF"/>
            <w:vAlign w:val="center"/>
          </w:tcPr>
          <w:p w14:paraId="5391BA3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38" w:type="pct"/>
            <w:tcBorders>
              <w:top w:val="nil"/>
              <w:left w:val="nil"/>
              <w:bottom w:val="nil"/>
              <w:right w:val="nil"/>
            </w:tcBorders>
            <w:shd w:val="clear" w:color="auto" w:fill="FFFFFF"/>
            <w:vAlign w:val="center"/>
          </w:tcPr>
          <w:p w14:paraId="7150EFD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3-y LRR: 36.58%; 23.58%</w:t>
            </w:r>
          </w:p>
        </w:tc>
        <w:tc>
          <w:tcPr>
            <w:tcW w:w="290" w:type="pct"/>
            <w:tcBorders>
              <w:top w:val="nil"/>
              <w:left w:val="nil"/>
              <w:bottom w:val="nil"/>
              <w:right w:val="nil"/>
            </w:tcBorders>
            <w:shd w:val="clear" w:color="auto" w:fill="FFFFFF"/>
            <w:vAlign w:val="center"/>
          </w:tcPr>
          <w:p w14:paraId="7100093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3-y DM: 31.95%; 26.57%</w:t>
            </w:r>
          </w:p>
        </w:tc>
        <w:tc>
          <w:tcPr>
            <w:tcW w:w="371" w:type="pct"/>
            <w:tcBorders>
              <w:top w:val="nil"/>
              <w:left w:val="nil"/>
              <w:bottom w:val="nil"/>
              <w:right w:val="nil"/>
            </w:tcBorders>
            <w:shd w:val="clear" w:color="auto" w:fill="FFFFFF"/>
            <w:vAlign w:val="center"/>
          </w:tcPr>
          <w:p w14:paraId="212F503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3-y DFS: 56.16%; 58.32%</w:t>
            </w:r>
          </w:p>
        </w:tc>
        <w:tc>
          <w:tcPr>
            <w:tcW w:w="324" w:type="pct"/>
            <w:tcBorders>
              <w:top w:val="nil"/>
              <w:left w:val="nil"/>
              <w:bottom w:val="nil"/>
              <w:right w:val="nil"/>
            </w:tcBorders>
            <w:shd w:val="clear" w:color="auto" w:fill="FFFFFF"/>
            <w:vAlign w:val="center"/>
          </w:tcPr>
          <w:p w14:paraId="3BF7E23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3-y OS: 71.99%; 69.96%</w:t>
            </w:r>
          </w:p>
        </w:tc>
        <w:tc>
          <w:tcPr>
            <w:tcW w:w="142" w:type="pct"/>
            <w:tcBorders>
              <w:top w:val="nil"/>
              <w:left w:val="nil"/>
              <w:bottom w:val="nil"/>
              <w:right w:val="nil"/>
            </w:tcBorders>
            <w:shd w:val="clear" w:color="auto" w:fill="FFFFFF"/>
            <w:vAlign w:val="center"/>
          </w:tcPr>
          <w:p w14:paraId="5BE4AD9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79" w:type="pct"/>
            <w:tcBorders>
              <w:top w:val="nil"/>
              <w:left w:val="nil"/>
              <w:bottom w:val="nil"/>
              <w:right w:val="nil"/>
            </w:tcBorders>
            <w:shd w:val="clear" w:color="auto" w:fill="FFFFFF"/>
            <w:vAlign w:val="center"/>
          </w:tcPr>
          <w:p w14:paraId="325C599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r>
      <w:tr w14:paraId="6BC31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323CE94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Wang et al. [27]</w:t>
            </w:r>
          </w:p>
        </w:tc>
        <w:tc>
          <w:tcPr>
            <w:tcW w:w="145" w:type="pct"/>
            <w:tcBorders>
              <w:top w:val="nil"/>
              <w:left w:val="nil"/>
              <w:bottom w:val="nil"/>
              <w:right w:val="nil"/>
            </w:tcBorders>
            <w:shd w:val="clear" w:color="auto" w:fill="FFFFFF"/>
            <w:vAlign w:val="center"/>
          </w:tcPr>
          <w:p w14:paraId="69BE367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NICT; NCRT</w:t>
            </w:r>
          </w:p>
        </w:tc>
        <w:tc>
          <w:tcPr>
            <w:tcW w:w="233" w:type="pct"/>
            <w:tcBorders>
              <w:top w:val="nil"/>
              <w:left w:val="nil"/>
              <w:bottom w:val="nil"/>
              <w:right w:val="nil"/>
            </w:tcBorders>
            <w:shd w:val="clear" w:color="auto" w:fill="FFFFFF"/>
            <w:vAlign w:val="center"/>
          </w:tcPr>
          <w:p w14:paraId="3D0932D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Modified DCF + pembrolizumab 200 mg</w:t>
            </w:r>
          </w:p>
        </w:tc>
        <w:tc>
          <w:tcPr>
            <w:tcW w:w="229" w:type="pct"/>
            <w:tcBorders>
              <w:top w:val="nil"/>
              <w:left w:val="nil"/>
              <w:bottom w:val="nil"/>
              <w:right w:val="nil"/>
            </w:tcBorders>
            <w:shd w:val="clear" w:color="auto" w:fill="FFFFFF"/>
            <w:vAlign w:val="center"/>
          </w:tcPr>
          <w:p w14:paraId="5EAF55D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Weekly paclitaxel/carboplatin + IMRT</w:t>
            </w:r>
          </w:p>
        </w:tc>
        <w:tc>
          <w:tcPr>
            <w:tcW w:w="152" w:type="pct"/>
            <w:tcBorders>
              <w:top w:val="nil"/>
              <w:left w:val="nil"/>
              <w:bottom w:val="nil"/>
              <w:right w:val="nil"/>
            </w:tcBorders>
            <w:shd w:val="clear" w:color="auto" w:fill="FFFFFF"/>
            <w:vAlign w:val="center"/>
          </w:tcPr>
          <w:p w14:paraId="12C92C6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41.4 Gy/23 fractions</w:t>
            </w:r>
          </w:p>
        </w:tc>
        <w:tc>
          <w:tcPr>
            <w:tcW w:w="201" w:type="pct"/>
            <w:tcBorders>
              <w:top w:val="nil"/>
              <w:left w:val="nil"/>
              <w:bottom w:val="nil"/>
              <w:right w:val="nil"/>
            </w:tcBorders>
            <w:shd w:val="clear" w:color="auto" w:fill="FFFFFF"/>
            <w:vAlign w:val="center"/>
          </w:tcPr>
          <w:p w14:paraId="740DC48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 cycles; weekly ×5</w:t>
            </w:r>
          </w:p>
        </w:tc>
        <w:tc>
          <w:tcPr>
            <w:tcW w:w="202" w:type="pct"/>
            <w:tcBorders>
              <w:top w:val="nil"/>
              <w:left w:val="nil"/>
              <w:bottom w:val="nil"/>
              <w:right w:val="nil"/>
            </w:tcBorders>
            <w:shd w:val="clear" w:color="auto" w:fill="FFFFFF"/>
            <w:vAlign w:val="center"/>
          </w:tcPr>
          <w:p w14:paraId="4E25B16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McKeown/Ivor Lewis esophagectomy</w:t>
            </w:r>
          </w:p>
        </w:tc>
        <w:tc>
          <w:tcPr>
            <w:tcW w:w="186" w:type="pct"/>
            <w:tcBorders>
              <w:top w:val="nil"/>
              <w:left w:val="nil"/>
              <w:bottom w:val="nil"/>
              <w:right w:val="nil"/>
            </w:tcBorders>
            <w:shd w:val="clear" w:color="auto" w:fill="FFFFFF"/>
            <w:vAlign w:val="center"/>
          </w:tcPr>
          <w:p w14:paraId="6F6484C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Two-field; selective three-field</w:t>
            </w:r>
          </w:p>
        </w:tc>
        <w:tc>
          <w:tcPr>
            <w:tcW w:w="167" w:type="pct"/>
            <w:tcBorders>
              <w:top w:val="nil"/>
              <w:left w:val="nil"/>
              <w:bottom w:val="nil"/>
              <w:right w:val="nil"/>
            </w:tcBorders>
            <w:shd w:val="clear" w:color="auto" w:fill="FFFFFF"/>
            <w:vAlign w:val="center"/>
          </w:tcPr>
          <w:p w14:paraId="267760C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1" w:type="pct"/>
            <w:tcBorders>
              <w:top w:val="nil"/>
              <w:left w:val="nil"/>
              <w:bottom w:val="nil"/>
              <w:right w:val="nil"/>
            </w:tcBorders>
            <w:shd w:val="clear" w:color="auto" w:fill="FFFFFF"/>
            <w:vAlign w:val="center"/>
          </w:tcPr>
          <w:p w14:paraId="7558118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35.54 ± 7.67 d; 50.74 ± 33.14 d</w:t>
            </w:r>
          </w:p>
        </w:tc>
        <w:tc>
          <w:tcPr>
            <w:tcW w:w="172" w:type="pct"/>
            <w:tcBorders>
              <w:top w:val="nil"/>
              <w:left w:val="nil"/>
              <w:bottom w:val="nil"/>
              <w:right w:val="nil"/>
            </w:tcBorders>
            <w:shd w:val="clear" w:color="auto" w:fill="FFFFFF"/>
            <w:vAlign w:val="center"/>
          </w:tcPr>
          <w:p w14:paraId="307D737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28.5 mo</w:t>
            </w:r>
          </w:p>
        </w:tc>
        <w:tc>
          <w:tcPr>
            <w:tcW w:w="156" w:type="pct"/>
            <w:tcBorders>
              <w:top w:val="nil"/>
              <w:left w:val="nil"/>
              <w:bottom w:val="nil"/>
              <w:right w:val="nil"/>
            </w:tcBorders>
            <w:shd w:val="clear" w:color="auto" w:fill="FFFFFF"/>
            <w:vAlign w:val="center"/>
          </w:tcPr>
          <w:p w14:paraId="1FEF9BA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21 (25.0); 8 (13.1)</w:t>
            </w:r>
          </w:p>
        </w:tc>
        <w:tc>
          <w:tcPr>
            <w:tcW w:w="139" w:type="pct"/>
            <w:tcBorders>
              <w:top w:val="nil"/>
              <w:left w:val="nil"/>
              <w:bottom w:val="nil"/>
              <w:right w:val="nil"/>
            </w:tcBorders>
            <w:shd w:val="clear" w:color="auto" w:fill="FFFFFF"/>
            <w:vAlign w:val="center"/>
          </w:tcPr>
          <w:p w14:paraId="666A2FC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9" w:type="pct"/>
            <w:tcBorders>
              <w:top w:val="nil"/>
              <w:left w:val="nil"/>
              <w:bottom w:val="nil"/>
              <w:right w:val="nil"/>
            </w:tcBorders>
            <w:shd w:val="clear" w:color="auto" w:fill="FFFFFF"/>
            <w:vAlign w:val="center"/>
          </w:tcPr>
          <w:p w14:paraId="40420A2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8" w:type="pct"/>
            <w:tcBorders>
              <w:top w:val="nil"/>
              <w:left w:val="nil"/>
              <w:bottom w:val="nil"/>
              <w:right w:val="nil"/>
            </w:tcBorders>
            <w:shd w:val="clear" w:color="auto" w:fill="FFFFFF"/>
            <w:vAlign w:val="center"/>
          </w:tcPr>
          <w:p w14:paraId="77897A9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28.83 ± 13.77; 22.95 ± 9.57</w:t>
            </w:r>
          </w:p>
        </w:tc>
        <w:tc>
          <w:tcPr>
            <w:tcW w:w="150" w:type="pct"/>
            <w:tcBorders>
              <w:top w:val="nil"/>
              <w:left w:val="nil"/>
              <w:bottom w:val="nil"/>
              <w:right w:val="nil"/>
            </w:tcBorders>
            <w:shd w:val="clear" w:color="auto" w:fill="FFFFFF"/>
            <w:vAlign w:val="center"/>
          </w:tcPr>
          <w:p w14:paraId="39DDCA6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5E6BA15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7" w:type="pct"/>
            <w:tcBorders>
              <w:top w:val="nil"/>
              <w:left w:val="nil"/>
              <w:bottom w:val="nil"/>
              <w:right w:val="nil"/>
            </w:tcBorders>
            <w:shd w:val="clear" w:color="auto" w:fill="FFFFFF"/>
            <w:vAlign w:val="center"/>
          </w:tcPr>
          <w:p w14:paraId="3078839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8" w:type="pct"/>
            <w:tcBorders>
              <w:top w:val="nil"/>
              <w:left w:val="nil"/>
              <w:bottom w:val="nil"/>
              <w:right w:val="nil"/>
            </w:tcBorders>
            <w:shd w:val="clear" w:color="auto" w:fill="FFFFFF"/>
            <w:vAlign w:val="center"/>
          </w:tcPr>
          <w:p w14:paraId="0859357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 (6.0); 11 (18.0)</w:t>
            </w:r>
          </w:p>
        </w:tc>
        <w:tc>
          <w:tcPr>
            <w:tcW w:w="135" w:type="pct"/>
            <w:tcBorders>
              <w:top w:val="nil"/>
              <w:left w:val="nil"/>
              <w:bottom w:val="nil"/>
              <w:right w:val="nil"/>
            </w:tcBorders>
            <w:shd w:val="clear" w:color="auto" w:fill="FFFFFF"/>
            <w:vAlign w:val="center"/>
          </w:tcPr>
          <w:p w14:paraId="09B05F7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10" w:type="pct"/>
            <w:tcBorders>
              <w:top w:val="nil"/>
              <w:left w:val="nil"/>
              <w:bottom w:val="nil"/>
              <w:right w:val="nil"/>
            </w:tcBorders>
            <w:shd w:val="clear" w:color="auto" w:fill="FFFFFF"/>
            <w:vAlign w:val="center"/>
          </w:tcPr>
          <w:p w14:paraId="0F24FD0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 (16.7); 13 (21.3)</w:t>
            </w:r>
          </w:p>
        </w:tc>
        <w:tc>
          <w:tcPr>
            <w:tcW w:w="238" w:type="pct"/>
            <w:tcBorders>
              <w:top w:val="nil"/>
              <w:left w:val="nil"/>
              <w:bottom w:val="nil"/>
              <w:right w:val="nil"/>
            </w:tcBorders>
            <w:shd w:val="clear" w:color="auto" w:fill="FFFFFF"/>
            <w:vAlign w:val="center"/>
          </w:tcPr>
          <w:p w14:paraId="38C3744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90" w:type="pct"/>
            <w:tcBorders>
              <w:top w:val="nil"/>
              <w:left w:val="nil"/>
              <w:bottom w:val="nil"/>
              <w:right w:val="nil"/>
            </w:tcBorders>
            <w:shd w:val="clear" w:color="auto" w:fill="FFFFFF"/>
            <w:vAlign w:val="center"/>
          </w:tcPr>
          <w:p w14:paraId="3BE07C2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371" w:type="pct"/>
            <w:tcBorders>
              <w:top w:val="nil"/>
              <w:left w:val="nil"/>
              <w:bottom w:val="nil"/>
              <w:right w:val="nil"/>
            </w:tcBorders>
            <w:shd w:val="clear" w:color="auto" w:fill="FFFFFF"/>
            <w:vAlign w:val="center"/>
          </w:tcPr>
          <w:p w14:paraId="477DE25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324" w:type="pct"/>
            <w:tcBorders>
              <w:top w:val="nil"/>
              <w:left w:val="nil"/>
              <w:bottom w:val="nil"/>
              <w:right w:val="nil"/>
            </w:tcBorders>
            <w:shd w:val="clear" w:color="auto" w:fill="FFFFFF"/>
            <w:vAlign w:val="center"/>
          </w:tcPr>
          <w:p w14:paraId="561042C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Median OS: NR; 31.2 mo; 1-y OS: 89.3%; 85.2%; 2-y OS: 76.2%; 68.9%; 3-y OS: 64.8%; 52.3%</w:t>
            </w:r>
          </w:p>
        </w:tc>
        <w:tc>
          <w:tcPr>
            <w:tcW w:w="142" w:type="pct"/>
            <w:tcBorders>
              <w:top w:val="nil"/>
              <w:left w:val="nil"/>
              <w:bottom w:val="nil"/>
              <w:right w:val="nil"/>
            </w:tcBorders>
            <w:shd w:val="clear" w:color="auto" w:fill="FFFFFF"/>
            <w:vAlign w:val="center"/>
          </w:tcPr>
          <w:p w14:paraId="5350FE1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79" w:type="pct"/>
            <w:tcBorders>
              <w:top w:val="nil"/>
              <w:left w:val="nil"/>
              <w:bottom w:val="nil"/>
              <w:right w:val="nil"/>
            </w:tcBorders>
            <w:shd w:val="clear" w:color="auto" w:fill="FFFFFF"/>
            <w:vAlign w:val="center"/>
          </w:tcPr>
          <w:p w14:paraId="13C50B5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0.73 (0.52–1.03)</w:t>
            </w:r>
          </w:p>
        </w:tc>
      </w:tr>
      <w:tr w14:paraId="7D055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0471D2C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Wang et al. [28]</w:t>
            </w:r>
          </w:p>
        </w:tc>
        <w:tc>
          <w:tcPr>
            <w:tcW w:w="145" w:type="pct"/>
            <w:tcBorders>
              <w:top w:val="nil"/>
              <w:left w:val="nil"/>
              <w:bottom w:val="nil"/>
              <w:right w:val="nil"/>
            </w:tcBorders>
            <w:shd w:val="clear" w:color="auto" w:fill="FFFFFF"/>
            <w:vAlign w:val="center"/>
          </w:tcPr>
          <w:p w14:paraId="3A4D889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ICT; CRT</w:t>
            </w:r>
          </w:p>
        </w:tc>
        <w:tc>
          <w:tcPr>
            <w:tcW w:w="233" w:type="pct"/>
            <w:tcBorders>
              <w:top w:val="nil"/>
              <w:left w:val="nil"/>
              <w:bottom w:val="nil"/>
              <w:right w:val="nil"/>
            </w:tcBorders>
            <w:shd w:val="clear" w:color="auto" w:fill="FFFFFF"/>
            <w:vAlign w:val="center"/>
          </w:tcPr>
          <w:p w14:paraId="19CB7D6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Camrelizumab 200 mg + nab-paclitaxel/cisplatin</w:t>
            </w:r>
          </w:p>
        </w:tc>
        <w:tc>
          <w:tcPr>
            <w:tcW w:w="229" w:type="pct"/>
            <w:tcBorders>
              <w:top w:val="nil"/>
              <w:left w:val="nil"/>
              <w:bottom w:val="nil"/>
              <w:right w:val="nil"/>
            </w:tcBorders>
            <w:shd w:val="clear" w:color="auto" w:fill="FFFFFF"/>
            <w:vAlign w:val="center"/>
          </w:tcPr>
          <w:p w14:paraId="2294604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Nab-paclitaxel/cisplatin + radiotherapy</w:t>
            </w:r>
          </w:p>
        </w:tc>
        <w:tc>
          <w:tcPr>
            <w:tcW w:w="152" w:type="pct"/>
            <w:tcBorders>
              <w:top w:val="nil"/>
              <w:left w:val="nil"/>
              <w:bottom w:val="nil"/>
              <w:right w:val="nil"/>
            </w:tcBorders>
            <w:shd w:val="clear" w:color="auto" w:fill="FFFFFF"/>
            <w:vAlign w:val="center"/>
          </w:tcPr>
          <w:p w14:paraId="5CA10AE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40 Gy/20 fractions; 36 Gy allowed</w:t>
            </w:r>
          </w:p>
        </w:tc>
        <w:tc>
          <w:tcPr>
            <w:tcW w:w="201" w:type="pct"/>
            <w:tcBorders>
              <w:top w:val="nil"/>
              <w:left w:val="nil"/>
              <w:bottom w:val="nil"/>
              <w:right w:val="nil"/>
            </w:tcBorders>
            <w:shd w:val="clear" w:color="auto" w:fill="FFFFFF"/>
            <w:vAlign w:val="center"/>
          </w:tcPr>
          <w:p w14:paraId="281F6F3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2–4; 2</w:t>
            </w:r>
          </w:p>
        </w:tc>
        <w:tc>
          <w:tcPr>
            <w:tcW w:w="202" w:type="pct"/>
            <w:tcBorders>
              <w:top w:val="nil"/>
              <w:left w:val="nil"/>
              <w:bottom w:val="nil"/>
              <w:right w:val="nil"/>
            </w:tcBorders>
            <w:shd w:val="clear" w:color="auto" w:fill="FFFFFF"/>
            <w:vAlign w:val="center"/>
          </w:tcPr>
          <w:p w14:paraId="4D0BC66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McKeown mainly</w:t>
            </w:r>
          </w:p>
        </w:tc>
        <w:tc>
          <w:tcPr>
            <w:tcW w:w="186" w:type="pct"/>
            <w:tcBorders>
              <w:top w:val="nil"/>
              <w:left w:val="nil"/>
              <w:bottom w:val="nil"/>
              <w:right w:val="nil"/>
            </w:tcBorders>
            <w:shd w:val="clear" w:color="auto" w:fill="FFFFFF"/>
            <w:vAlign w:val="center"/>
          </w:tcPr>
          <w:p w14:paraId="0686F94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Two-field lymphadenectomy</w:t>
            </w:r>
          </w:p>
        </w:tc>
        <w:tc>
          <w:tcPr>
            <w:tcW w:w="167" w:type="pct"/>
            <w:tcBorders>
              <w:top w:val="nil"/>
              <w:left w:val="nil"/>
              <w:bottom w:val="nil"/>
              <w:right w:val="nil"/>
            </w:tcBorders>
            <w:shd w:val="clear" w:color="auto" w:fill="FFFFFF"/>
            <w:vAlign w:val="center"/>
          </w:tcPr>
          <w:p w14:paraId="31790A9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1" w:type="pct"/>
            <w:tcBorders>
              <w:top w:val="nil"/>
              <w:left w:val="nil"/>
              <w:bottom w:val="nil"/>
              <w:right w:val="nil"/>
            </w:tcBorders>
            <w:shd w:val="clear" w:color="auto" w:fill="FFFFFF"/>
            <w:vAlign w:val="center"/>
          </w:tcPr>
          <w:p w14:paraId="0714F84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4–6 weeks</w:t>
            </w:r>
          </w:p>
        </w:tc>
        <w:tc>
          <w:tcPr>
            <w:tcW w:w="172" w:type="pct"/>
            <w:tcBorders>
              <w:top w:val="nil"/>
              <w:left w:val="nil"/>
              <w:bottom w:val="nil"/>
              <w:right w:val="nil"/>
            </w:tcBorders>
            <w:shd w:val="clear" w:color="auto" w:fill="FFFFFF"/>
            <w:vAlign w:val="center"/>
          </w:tcPr>
          <w:p w14:paraId="1E04386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18.8 (12.8–24.0) mo</w:t>
            </w:r>
          </w:p>
        </w:tc>
        <w:tc>
          <w:tcPr>
            <w:tcW w:w="156" w:type="pct"/>
            <w:tcBorders>
              <w:top w:val="nil"/>
              <w:left w:val="nil"/>
              <w:bottom w:val="nil"/>
              <w:right w:val="nil"/>
            </w:tcBorders>
            <w:shd w:val="clear" w:color="auto" w:fill="FFFFFF"/>
            <w:vAlign w:val="center"/>
          </w:tcPr>
          <w:p w14:paraId="09AD747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17 (32.7); 18 (34.6)</w:t>
            </w:r>
          </w:p>
        </w:tc>
        <w:tc>
          <w:tcPr>
            <w:tcW w:w="139" w:type="pct"/>
            <w:tcBorders>
              <w:top w:val="nil"/>
              <w:left w:val="nil"/>
              <w:bottom w:val="nil"/>
              <w:right w:val="nil"/>
            </w:tcBorders>
            <w:shd w:val="clear" w:color="auto" w:fill="FFFFFF"/>
            <w:vAlign w:val="center"/>
          </w:tcPr>
          <w:p w14:paraId="09EEFD1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22 (42.3); 30 (57.7)</w:t>
            </w:r>
          </w:p>
        </w:tc>
        <w:tc>
          <w:tcPr>
            <w:tcW w:w="159" w:type="pct"/>
            <w:tcBorders>
              <w:top w:val="nil"/>
              <w:left w:val="nil"/>
              <w:bottom w:val="nil"/>
              <w:right w:val="nil"/>
            </w:tcBorders>
            <w:shd w:val="clear" w:color="auto" w:fill="FFFFFF"/>
            <w:vAlign w:val="center"/>
          </w:tcPr>
          <w:p w14:paraId="79B9A3D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45/45 (100.0); 39/39 (100.0)</w:t>
            </w:r>
          </w:p>
        </w:tc>
        <w:tc>
          <w:tcPr>
            <w:tcW w:w="118" w:type="pct"/>
            <w:tcBorders>
              <w:top w:val="nil"/>
              <w:left w:val="nil"/>
              <w:bottom w:val="nil"/>
              <w:right w:val="nil"/>
            </w:tcBorders>
            <w:shd w:val="clear" w:color="auto" w:fill="FFFFFF"/>
            <w:vAlign w:val="center"/>
          </w:tcPr>
          <w:p w14:paraId="5B47490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45 (13–97); 42 (11–88)</w:t>
            </w:r>
          </w:p>
        </w:tc>
        <w:tc>
          <w:tcPr>
            <w:tcW w:w="150" w:type="pct"/>
            <w:tcBorders>
              <w:top w:val="nil"/>
              <w:left w:val="nil"/>
              <w:bottom w:val="nil"/>
              <w:right w:val="nil"/>
            </w:tcBorders>
            <w:shd w:val="clear" w:color="auto" w:fill="FFFFFF"/>
            <w:vAlign w:val="center"/>
          </w:tcPr>
          <w:p w14:paraId="1C072DA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14/45 (31.1); 14/39 (35.9)</w:t>
            </w:r>
          </w:p>
        </w:tc>
        <w:tc>
          <w:tcPr>
            <w:tcW w:w="150" w:type="pct"/>
            <w:tcBorders>
              <w:top w:val="nil"/>
              <w:left w:val="nil"/>
              <w:bottom w:val="nil"/>
              <w:right w:val="nil"/>
            </w:tcBorders>
            <w:shd w:val="clear" w:color="auto" w:fill="FFFFFF"/>
            <w:vAlign w:val="center"/>
          </w:tcPr>
          <w:p w14:paraId="01EE5F6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Pneumonia G≥3: 5/45 (11.1); 4/39 (10.3)</w:t>
            </w:r>
          </w:p>
        </w:tc>
        <w:tc>
          <w:tcPr>
            <w:tcW w:w="137" w:type="pct"/>
            <w:tcBorders>
              <w:top w:val="nil"/>
              <w:left w:val="nil"/>
              <w:bottom w:val="nil"/>
              <w:right w:val="nil"/>
            </w:tcBorders>
            <w:shd w:val="clear" w:color="auto" w:fill="FFFFFF"/>
            <w:vAlign w:val="center"/>
          </w:tcPr>
          <w:p w14:paraId="780CA49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8" w:type="pct"/>
            <w:tcBorders>
              <w:top w:val="nil"/>
              <w:left w:val="nil"/>
              <w:bottom w:val="nil"/>
              <w:right w:val="nil"/>
            </w:tcBorders>
            <w:shd w:val="clear" w:color="auto" w:fill="FFFFFF"/>
            <w:vAlign w:val="center"/>
          </w:tcPr>
          <w:p w14:paraId="41AD13F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3467603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10" w:type="pct"/>
            <w:tcBorders>
              <w:top w:val="nil"/>
              <w:left w:val="nil"/>
              <w:bottom w:val="nil"/>
              <w:right w:val="nil"/>
            </w:tcBorders>
            <w:shd w:val="clear" w:color="auto" w:fill="FFFFFF"/>
            <w:vAlign w:val="center"/>
          </w:tcPr>
          <w:p w14:paraId="609F673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38" w:type="pct"/>
            <w:tcBorders>
              <w:top w:val="nil"/>
              <w:left w:val="nil"/>
              <w:bottom w:val="nil"/>
              <w:right w:val="nil"/>
            </w:tcBorders>
            <w:shd w:val="clear" w:color="auto" w:fill="FFFFFF"/>
            <w:vAlign w:val="center"/>
          </w:tcPr>
          <w:p w14:paraId="219C42C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90" w:type="pct"/>
            <w:tcBorders>
              <w:top w:val="nil"/>
              <w:left w:val="nil"/>
              <w:bottom w:val="nil"/>
              <w:right w:val="nil"/>
            </w:tcBorders>
            <w:shd w:val="clear" w:color="auto" w:fill="FFFFFF"/>
            <w:vAlign w:val="center"/>
          </w:tcPr>
          <w:p w14:paraId="23D5408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371" w:type="pct"/>
            <w:tcBorders>
              <w:top w:val="nil"/>
              <w:left w:val="nil"/>
              <w:bottom w:val="nil"/>
              <w:right w:val="nil"/>
            </w:tcBorders>
            <w:shd w:val="clear" w:color="auto" w:fill="FFFFFF"/>
            <w:vAlign w:val="center"/>
          </w:tcPr>
          <w:p w14:paraId="52EAE26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1-y DFS: 89.1%; 78.2%</w:t>
            </w:r>
          </w:p>
        </w:tc>
        <w:tc>
          <w:tcPr>
            <w:tcW w:w="324" w:type="pct"/>
            <w:tcBorders>
              <w:top w:val="nil"/>
              <w:left w:val="nil"/>
              <w:bottom w:val="nil"/>
              <w:right w:val="nil"/>
            </w:tcBorders>
            <w:shd w:val="clear" w:color="auto" w:fill="FFFFFF"/>
            <w:vAlign w:val="center"/>
          </w:tcPr>
          <w:p w14:paraId="18600CD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1-y OS: 100.0%; 92.3%; 2-y OS: 86.3%; 81.6%</w:t>
            </w:r>
          </w:p>
        </w:tc>
        <w:tc>
          <w:tcPr>
            <w:tcW w:w="142" w:type="pct"/>
            <w:tcBorders>
              <w:top w:val="nil"/>
              <w:left w:val="nil"/>
              <w:bottom w:val="nil"/>
              <w:right w:val="nil"/>
            </w:tcBorders>
            <w:shd w:val="clear" w:color="auto" w:fill="FFFFFF"/>
            <w:vAlign w:val="center"/>
          </w:tcPr>
          <w:p w14:paraId="129261A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79" w:type="pct"/>
            <w:tcBorders>
              <w:top w:val="nil"/>
              <w:left w:val="nil"/>
              <w:bottom w:val="nil"/>
              <w:right w:val="nil"/>
            </w:tcBorders>
            <w:shd w:val="clear" w:color="auto" w:fill="FFFFFF"/>
            <w:vAlign w:val="center"/>
          </w:tcPr>
          <w:p w14:paraId="743ACF0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r>
      <w:tr w14:paraId="14996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0A91225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Xiao et al. [13]</w:t>
            </w:r>
          </w:p>
        </w:tc>
        <w:tc>
          <w:tcPr>
            <w:tcW w:w="145" w:type="pct"/>
            <w:tcBorders>
              <w:top w:val="nil"/>
              <w:left w:val="nil"/>
              <w:bottom w:val="nil"/>
              <w:right w:val="nil"/>
            </w:tcBorders>
            <w:shd w:val="clear" w:color="auto" w:fill="FFFFFF"/>
            <w:vAlign w:val="center"/>
          </w:tcPr>
          <w:p w14:paraId="11DD329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NACI; NACR</w:t>
            </w:r>
          </w:p>
        </w:tc>
        <w:tc>
          <w:tcPr>
            <w:tcW w:w="233" w:type="pct"/>
            <w:tcBorders>
              <w:top w:val="nil"/>
              <w:left w:val="nil"/>
              <w:bottom w:val="nil"/>
              <w:right w:val="nil"/>
            </w:tcBorders>
            <w:shd w:val="clear" w:color="auto" w:fill="FFFFFF"/>
            <w:vAlign w:val="center"/>
          </w:tcPr>
          <w:p w14:paraId="5A6CC7A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PD-1 inhibitor + cisplatin/paclitaxel</w:t>
            </w:r>
          </w:p>
        </w:tc>
        <w:tc>
          <w:tcPr>
            <w:tcW w:w="229" w:type="pct"/>
            <w:tcBorders>
              <w:top w:val="nil"/>
              <w:left w:val="nil"/>
              <w:bottom w:val="nil"/>
              <w:right w:val="nil"/>
            </w:tcBorders>
            <w:shd w:val="clear" w:color="auto" w:fill="FFFFFF"/>
            <w:vAlign w:val="center"/>
          </w:tcPr>
          <w:p w14:paraId="6307CF7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Cisplatin/paclitaxel + IMRT</w:t>
            </w:r>
          </w:p>
        </w:tc>
        <w:tc>
          <w:tcPr>
            <w:tcW w:w="152" w:type="pct"/>
            <w:tcBorders>
              <w:top w:val="nil"/>
              <w:left w:val="nil"/>
              <w:bottom w:val="nil"/>
              <w:right w:val="nil"/>
            </w:tcBorders>
            <w:shd w:val="clear" w:color="auto" w:fill="FFFFFF"/>
            <w:vAlign w:val="center"/>
          </w:tcPr>
          <w:p w14:paraId="35B0388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40–50.4 Gy/23–28 fractions</w:t>
            </w:r>
          </w:p>
        </w:tc>
        <w:tc>
          <w:tcPr>
            <w:tcW w:w="201" w:type="pct"/>
            <w:tcBorders>
              <w:top w:val="nil"/>
              <w:left w:val="nil"/>
              <w:bottom w:val="nil"/>
              <w:right w:val="nil"/>
            </w:tcBorders>
            <w:shd w:val="clear" w:color="auto" w:fill="FFFFFF"/>
            <w:vAlign w:val="center"/>
          </w:tcPr>
          <w:p w14:paraId="357D89C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 2</w:t>
            </w:r>
          </w:p>
        </w:tc>
        <w:tc>
          <w:tcPr>
            <w:tcW w:w="202" w:type="pct"/>
            <w:tcBorders>
              <w:top w:val="nil"/>
              <w:left w:val="nil"/>
              <w:bottom w:val="nil"/>
              <w:right w:val="nil"/>
            </w:tcBorders>
            <w:shd w:val="clear" w:color="auto" w:fill="FFFFFF"/>
            <w:vAlign w:val="center"/>
          </w:tcPr>
          <w:p w14:paraId="0ABC6A8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Minimally invasive three-incision McKeown esophagectomy</w:t>
            </w:r>
          </w:p>
        </w:tc>
        <w:tc>
          <w:tcPr>
            <w:tcW w:w="186" w:type="pct"/>
            <w:tcBorders>
              <w:top w:val="nil"/>
              <w:left w:val="nil"/>
              <w:bottom w:val="nil"/>
              <w:right w:val="nil"/>
            </w:tcBorders>
            <w:shd w:val="clear" w:color="auto" w:fill="FFFFFF"/>
            <w:vAlign w:val="center"/>
          </w:tcPr>
          <w:p w14:paraId="3545054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Two-field lymphadenectomy</w:t>
            </w:r>
          </w:p>
        </w:tc>
        <w:tc>
          <w:tcPr>
            <w:tcW w:w="167" w:type="pct"/>
            <w:tcBorders>
              <w:top w:val="nil"/>
              <w:left w:val="nil"/>
              <w:bottom w:val="nil"/>
              <w:right w:val="nil"/>
            </w:tcBorders>
            <w:shd w:val="clear" w:color="auto" w:fill="FFFFFF"/>
            <w:vAlign w:val="center"/>
          </w:tcPr>
          <w:p w14:paraId="698610A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 (14.5); 10 (10.6)</w:t>
            </w:r>
          </w:p>
        </w:tc>
        <w:tc>
          <w:tcPr>
            <w:tcW w:w="111" w:type="pct"/>
            <w:tcBorders>
              <w:top w:val="nil"/>
              <w:left w:val="nil"/>
              <w:bottom w:val="nil"/>
              <w:right w:val="nil"/>
            </w:tcBorders>
            <w:shd w:val="clear" w:color="auto" w:fill="FFFFFF"/>
            <w:vAlign w:val="center"/>
          </w:tcPr>
          <w:p w14:paraId="3BC12CD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56 (50–61) d; 55 (51–64) d</w:t>
            </w:r>
          </w:p>
        </w:tc>
        <w:tc>
          <w:tcPr>
            <w:tcW w:w="172" w:type="pct"/>
            <w:tcBorders>
              <w:top w:val="nil"/>
              <w:left w:val="nil"/>
              <w:bottom w:val="nil"/>
              <w:right w:val="nil"/>
            </w:tcBorders>
            <w:shd w:val="clear" w:color="auto" w:fill="FFFFFF"/>
            <w:vAlign w:val="center"/>
          </w:tcPr>
          <w:p w14:paraId="265B591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NACI 13 (6–20) mo; NACR 15 (11–22) mo</w:t>
            </w:r>
          </w:p>
        </w:tc>
        <w:tc>
          <w:tcPr>
            <w:tcW w:w="156" w:type="pct"/>
            <w:tcBorders>
              <w:top w:val="nil"/>
              <w:left w:val="nil"/>
              <w:bottom w:val="nil"/>
              <w:right w:val="nil"/>
            </w:tcBorders>
            <w:shd w:val="clear" w:color="auto" w:fill="FFFFFF"/>
            <w:vAlign w:val="center"/>
          </w:tcPr>
          <w:p w14:paraId="2DE8254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17 (30.9); 48 (51.1)</w:t>
            </w:r>
          </w:p>
        </w:tc>
        <w:tc>
          <w:tcPr>
            <w:tcW w:w="139" w:type="pct"/>
            <w:tcBorders>
              <w:top w:val="nil"/>
              <w:left w:val="nil"/>
              <w:bottom w:val="nil"/>
              <w:right w:val="nil"/>
            </w:tcBorders>
            <w:shd w:val="clear" w:color="auto" w:fill="FFFFFF"/>
            <w:vAlign w:val="center"/>
          </w:tcPr>
          <w:p w14:paraId="24FE43F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9" w:type="pct"/>
            <w:tcBorders>
              <w:top w:val="nil"/>
              <w:left w:val="nil"/>
              <w:bottom w:val="nil"/>
              <w:right w:val="nil"/>
            </w:tcBorders>
            <w:shd w:val="clear" w:color="auto" w:fill="FFFFFF"/>
            <w:vAlign w:val="center"/>
          </w:tcPr>
          <w:p w14:paraId="5E8FA36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53 (96.4); 91 (96.8)</w:t>
            </w:r>
          </w:p>
        </w:tc>
        <w:tc>
          <w:tcPr>
            <w:tcW w:w="118" w:type="pct"/>
            <w:tcBorders>
              <w:top w:val="nil"/>
              <w:left w:val="nil"/>
              <w:bottom w:val="nil"/>
              <w:right w:val="nil"/>
            </w:tcBorders>
            <w:shd w:val="clear" w:color="auto" w:fill="FFFFFF"/>
            <w:vAlign w:val="center"/>
          </w:tcPr>
          <w:p w14:paraId="1FBFDD2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25 (20–33); 19 (14–26)</w:t>
            </w:r>
          </w:p>
        </w:tc>
        <w:tc>
          <w:tcPr>
            <w:tcW w:w="150" w:type="pct"/>
            <w:tcBorders>
              <w:top w:val="nil"/>
              <w:left w:val="nil"/>
              <w:bottom w:val="nil"/>
              <w:right w:val="nil"/>
            </w:tcBorders>
            <w:shd w:val="clear" w:color="auto" w:fill="FFFFFF"/>
            <w:vAlign w:val="center"/>
          </w:tcPr>
          <w:p w14:paraId="371656A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CD I–V: 21 (38.2); 36 (38.3)</w:t>
            </w:r>
          </w:p>
        </w:tc>
        <w:tc>
          <w:tcPr>
            <w:tcW w:w="150" w:type="pct"/>
            <w:tcBorders>
              <w:top w:val="nil"/>
              <w:left w:val="nil"/>
              <w:bottom w:val="nil"/>
              <w:right w:val="nil"/>
            </w:tcBorders>
            <w:shd w:val="clear" w:color="auto" w:fill="FFFFFF"/>
            <w:vAlign w:val="center"/>
          </w:tcPr>
          <w:p w14:paraId="4F78CFA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 (12.7); 26 (27.7)</w:t>
            </w:r>
          </w:p>
        </w:tc>
        <w:tc>
          <w:tcPr>
            <w:tcW w:w="137" w:type="pct"/>
            <w:tcBorders>
              <w:top w:val="nil"/>
              <w:left w:val="nil"/>
              <w:bottom w:val="nil"/>
              <w:right w:val="nil"/>
            </w:tcBorders>
            <w:shd w:val="clear" w:color="auto" w:fill="FFFFFF"/>
            <w:vAlign w:val="center"/>
          </w:tcPr>
          <w:p w14:paraId="7343050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 (5.5); 9 (9.6)</w:t>
            </w:r>
          </w:p>
        </w:tc>
        <w:tc>
          <w:tcPr>
            <w:tcW w:w="118" w:type="pct"/>
            <w:tcBorders>
              <w:top w:val="nil"/>
              <w:left w:val="nil"/>
              <w:bottom w:val="nil"/>
              <w:right w:val="nil"/>
            </w:tcBorders>
            <w:shd w:val="clear" w:color="auto" w:fill="FFFFFF"/>
            <w:vAlign w:val="center"/>
          </w:tcPr>
          <w:p w14:paraId="68E54D4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 (5.5); 9 (9.6)</w:t>
            </w:r>
          </w:p>
        </w:tc>
        <w:tc>
          <w:tcPr>
            <w:tcW w:w="135" w:type="pct"/>
            <w:tcBorders>
              <w:top w:val="nil"/>
              <w:left w:val="nil"/>
              <w:bottom w:val="nil"/>
              <w:right w:val="nil"/>
            </w:tcBorders>
            <w:shd w:val="clear" w:color="auto" w:fill="FFFFFF"/>
            <w:vAlign w:val="center"/>
          </w:tcPr>
          <w:p w14:paraId="1F9E446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 (1.8); 0</w:t>
            </w:r>
          </w:p>
        </w:tc>
        <w:tc>
          <w:tcPr>
            <w:tcW w:w="210" w:type="pct"/>
            <w:tcBorders>
              <w:top w:val="nil"/>
              <w:left w:val="nil"/>
              <w:bottom w:val="nil"/>
              <w:right w:val="nil"/>
            </w:tcBorders>
            <w:shd w:val="clear" w:color="auto" w:fill="FFFFFF"/>
            <w:vAlign w:val="center"/>
          </w:tcPr>
          <w:p w14:paraId="5DD4A99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 (9.1); 17 (18.1)</w:t>
            </w:r>
          </w:p>
        </w:tc>
        <w:tc>
          <w:tcPr>
            <w:tcW w:w="238" w:type="pct"/>
            <w:tcBorders>
              <w:top w:val="nil"/>
              <w:left w:val="nil"/>
              <w:bottom w:val="nil"/>
              <w:right w:val="nil"/>
            </w:tcBorders>
            <w:shd w:val="clear" w:color="auto" w:fill="FFFFFF"/>
            <w:vAlign w:val="center"/>
          </w:tcPr>
          <w:p w14:paraId="3C59796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Local recurrence: 0; 6 (6.4)</w:t>
            </w:r>
          </w:p>
        </w:tc>
        <w:tc>
          <w:tcPr>
            <w:tcW w:w="290" w:type="pct"/>
            <w:tcBorders>
              <w:top w:val="nil"/>
              <w:left w:val="nil"/>
              <w:bottom w:val="nil"/>
              <w:right w:val="nil"/>
            </w:tcBorders>
            <w:shd w:val="clear" w:color="auto" w:fill="FFFFFF"/>
            <w:vAlign w:val="center"/>
          </w:tcPr>
          <w:p w14:paraId="47C8CB3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 (7.3); 9 (9.6)</w:t>
            </w:r>
          </w:p>
        </w:tc>
        <w:tc>
          <w:tcPr>
            <w:tcW w:w="371" w:type="pct"/>
            <w:tcBorders>
              <w:top w:val="nil"/>
              <w:left w:val="nil"/>
              <w:bottom w:val="nil"/>
              <w:right w:val="nil"/>
            </w:tcBorders>
            <w:shd w:val="clear" w:color="auto" w:fill="FFFFFF"/>
            <w:vAlign w:val="center"/>
          </w:tcPr>
          <w:p w14:paraId="1DD4948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324" w:type="pct"/>
            <w:tcBorders>
              <w:top w:val="nil"/>
              <w:left w:val="nil"/>
              <w:bottom w:val="nil"/>
              <w:right w:val="nil"/>
            </w:tcBorders>
            <w:shd w:val="clear" w:color="auto" w:fill="FFFFFF"/>
            <w:vAlign w:val="center"/>
          </w:tcPr>
          <w:p w14:paraId="5D4E7B7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1-y OS: 94.5%; 86.2%</w:t>
            </w:r>
          </w:p>
        </w:tc>
        <w:tc>
          <w:tcPr>
            <w:tcW w:w="142" w:type="pct"/>
            <w:tcBorders>
              <w:top w:val="nil"/>
              <w:left w:val="nil"/>
              <w:bottom w:val="nil"/>
              <w:right w:val="nil"/>
            </w:tcBorders>
            <w:shd w:val="clear" w:color="auto" w:fill="FFFFFF"/>
            <w:vAlign w:val="center"/>
          </w:tcPr>
          <w:p w14:paraId="41C530D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0.80 (0.29–2.19)</w:t>
            </w:r>
          </w:p>
        </w:tc>
        <w:tc>
          <w:tcPr>
            <w:tcW w:w="179" w:type="pct"/>
            <w:tcBorders>
              <w:top w:val="nil"/>
              <w:left w:val="nil"/>
              <w:bottom w:val="nil"/>
              <w:right w:val="nil"/>
            </w:tcBorders>
            <w:shd w:val="clear" w:color="auto" w:fill="FFFFFF"/>
            <w:vAlign w:val="center"/>
          </w:tcPr>
          <w:p w14:paraId="6257F5E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0.64 (0.18–2.25)</w:t>
            </w:r>
          </w:p>
        </w:tc>
      </w:tr>
      <w:tr w14:paraId="67EDB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4A1478B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Yang et al. [29]</w:t>
            </w:r>
          </w:p>
        </w:tc>
        <w:tc>
          <w:tcPr>
            <w:tcW w:w="145" w:type="pct"/>
            <w:tcBorders>
              <w:top w:val="nil"/>
              <w:left w:val="nil"/>
              <w:bottom w:val="nil"/>
              <w:right w:val="nil"/>
            </w:tcBorders>
            <w:shd w:val="clear" w:color="auto" w:fill="FFFFFF"/>
            <w:vAlign w:val="center"/>
          </w:tcPr>
          <w:p w14:paraId="16061AE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NICE; CROSS</w:t>
            </w:r>
          </w:p>
        </w:tc>
        <w:tc>
          <w:tcPr>
            <w:tcW w:w="233" w:type="pct"/>
            <w:tcBorders>
              <w:top w:val="nil"/>
              <w:left w:val="nil"/>
              <w:bottom w:val="nil"/>
              <w:right w:val="nil"/>
            </w:tcBorders>
            <w:shd w:val="clear" w:color="auto" w:fill="FFFFFF"/>
            <w:vAlign w:val="center"/>
          </w:tcPr>
          <w:p w14:paraId="2714911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Camrelizumab 200 mg + nab-paclitaxel/carboplatin</w:t>
            </w:r>
          </w:p>
        </w:tc>
        <w:tc>
          <w:tcPr>
            <w:tcW w:w="229" w:type="pct"/>
            <w:tcBorders>
              <w:top w:val="nil"/>
              <w:left w:val="nil"/>
              <w:bottom w:val="nil"/>
              <w:right w:val="nil"/>
            </w:tcBorders>
            <w:shd w:val="clear" w:color="auto" w:fill="FFFFFF"/>
            <w:vAlign w:val="center"/>
          </w:tcPr>
          <w:p w14:paraId="22E9BCA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Paclitaxel/carboplatin + IMRT</w:t>
            </w:r>
          </w:p>
        </w:tc>
        <w:tc>
          <w:tcPr>
            <w:tcW w:w="152" w:type="pct"/>
            <w:tcBorders>
              <w:top w:val="nil"/>
              <w:left w:val="nil"/>
              <w:bottom w:val="nil"/>
              <w:right w:val="nil"/>
            </w:tcBorders>
            <w:shd w:val="clear" w:color="auto" w:fill="FFFFFF"/>
            <w:vAlign w:val="center"/>
          </w:tcPr>
          <w:p w14:paraId="44F342B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41.4 Gy/23 fractions</w:t>
            </w:r>
          </w:p>
        </w:tc>
        <w:tc>
          <w:tcPr>
            <w:tcW w:w="201" w:type="pct"/>
            <w:tcBorders>
              <w:top w:val="nil"/>
              <w:left w:val="nil"/>
              <w:bottom w:val="nil"/>
              <w:right w:val="nil"/>
            </w:tcBorders>
            <w:shd w:val="clear" w:color="auto" w:fill="FFFFFF"/>
            <w:vAlign w:val="center"/>
          </w:tcPr>
          <w:p w14:paraId="4A91791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 2</w:t>
            </w:r>
          </w:p>
        </w:tc>
        <w:tc>
          <w:tcPr>
            <w:tcW w:w="202" w:type="pct"/>
            <w:tcBorders>
              <w:top w:val="nil"/>
              <w:left w:val="nil"/>
              <w:bottom w:val="nil"/>
              <w:right w:val="nil"/>
            </w:tcBorders>
            <w:shd w:val="clear" w:color="auto" w:fill="FFFFFF"/>
            <w:vAlign w:val="center"/>
          </w:tcPr>
          <w:p w14:paraId="3C3F78E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Transthoracic esophagectomy</w:t>
            </w:r>
          </w:p>
        </w:tc>
        <w:tc>
          <w:tcPr>
            <w:tcW w:w="186" w:type="pct"/>
            <w:tcBorders>
              <w:top w:val="nil"/>
              <w:left w:val="nil"/>
              <w:bottom w:val="nil"/>
              <w:right w:val="nil"/>
            </w:tcBorders>
            <w:shd w:val="clear" w:color="auto" w:fill="FFFFFF"/>
            <w:vAlign w:val="center"/>
          </w:tcPr>
          <w:p w14:paraId="121BBA5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Total 2-field; selective cervical lymphadenectomy</w:t>
            </w:r>
          </w:p>
        </w:tc>
        <w:tc>
          <w:tcPr>
            <w:tcW w:w="167" w:type="pct"/>
            <w:tcBorders>
              <w:top w:val="nil"/>
              <w:left w:val="nil"/>
              <w:bottom w:val="nil"/>
              <w:right w:val="nil"/>
            </w:tcBorders>
            <w:shd w:val="clear" w:color="auto" w:fill="FFFFFF"/>
            <w:vAlign w:val="center"/>
          </w:tcPr>
          <w:p w14:paraId="7AD66A8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101 (57.1); 50 (28.2)</w:t>
            </w:r>
          </w:p>
        </w:tc>
        <w:tc>
          <w:tcPr>
            <w:tcW w:w="111" w:type="pct"/>
            <w:tcBorders>
              <w:top w:val="nil"/>
              <w:left w:val="nil"/>
              <w:bottom w:val="nil"/>
              <w:right w:val="nil"/>
            </w:tcBorders>
            <w:shd w:val="clear" w:color="auto" w:fill="FFFFFF"/>
            <w:vAlign w:val="center"/>
          </w:tcPr>
          <w:p w14:paraId="59FD2FD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4–6 weeks</w:t>
            </w:r>
          </w:p>
        </w:tc>
        <w:tc>
          <w:tcPr>
            <w:tcW w:w="172" w:type="pct"/>
            <w:tcBorders>
              <w:top w:val="nil"/>
              <w:left w:val="nil"/>
              <w:bottom w:val="nil"/>
              <w:right w:val="nil"/>
            </w:tcBorders>
            <w:shd w:val="clear" w:color="auto" w:fill="FFFFFF"/>
            <w:vAlign w:val="center"/>
          </w:tcPr>
          <w:p w14:paraId="2FC6071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30.3 (24.3–42.3) mo</w:t>
            </w:r>
          </w:p>
        </w:tc>
        <w:tc>
          <w:tcPr>
            <w:tcW w:w="156" w:type="pct"/>
            <w:tcBorders>
              <w:top w:val="nil"/>
              <w:left w:val="nil"/>
              <w:bottom w:val="nil"/>
              <w:right w:val="nil"/>
            </w:tcBorders>
            <w:shd w:val="clear" w:color="auto" w:fill="FFFFFF"/>
            <w:vAlign w:val="center"/>
          </w:tcPr>
          <w:p w14:paraId="4CC6940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37 (20.9); 45 (25.4)</w:t>
            </w:r>
          </w:p>
        </w:tc>
        <w:tc>
          <w:tcPr>
            <w:tcW w:w="139" w:type="pct"/>
            <w:tcBorders>
              <w:top w:val="nil"/>
              <w:left w:val="nil"/>
              <w:bottom w:val="nil"/>
              <w:right w:val="nil"/>
            </w:tcBorders>
            <w:shd w:val="clear" w:color="auto" w:fill="FFFFFF"/>
            <w:vAlign w:val="center"/>
          </w:tcPr>
          <w:p w14:paraId="1FD97BD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94 (53.1); 112 (63.3)</w:t>
            </w:r>
          </w:p>
        </w:tc>
        <w:tc>
          <w:tcPr>
            <w:tcW w:w="159" w:type="pct"/>
            <w:tcBorders>
              <w:top w:val="nil"/>
              <w:left w:val="nil"/>
              <w:bottom w:val="nil"/>
              <w:right w:val="nil"/>
            </w:tcBorders>
            <w:shd w:val="clear" w:color="auto" w:fill="FFFFFF"/>
            <w:vAlign w:val="center"/>
          </w:tcPr>
          <w:p w14:paraId="33B6237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166 (93.8); 168 (94.9)</w:t>
            </w:r>
          </w:p>
        </w:tc>
        <w:tc>
          <w:tcPr>
            <w:tcW w:w="118" w:type="pct"/>
            <w:tcBorders>
              <w:top w:val="nil"/>
              <w:left w:val="nil"/>
              <w:bottom w:val="nil"/>
              <w:right w:val="nil"/>
            </w:tcBorders>
            <w:shd w:val="clear" w:color="auto" w:fill="FFFFFF"/>
            <w:vAlign w:val="center"/>
          </w:tcPr>
          <w:p w14:paraId="73A1F82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30 (23–38); 20 (15–26)</w:t>
            </w:r>
          </w:p>
        </w:tc>
        <w:tc>
          <w:tcPr>
            <w:tcW w:w="150" w:type="pct"/>
            <w:tcBorders>
              <w:top w:val="nil"/>
              <w:left w:val="nil"/>
              <w:bottom w:val="nil"/>
              <w:right w:val="nil"/>
            </w:tcBorders>
            <w:shd w:val="clear" w:color="auto" w:fill="FFFFFF"/>
            <w:vAlign w:val="center"/>
          </w:tcPr>
          <w:p w14:paraId="256606D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85 (48.0); 80 (45.2)</w:t>
            </w:r>
          </w:p>
        </w:tc>
        <w:tc>
          <w:tcPr>
            <w:tcW w:w="150" w:type="pct"/>
            <w:tcBorders>
              <w:top w:val="nil"/>
              <w:left w:val="nil"/>
              <w:bottom w:val="nil"/>
              <w:right w:val="nil"/>
            </w:tcBorders>
            <w:shd w:val="clear" w:color="auto" w:fill="FFFFFF"/>
            <w:vAlign w:val="center"/>
          </w:tcPr>
          <w:p w14:paraId="06B0D0F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Pneumonia: 13 (7.3); 27 (15.3)</w:t>
            </w:r>
          </w:p>
        </w:tc>
        <w:tc>
          <w:tcPr>
            <w:tcW w:w="137" w:type="pct"/>
            <w:tcBorders>
              <w:top w:val="nil"/>
              <w:left w:val="nil"/>
              <w:bottom w:val="nil"/>
              <w:right w:val="nil"/>
            </w:tcBorders>
            <w:shd w:val="clear" w:color="auto" w:fill="FFFFFF"/>
            <w:vAlign w:val="center"/>
          </w:tcPr>
          <w:p w14:paraId="2A9E680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 (7.9); 14 (7.9)</w:t>
            </w:r>
          </w:p>
        </w:tc>
        <w:tc>
          <w:tcPr>
            <w:tcW w:w="118" w:type="pct"/>
            <w:tcBorders>
              <w:top w:val="nil"/>
              <w:left w:val="nil"/>
              <w:bottom w:val="nil"/>
              <w:right w:val="nil"/>
            </w:tcBorders>
            <w:shd w:val="clear" w:color="auto" w:fill="FFFFFF"/>
            <w:vAlign w:val="center"/>
          </w:tcPr>
          <w:p w14:paraId="7336E7A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53 (29.9); 49 (27.7)</w:t>
            </w:r>
          </w:p>
        </w:tc>
        <w:tc>
          <w:tcPr>
            <w:tcW w:w="135" w:type="pct"/>
            <w:tcBorders>
              <w:top w:val="nil"/>
              <w:left w:val="nil"/>
              <w:bottom w:val="nil"/>
              <w:right w:val="nil"/>
            </w:tcBorders>
            <w:shd w:val="clear" w:color="auto" w:fill="FFFFFF"/>
            <w:vAlign w:val="center"/>
          </w:tcPr>
          <w:p w14:paraId="2EDFDB1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 (5.1); 5 (2.8)</w:t>
            </w:r>
          </w:p>
        </w:tc>
        <w:tc>
          <w:tcPr>
            <w:tcW w:w="210" w:type="pct"/>
            <w:tcBorders>
              <w:top w:val="nil"/>
              <w:left w:val="nil"/>
              <w:bottom w:val="nil"/>
              <w:right w:val="nil"/>
            </w:tcBorders>
            <w:shd w:val="clear" w:color="auto" w:fill="FFFFFF"/>
            <w:vAlign w:val="center"/>
          </w:tcPr>
          <w:p w14:paraId="424B762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35.0%; 40.7%</w:t>
            </w:r>
          </w:p>
        </w:tc>
        <w:tc>
          <w:tcPr>
            <w:tcW w:w="238" w:type="pct"/>
            <w:tcBorders>
              <w:top w:val="nil"/>
              <w:left w:val="nil"/>
              <w:bottom w:val="nil"/>
              <w:right w:val="nil"/>
            </w:tcBorders>
            <w:shd w:val="clear" w:color="auto" w:fill="FFFFFF"/>
            <w:vAlign w:val="center"/>
          </w:tcPr>
          <w:p w14:paraId="210C8B2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90" w:type="pct"/>
            <w:tcBorders>
              <w:top w:val="nil"/>
              <w:left w:val="nil"/>
              <w:bottom w:val="nil"/>
              <w:right w:val="nil"/>
            </w:tcBorders>
            <w:shd w:val="clear" w:color="auto" w:fill="FFFFFF"/>
            <w:vAlign w:val="center"/>
          </w:tcPr>
          <w:p w14:paraId="674D908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371" w:type="pct"/>
            <w:tcBorders>
              <w:top w:val="nil"/>
              <w:left w:val="nil"/>
              <w:bottom w:val="nil"/>
              <w:right w:val="nil"/>
            </w:tcBorders>
            <w:shd w:val="clear" w:color="auto" w:fill="FFFFFF"/>
            <w:vAlign w:val="center"/>
          </w:tcPr>
          <w:p w14:paraId="6C67847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3-y RFS: 60.7%; 57.1%</w:t>
            </w:r>
          </w:p>
        </w:tc>
        <w:tc>
          <w:tcPr>
            <w:tcW w:w="324" w:type="pct"/>
            <w:tcBorders>
              <w:top w:val="nil"/>
              <w:left w:val="nil"/>
              <w:bottom w:val="nil"/>
              <w:right w:val="nil"/>
            </w:tcBorders>
            <w:shd w:val="clear" w:color="auto" w:fill="FFFFFF"/>
            <w:vAlign w:val="center"/>
          </w:tcPr>
          <w:p w14:paraId="7468687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3-y OS: 73.5%; 58.4%; 3-y CSS: 77.3%; 64.3%</w:t>
            </w:r>
          </w:p>
        </w:tc>
        <w:tc>
          <w:tcPr>
            <w:tcW w:w="142" w:type="pct"/>
            <w:tcBorders>
              <w:top w:val="nil"/>
              <w:left w:val="nil"/>
              <w:bottom w:val="nil"/>
              <w:right w:val="nil"/>
            </w:tcBorders>
            <w:shd w:val="clear" w:color="auto" w:fill="FFFFFF"/>
            <w:vAlign w:val="center"/>
          </w:tcPr>
          <w:p w14:paraId="750EF2C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0.86 (0.61–1.20)</w:t>
            </w:r>
          </w:p>
        </w:tc>
        <w:tc>
          <w:tcPr>
            <w:tcW w:w="179" w:type="pct"/>
            <w:tcBorders>
              <w:top w:val="nil"/>
              <w:left w:val="nil"/>
              <w:bottom w:val="nil"/>
              <w:right w:val="nil"/>
            </w:tcBorders>
            <w:shd w:val="clear" w:color="auto" w:fill="FFFFFF"/>
            <w:vAlign w:val="center"/>
          </w:tcPr>
          <w:p w14:paraId="5F034AE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0.57 (0.40–0.82)</w:t>
            </w:r>
          </w:p>
        </w:tc>
      </w:tr>
      <w:tr w14:paraId="55D7C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6CDE653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Yu et al. [12]</w:t>
            </w:r>
          </w:p>
        </w:tc>
        <w:tc>
          <w:tcPr>
            <w:tcW w:w="145" w:type="pct"/>
            <w:tcBorders>
              <w:top w:val="nil"/>
              <w:left w:val="nil"/>
              <w:bottom w:val="nil"/>
              <w:right w:val="nil"/>
            </w:tcBorders>
            <w:shd w:val="clear" w:color="auto" w:fill="FFFFFF"/>
            <w:vAlign w:val="center"/>
          </w:tcPr>
          <w:p w14:paraId="3F928A3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NACI; NCRT</w:t>
            </w:r>
          </w:p>
        </w:tc>
        <w:tc>
          <w:tcPr>
            <w:tcW w:w="233" w:type="pct"/>
            <w:tcBorders>
              <w:top w:val="nil"/>
              <w:left w:val="nil"/>
              <w:bottom w:val="nil"/>
              <w:right w:val="nil"/>
            </w:tcBorders>
            <w:shd w:val="clear" w:color="auto" w:fill="FFFFFF"/>
            <w:vAlign w:val="center"/>
          </w:tcPr>
          <w:p w14:paraId="49AA945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ICI + platinum-taxane chemotherapy</w:t>
            </w:r>
          </w:p>
        </w:tc>
        <w:tc>
          <w:tcPr>
            <w:tcW w:w="229" w:type="pct"/>
            <w:tcBorders>
              <w:top w:val="nil"/>
              <w:left w:val="nil"/>
              <w:bottom w:val="nil"/>
              <w:right w:val="nil"/>
            </w:tcBorders>
            <w:shd w:val="clear" w:color="auto" w:fill="FFFFFF"/>
            <w:vAlign w:val="center"/>
          </w:tcPr>
          <w:p w14:paraId="711791A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Platinum-taxane chemotherapy + radiotherapy</w:t>
            </w:r>
          </w:p>
        </w:tc>
        <w:tc>
          <w:tcPr>
            <w:tcW w:w="152" w:type="pct"/>
            <w:tcBorders>
              <w:top w:val="nil"/>
              <w:left w:val="nil"/>
              <w:bottom w:val="nil"/>
              <w:right w:val="nil"/>
            </w:tcBorders>
            <w:shd w:val="clear" w:color="auto" w:fill="FFFFFF"/>
            <w:vAlign w:val="center"/>
          </w:tcPr>
          <w:p w14:paraId="7A370C6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40.0–50.4 Gy</w:t>
            </w:r>
          </w:p>
        </w:tc>
        <w:tc>
          <w:tcPr>
            <w:tcW w:w="201" w:type="pct"/>
            <w:tcBorders>
              <w:top w:val="nil"/>
              <w:left w:val="nil"/>
              <w:bottom w:val="nil"/>
              <w:right w:val="nil"/>
            </w:tcBorders>
            <w:shd w:val="clear" w:color="auto" w:fill="FFFFFF"/>
            <w:vAlign w:val="center"/>
          </w:tcPr>
          <w:p w14:paraId="6357481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2–4; 2–4</w:t>
            </w:r>
          </w:p>
        </w:tc>
        <w:tc>
          <w:tcPr>
            <w:tcW w:w="202" w:type="pct"/>
            <w:tcBorders>
              <w:top w:val="nil"/>
              <w:left w:val="nil"/>
              <w:bottom w:val="nil"/>
              <w:right w:val="nil"/>
            </w:tcBorders>
            <w:shd w:val="clear" w:color="auto" w:fill="FFFFFF"/>
            <w:vAlign w:val="center"/>
          </w:tcPr>
          <w:p w14:paraId="110ED62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McKeown minimally invasive esophagectomy</w:t>
            </w:r>
          </w:p>
        </w:tc>
        <w:tc>
          <w:tcPr>
            <w:tcW w:w="186" w:type="pct"/>
            <w:tcBorders>
              <w:top w:val="nil"/>
              <w:left w:val="nil"/>
              <w:bottom w:val="nil"/>
              <w:right w:val="nil"/>
            </w:tcBorders>
            <w:shd w:val="clear" w:color="auto" w:fill="FFFFFF"/>
            <w:vAlign w:val="center"/>
          </w:tcPr>
          <w:p w14:paraId="4DEECC2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2-field; selective 3-field lymphadenectomy</w:t>
            </w:r>
          </w:p>
        </w:tc>
        <w:tc>
          <w:tcPr>
            <w:tcW w:w="167" w:type="pct"/>
            <w:tcBorders>
              <w:top w:val="nil"/>
              <w:left w:val="nil"/>
              <w:bottom w:val="nil"/>
              <w:right w:val="nil"/>
            </w:tcBorders>
            <w:shd w:val="clear" w:color="auto" w:fill="FFFFFF"/>
            <w:vAlign w:val="center"/>
          </w:tcPr>
          <w:p w14:paraId="5527BEE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24 (29.6); 41 (33.9)</w:t>
            </w:r>
          </w:p>
        </w:tc>
        <w:tc>
          <w:tcPr>
            <w:tcW w:w="111" w:type="pct"/>
            <w:tcBorders>
              <w:top w:val="nil"/>
              <w:left w:val="nil"/>
              <w:bottom w:val="nil"/>
              <w:right w:val="nil"/>
            </w:tcBorders>
            <w:shd w:val="clear" w:color="auto" w:fill="FFFFFF"/>
            <w:vAlign w:val="center"/>
          </w:tcPr>
          <w:p w14:paraId="6CF58FE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4–8 weeks</w:t>
            </w:r>
          </w:p>
        </w:tc>
        <w:tc>
          <w:tcPr>
            <w:tcW w:w="172" w:type="pct"/>
            <w:tcBorders>
              <w:top w:val="nil"/>
              <w:left w:val="nil"/>
              <w:bottom w:val="nil"/>
              <w:right w:val="nil"/>
            </w:tcBorders>
            <w:shd w:val="clear" w:color="auto" w:fill="FFFFFF"/>
            <w:vAlign w:val="center"/>
          </w:tcPr>
          <w:p w14:paraId="69241BB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29 (24–39) mo</w:t>
            </w:r>
          </w:p>
        </w:tc>
        <w:tc>
          <w:tcPr>
            <w:tcW w:w="156" w:type="pct"/>
            <w:tcBorders>
              <w:top w:val="nil"/>
              <w:left w:val="nil"/>
              <w:bottom w:val="nil"/>
              <w:right w:val="nil"/>
            </w:tcBorders>
            <w:shd w:val="clear" w:color="auto" w:fill="FFFFFF"/>
            <w:vAlign w:val="center"/>
          </w:tcPr>
          <w:p w14:paraId="44F4E04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24 (29.6); 43 (35.5)</w:t>
            </w:r>
          </w:p>
        </w:tc>
        <w:tc>
          <w:tcPr>
            <w:tcW w:w="139" w:type="pct"/>
            <w:tcBorders>
              <w:top w:val="nil"/>
              <w:left w:val="nil"/>
              <w:bottom w:val="nil"/>
              <w:right w:val="nil"/>
            </w:tcBorders>
            <w:shd w:val="clear" w:color="auto" w:fill="FFFFFF"/>
            <w:vAlign w:val="center"/>
          </w:tcPr>
          <w:p w14:paraId="29B06C2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9" w:type="pct"/>
            <w:tcBorders>
              <w:top w:val="nil"/>
              <w:left w:val="nil"/>
              <w:bottom w:val="nil"/>
              <w:right w:val="nil"/>
            </w:tcBorders>
            <w:shd w:val="clear" w:color="auto" w:fill="FFFFFF"/>
            <w:vAlign w:val="center"/>
          </w:tcPr>
          <w:p w14:paraId="0864F0B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74 (91.4); 112 (92.6)</w:t>
            </w:r>
          </w:p>
        </w:tc>
        <w:tc>
          <w:tcPr>
            <w:tcW w:w="118" w:type="pct"/>
            <w:tcBorders>
              <w:top w:val="nil"/>
              <w:left w:val="nil"/>
              <w:bottom w:val="nil"/>
              <w:right w:val="nil"/>
            </w:tcBorders>
            <w:shd w:val="clear" w:color="auto" w:fill="FFFFFF"/>
            <w:vAlign w:val="center"/>
          </w:tcPr>
          <w:p w14:paraId="33AF23D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7F830C9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33EEF6D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7" w:type="pct"/>
            <w:tcBorders>
              <w:top w:val="nil"/>
              <w:left w:val="nil"/>
              <w:bottom w:val="nil"/>
              <w:right w:val="nil"/>
            </w:tcBorders>
            <w:shd w:val="clear" w:color="auto" w:fill="FFFFFF"/>
            <w:vAlign w:val="center"/>
          </w:tcPr>
          <w:p w14:paraId="7EF67EA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18" w:type="pct"/>
            <w:tcBorders>
              <w:top w:val="nil"/>
              <w:left w:val="nil"/>
              <w:bottom w:val="nil"/>
              <w:right w:val="nil"/>
            </w:tcBorders>
            <w:shd w:val="clear" w:color="auto" w:fill="FFFFFF"/>
            <w:vAlign w:val="center"/>
          </w:tcPr>
          <w:p w14:paraId="488FE29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02AAF33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10" w:type="pct"/>
            <w:tcBorders>
              <w:top w:val="nil"/>
              <w:left w:val="nil"/>
              <w:bottom w:val="nil"/>
              <w:right w:val="nil"/>
            </w:tcBorders>
            <w:shd w:val="clear" w:color="auto" w:fill="FFFFFF"/>
            <w:vAlign w:val="center"/>
          </w:tcPr>
          <w:p w14:paraId="24D11AB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38" w:type="pct"/>
            <w:tcBorders>
              <w:top w:val="nil"/>
              <w:left w:val="nil"/>
              <w:bottom w:val="nil"/>
              <w:right w:val="nil"/>
            </w:tcBorders>
            <w:shd w:val="clear" w:color="auto" w:fill="FFFFFF"/>
            <w:vAlign w:val="center"/>
          </w:tcPr>
          <w:p w14:paraId="432CCFF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90" w:type="pct"/>
            <w:tcBorders>
              <w:top w:val="nil"/>
              <w:left w:val="nil"/>
              <w:bottom w:val="nil"/>
              <w:right w:val="nil"/>
            </w:tcBorders>
            <w:shd w:val="clear" w:color="auto" w:fill="FFFFFF"/>
            <w:vAlign w:val="center"/>
          </w:tcPr>
          <w:p w14:paraId="1B812E9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371" w:type="pct"/>
            <w:tcBorders>
              <w:top w:val="nil"/>
              <w:left w:val="nil"/>
              <w:bottom w:val="nil"/>
              <w:right w:val="nil"/>
            </w:tcBorders>
            <w:shd w:val="clear" w:color="auto" w:fill="FFFFFF"/>
            <w:vAlign w:val="center"/>
          </w:tcPr>
          <w:p w14:paraId="1344BF1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3-y DFS after IPTW: 87.4%; 72.8%</w:t>
            </w:r>
          </w:p>
        </w:tc>
        <w:tc>
          <w:tcPr>
            <w:tcW w:w="324" w:type="pct"/>
            <w:tcBorders>
              <w:top w:val="nil"/>
              <w:left w:val="nil"/>
              <w:bottom w:val="nil"/>
              <w:right w:val="nil"/>
            </w:tcBorders>
            <w:shd w:val="clear" w:color="auto" w:fill="FFFFFF"/>
            <w:vAlign w:val="center"/>
          </w:tcPr>
          <w:p w14:paraId="2100DE1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3-y OS after IPTW: 91.7%; 79.8%</w:t>
            </w:r>
          </w:p>
        </w:tc>
        <w:tc>
          <w:tcPr>
            <w:tcW w:w="142" w:type="pct"/>
            <w:tcBorders>
              <w:top w:val="nil"/>
              <w:left w:val="nil"/>
              <w:bottom w:val="nil"/>
              <w:right w:val="nil"/>
            </w:tcBorders>
            <w:shd w:val="clear" w:color="auto" w:fill="FFFFFF"/>
            <w:vAlign w:val="center"/>
          </w:tcPr>
          <w:p w14:paraId="4FDE81C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0.49 (0.25–0.98)</w:t>
            </w:r>
          </w:p>
        </w:tc>
        <w:tc>
          <w:tcPr>
            <w:tcW w:w="179" w:type="pct"/>
            <w:tcBorders>
              <w:top w:val="nil"/>
              <w:left w:val="nil"/>
              <w:bottom w:val="nil"/>
              <w:right w:val="nil"/>
            </w:tcBorders>
            <w:shd w:val="clear" w:color="auto" w:fill="FFFFFF"/>
            <w:vAlign w:val="center"/>
          </w:tcPr>
          <w:p w14:paraId="355A8E0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0.35 (0.13–0.94)</w:t>
            </w:r>
          </w:p>
        </w:tc>
      </w:tr>
      <w:tr w14:paraId="52DED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54D60E8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Zhang et al. [30]</w:t>
            </w:r>
          </w:p>
        </w:tc>
        <w:tc>
          <w:tcPr>
            <w:tcW w:w="145" w:type="pct"/>
            <w:tcBorders>
              <w:top w:val="nil"/>
              <w:left w:val="nil"/>
              <w:bottom w:val="nil"/>
              <w:right w:val="nil"/>
            </w:tcBorders>
            <w:shd w:val="clear" w:color="auto" w:fill="FFFFFF"/>
            <w:vAlign w:val="center"/>
          </w:tcPr>
          <w:p w14:paraId="51DF417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nCIT; nCRT</w:t>
            </w:r>
          </w:p>
        </w:tc>
        <w:tc>
          <w:tcPr>
            <w:tcW w:w="233" w:type="pct"/>
            <w:tcBorders>
              <w:top w:val="nil"/>
              <w:left w:val="nil"/>
              <w:bottom w:val="nil"/>
              <w:right w:val="nil"/>
            </w:tcBorders>
            <w:shd w:val="clear" w:color="auto" w:fill="FFFFFF"/>
            <w:vAlign w:val="center"/>
          </w:tcPr>
          <w:p w14:paraId="26C339D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Camrelizumab 200 mg + paclitaxel/platinum chemotherapy</w:t>
            </w:r>
          </w:p>
        </w:tc>
        <w:tc>
          <w:tcPr>
            <w:tcW w:w="229" w:type="pct"/>
            <w:tcBorders>
              <w:top w:val="nil"/>
              <w:left w:val="nil"/>
              <w:bottom w:val="nil"/>
              <w:right w:val="nil"/>
            </w:tcBorders>
            <w:shd w:val="clear" w:color="auto" w:fill="FFFFFF"/>
            <w:vAlign w:val="center"/>
          </w:tcPr>
          <w:p w14:paraId="536E568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Paclitaxel/platinum chemotherapy + concurrent radiotherapy</w:t>
            </w:r>
          </w:p>
        </w:tc>
        <w:tc>
          <w:tcPr>
            <w:tcW w:w="152" w:type="pct"/>
            <w:tcBorders>
              <w:top w:val="nil"/>
              <w:left w:val="nil"/>
              <w:bottom w:val="nil"/>
              <w:right w:val="nil"/>
            </w:tcBorders>
            <w:shd w:val="clear" w:color="auto" w:fill="FFFFFF"/>
            <w:vAlign w:val="center"/>
          </w:tcPr>
          <w:p w14:paraId="423380F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39.6–45.0 Gy in 1.8–2.0 Gy fractions</w:t>
            </w:r>
          </w:p>
        </w:tc>
        <w:tc>
          <w:tcPr>
            <w:tcW w:w="201" w:type="pct"/>
            <w:tcBorders>
              <w:top w:val="nil"/>
              <w:left w:val="nil"/>
              <w:bottom w:val="nil"/>
              <w:right w:val="nil"/>
            </w:tcBorders>
            <w:shd w:val="clear" w:color="auto" w:fill="FFFFFF"/>
            <w:vAlign w:val="center"/>
          </w:tcPr>
          <w:p w14:paraId="7559AC0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1–4; 1–4</w:t>
            </w:r>
          </w:p>
        </w:tc>
        <w:tc>
          <w:tcPr>
            <w:tcW w:w="202" w:type="pct"/>
            <w:tcBorders>
              <w:top w:val="nil"/>
              <w:left w:val="nil"/>
              <w:bottom w:val="nil"/>
              <w:right w:val="nil"/>
            </w:tcBorders>
            <w:shd w:val="clear" w:color="auto" w:fill="FFFFFF"/>
            <w:vAlign w:val="center"/>
          </w:tcPr>
          <w:p w14:paraId="4FCE380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Esophagectomy; principally three-incision esophagectomy with cervical anastomosis</w:t>
            </w:r>
          </w:p>
        </w:tc>
        <w:tc>
          <w:tcPr>
            <w:tcW w:w="186" w:type="pct"/>
            <w:tcBorders>
              <w:top w:val="nil"/>
              <w:left w:val="nil"/>
              <w:bottom w:val="nil"/>
              <w:right w:val="nil"/>
            </w:tcBorders>
            <w:shd w:val="clear" w:color="auto" w:fill="FFFFFF"/>
            <w:vAlign w:val="center"/>
          </w:tcPr>
          <w:p w14:paraId="6190F9E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Standard two-field; selective three-field lymphadenectomy</w:t>
            </w:r>
          </w:p>
        </w:tc>
        <w:tc>
          <w:tcPr>
            <w:tcW w:w="167" w:type="pct"/>
            <w:tcBorders>
              <w:top w:val="nil"/>
              <w:left w:val="nil"/>
              <w:bottom w:val="nil"/>
              <w:right w:val="nil"/>
            </w:tcBorders>
            <w:shd w:val="clear" w:color="auto" w:fill="FFFFFF"/>
            <w:vAlign w:val="center"/>
          </w:tcPr>
          <w:p w14:paraId="33286F0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20 (58.8); 15 (48.4)</w:t>
            </w:r>
          </w:p>
        </w:tc>
        <w:tc>
          <w:tcPr>
            <w:tcW w:w="111" w:type="pct"/>
            <w:tcBorders>
              <w:top w:val="nil"/>
              <w:left w:val="nil"/>
              <w:bottom w:val="nil"/>
              <w:right w:val="nil"/>
            </w:tcBorders>
            <w:shd w:val="clear" w:color="auto" w:fill="FFFFFF"/>
            <w:vAlign w:val="center"/>
          </w:tcPr>
          <w:p w14:paraId="37BAC38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35.91 ± 6.76 days; 41.87 ± 10.60 days</w:t>
            </w:r>
          </w:p>
        </w:tc>
        <w:tc>
          <w:tcPr>
            <w:tcW w:w="172" w:type="pct"/>
            <w:tcBorders>
              <w:top w:val="nil"/>
              <w:left w:val="nil"/>
              <w:bottom w:val="nil"/>
              <w:right w:val="nil"/>
            </w:tcBorders>
            <w:shd w:val="clear" w:color="auto" w:fill="FFFFFF"/>
            <w:vAlign w:val="center"/>
          </w:tcPr>
          <w:p w14:paraId="2A5EF54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Overall median, 20.45 months (range, 0.36–84.76)</w:t>
            </w:r>
          </w:p>
        </w:tc>
        <w:tc>
          <w:tcPr>
            <w:tcW w:w="156" w:type="pct"/>
            <w:tcBorders>
              <w:top w:val="nil"/>
              <w:left w:val="nil"/>
              <w:bottom w:val="nil"/>
              <w:right w:val="nil"/>
            </w:tcBorders>
            <w:shd w:val="clear" w:color="auto" w:fill="FFFFFF"/>
            <w:vAlign w:val="center"/>
          </w:tcPr>
          <w:p w14:paraId="179DF3E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ypT0N0: 8 (23.5); 7 (22.6); primary-tumor pCR: 9 (26.4); 8 (25.8)</w:t>
            </w:r>
          </w:p>
        </w:tc>
        <w:tc>
          <w:tcPr>
            <w:tcW w:w="139" w:type="pct"/>
            <w:tcBorders>
              <w:top w:val="nil"/>
              <w:left w:val="nil"/>
              <w:bottom w:val="nil"/>
              <w:right w:val="nil"/>
            </w:tcBorders>
            <w:shd w:val="clear" w:color="auto" w:fill="FFFFFF"/>
            <w:vAlign w:val="center"/>
          </w:tcPr>
          <w:p w14:paraId="66A34AB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18 (52.9); 16 (51.6)</w:t>
            </w:r>
          </w:p>
        </w:tc>
        <w:tc>
          <w:tcPr>
            <w:tcW w:w="159" w:type="pct"/>
            <w:tcBorders>
              <w:top w:val="nil"/>
              <w:left w:val="nil"/>
              <w:bottom w:val="nil"/>
              <w:right w:val="nil"/>
            </w:tcBorders>
            <w:shd w:val="clear" w:color="auto" w:fill="FFFFFF"/>
            <w:vAlign w:val="center"/>
          </w:tcPr>
          <w:p w14:paraId="0593A26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Not explicitly reported as microscopic R0; radical resection: 33 (97.1); 29 (93.5)</w:t>
            </w:r>
          </w:p>
        </w:tc>
        <w:tc>
          <w:tcPr>
            <w:tcW w:w="118" w:type="pct"/>
            <w:tcBorders>
              <w:top w:val="nil"/>
              <w:left w:val="nil"/>
              <w:bottom w:val="nil"/>
              <w:right w:val="nil"/>
            </w:tcBorders>
            <w:shd w:val="clear" w:color="auto" w:fill="FFFFFF"/>
            <w:vAlign w:val="center"/>
          </w:tcPr>
          <w:p w14:paraId="1E94CCC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25.06 ± 7.62; 16.94 ± 7.24</w:t>
            </w:r>
          </w:p>
        </w:tc>
        <w:tc>
          <w:tcPr>
            <w:tcW w:w="150" w:type="pct"/>
            <w:tcBorders>
              <w:top w:val="nil"/>
              <w:left w:val="nil"/>
              <w:bottom w:val="nil"/>
              <w:right w:val="nil"/>
            </w:tcBorders>
            <w:shd w:val="clear" w:color="auto" w:fill="FFFFFF"/>
            <w:vAlign w:val="center"/>
          </w:tcPr>
          <w:p w14:paraId="0D15ED4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17 (50.0); 13 (41.9)</w:t>
            </w:r>
          </w:p>
        </w:tc>
        <w:tc>
          <w:tcPr>
            <w:tcW w:w="150" w:type="pct"/>
            <w:tcBorders>
              <w:top w:val="nil"/>
              <w:left w:val="nil"/>
              <w:bottom w:val="nil"/>
              <w:right w:val="nil"/>
            </w:tcBorders>
            <w:shd w:val="clear" w:color="auto" w:fill="FFFFFF"/>
            <w:vAlign w:val="center"/>
          </w:tcPr>
          <w:p w14:paraId="4770ED5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7/34 (20.6); 3/31 (9.7)</w:t>
            </w:r>
          </w:p>
        </w:tc>
        <w:tc>
          <w:tcPr>
            <w:tcW w:w="137" w:type="pct"/>
            <w:tcBorders>
              <w:top w:val="nil"/>
              <w:left w:val="nil"/>
              <w:bottom w:val="nil"/>
              <w:right w:val="nil"/>
            </w:tcBorders>
            <w:shd w:val="clear" w:color="auto" w:fill="FFFFFF"/>
            <w:vAlign w:val="center"/>
          </w:tcPr>
          <w:p w14:paraId="2118222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2/34 (5.9); 4/31 (12.9)</w:t>
            </w:r>
          </w:p>
        </w:tc>
        <w:tc>
          <w:tcPr>
            <w:tcW w:w="118" w:type="pct"/>
            <w:tcBorders>
              <w:top w:val="nil"/>
              <w:left w:val="nil"/>
              <w:bottom w:val="nil"/>
              <w:right w:val="nil"/>
            </w:tcBorders>
            <w:shd w:val="clear" w:color="auto" w:fill="FFFFFF"/>
            <w:vAlign w:val="center"/>
          </w:tcPr>
          <w:p w14:paraId="7597E91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2/34 (5.9); 1/31 (3.2)</w:t>
            </w:r>
          </w:p>
        </w:tc>
        <w:tc>
          <w:tcPr>
            <w:tcW w:w="135" w:type="pct"/>
            <w:tcBorders>
              <w:top w:val="nil"/>
              <w:left w:val="nil"/>
              <w:bottom w:val="nil"/>
              <w:right w:val="nil"/>
            </w:tcBorders>
            <w:shd w:val="clear" w:color="auto" w:fill="FFFFFF"/>
            <w:vAlign w:val="center"/>
          </w:tcPr>
          <w:p w14:paraId="19C2FAD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1/34 (2.9); 0/31 (0.0)</w:t>
            </w:r>
          </w:p>
        </w:tc>
        <w:tc>
          <w:tcPr>
            <w:tcW w:w="210" w:type="pct"/>
            <w:tcBorders>
              <w:top w:val="nil"/>
              <w:left w:val="nil"/>
              <w:bottom w:val="nil"/>
              <w:right w:val="nil"/>
            </w:tcBorders>
            <w:shd w:val="clear" w:color="auto" w:fill="FFFFFF"/>
            <w:vAlign w:val="center"/>
          </w:tcPr>
          <w:p w14:paraId="464D885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238" w:type="pct"/>
            <w:tcBorders>
              <w:top w:val="nil"/>
              <w:left w:val="nil"/>
              <w:bottom w:val="nil"/>
              <w:right w:val="nil"/>
            </w:tcBorders>
            <w:shd w:val="clear" w:color="auto" w:fill="FFFFFF"/>
            <w:vAlign w:val="center"/>
          </w:tcPr>
          <w:p w14:paraId="7807C62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290" w:type="pct"/>
            <w:tcBorders>
              <w:top w:val="nil"/>
              <w:left w:val="nil"/>
              <w:bottom w:val="nil"/>
              <w:right w:val="nil"/>
            </w:tcBorders>
            <w:shd w:val="clear" w:color="auto" w:fill="FFFFFF"/>
            <w:vAlign w:val="center"/>
          </w:tcPr>
          <w:p w14:paraId="4983873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371" w:type="pct"/>
            <w:tcBorders>
              <w:top w:val="nil"/>
              <w:left w:val="nil"/>
              <w:bottom w:val="nil"/>
              <w:right w:val="nil"/>
            </w:tcBorders>
            <w:shd w:val="clear" w:color="auto" w:fill="FFFFFF"/>
            <w:vAlign w:val="center"/>
          </w:tcPr>
          <w:p w14:paraId="149D9B3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324" w:type="pct"/>
            <w:tcBorders>
              <w:top w:val="nil"/>
              <w:left w:val="nil"/>
              <w:bottom w:val="nil"/>
              <w:right w:val="nil"/>
            </w:tcBorders>
            <w:shd w:val="clear" w:color="auto" w:fill="FFFFFF"/>
            <w:vAlign w:val="center"/>
          </w:tcPr>
          <w:p w14:paraId="4FF1CF2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1-year OS: 82.4%; 83.9%; 3-year OS: 73.3%; 39.7%</w:t>
            </w:r>
          </w:p>
        </w:tc>
        <w:tc>
          <w:tcPr>
            <w:tcW w:w="142" w:type="pct"/>
            <w:tcBorders>
              <w:top w:val="nil"/>
              <w:left w:val="nil"/>
              <w:bottom w:val="nil"/>
              <w:right w:val="nil"/>
            </w:tcBorders>
            <w:shd w:val="clear" w:color="auto" w:fill="FFFFFF"/>
            <w:vAlign w:val="center"/>
          </w:tcPr>
          <w:p w14:paraId="24C7BA6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179" w:type="pct"/>
            <w:tcBorders>
              <w:top w:val="nil"/>
              <w:left w:val="nil"/>
              <w:bottom w:val="nil"/>
              <w:right w:val="nil"/>
            </w:tcBorders>
            <w:shd w:val="clear" w:color="auto" w:fill="FFFFFF"/>
            <w:vAlign w:val="center"/>
          </w:tcPr>
          <w:p w14:paraId="410B752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r>
      <w:tr w14:paraId="089F6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5BC78EE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Zhao et al. [31]</w:t>
            </w:r>
          </w:p>
        </w:tc>
        <w:tc>
          <w:tcPr>
            <w:tcW w:w="145" w:type="pct"/>
            <w:tcBorders>
              <w:top w:val="nil"/>
              <w:left w:val="nil"/>
              <w:bottom w:val="nil"/>
              <w:right w:val="nil"/>
            </w:tcBorders>
            <w:shd w:val="clear" w:color="auto" w:fill="FFFFFF"/>
            <w:vAlign w:val="center"/>
          </w:tcPr>
          <w:p w14:paraId="37A012C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NICT; NCRT</w:t>
            </w:r>
          </w:p>
        </w:tc>
        <w:tc>
          <w:tcPr>
            <w:tcW w:w="233" w:type="pct"/>
            <w:tcBorders>
              <w:top w:val="nil"/>
              <w:left w:val="nil"/>
              <w:bottom w:val="nil"/>
              <w:right w:val="nil"/>
            </w:tcBorders>
            <w:shd w:val="clear" w:color="auto" w:fill="FFFFFF"/>
            <w:vAlign w:val="center"/>
          </w:tcPr>
          <w:p w14:paraId="772DD20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PD-1 inhibitor (pembrolizumab, camrelizumab, toripalimab, or sintilimab) + TP/PF chemotherapy</w:t>
            </w:r>
          </w:p>
        </w:tc>
        <w:tc>
          <w:tcPr>
            <w:tcW w:w="229" w:type="pct"/>
            <w:tcBorders>
              <w:top w:val="nil"/>
              <w:left w:val="nil"/>
              <w:bottom w:val="nil"/>
              <w:right w:val="nil"/>
            </w:tcBorders>
            <w:shd w:val="clear" w:color="auto" w:fill="FFFFFF"/>
            <w:vAlign w:val="center"/>
          </w:tcPr>
          <w:p w14:paraId="614B452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TP/PF chemotherapy + IMRT or 3D-CRT</w:t>
            </w:r>
          </w:p>
        </w:tc>
        <w:tc>
          <w:tcPr>
            <w:tcW w:w="152" w:type="pct"/>
            <w:tcBorders>
              <w:top w:val="nil"/>
              <w:left w:val="nil"/>
              <w:bottom w:val="nil"/>
              <w:right w:val="nil"/>
            </w:tcBorders>
            <w:shd w:val="clear" w:color="auto" w:fill="FFFFFF"/>
            <w:vAlign w:val="center"/>
          </w:tcPr>
          <w:p w14:paraId="00110EA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40–50.4 Gy in 1.8–2.0 Gy fractions</w:t>
            </w:r>
          </w:p>
        </w:tc>
        <w:tc>
          <w:tcPr>
            <w:tcW w:w="201" w:type="pct"/>
            <w:tcBorders>
              <w:top w:val="nil"/>
              <w:left w:val="nil"/>
              <w:bottom w:val="nil"/>
              <w:right w:val="nil"/>
            </w:tcBorders>
            <w:shd w:val="clear" w:color="auto" w:fill="FFFFFF"/>
            <w:vAlign w:val="center"/>
          </w:tcPr>
          <w:p w14:paraId="64EFC43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1–3; 1–3 (average, 2 cycles)</w:t>
            </w:r>
          </w:p>
        </w:tc>
        <w:tc>
          <w:tcPr>
            <w:tcW w:w="202" w:type="pct"/>
            <w:tcBorders>
              <w:top w:val="nil"/>
              <w:left w:val="nil"/>
              <w:bottom w:val="nil"/>
              <w:right w:val="nil"/>
            </w:tcBorders>
            <w:shd w:val="clear" w:color="auto" w:fill="FFFFFF"/>
            <w:vAlign w:val="center"/>
          </w:tcPr>
          <w:p w14:paraId="35961F9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Thoracotomy or minimally invasive two- or three-incision esophagectomy</w:t>
            </w:r>
          </w:p>
        </w:tc>
        <w:tc>
          <w:tcPr>
            <w:tcW w:w="186" w:type="pct"/>
            <w:tcBorders>
              <w:top w:val="nil"/>
              <w:left w:val="nil"/>
              <w:bottom w:val="nil"/>
              <w:right w:val="nil"/>
            </w:tcBorders>
            <w:shd w:val="clear" w:color="auto" w:fill="FFFFFF"/>
            <w:vAlign w:val="center"/>
          </w:tcPr>
          <w:p w14:paraId="2120B0A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Standard two-field; selective three-field lymphadenectomy</w:t>
            </w:r>
          </w:p>
        </w:tc>
        <w:tc>
          <w:tcPr>
            <w:tcW w:w="167" w:type="pct"/>
            <w:tcBorders>
              <w:top w:val="nil"/>
              <w:left w:val="nil"/>
              <w:bottom w:val="nil"/>
              <w:right w:val="nil"/>
            </w:tcBorders>
            <w:shd w:val="clear" w:color="auto" w:fill="FFFFFF"/>
            <w:vAlign w:val="center"/>
          </w:tcPr>
          <w:p w14:paraId="0AF36F8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None</w:t>
            </w:r>
          </w:p>
        </w:tc>
        <w:tc>
          <w:tcPr>
            <w:tcW w:w="111" w:type="pct"/>
            <w:tcBorders>
              <w:top w:val="nil"/>
              <w:left w:val="nil"/>
              <w:bottom w:val="nil"/>
              <w:right w:val="nil"/>
            </w:tcBorders>
            <w:shd w:val="clear" w:color="auto" w:fill="FFFFFF"/>
            <w:vAlign w:val="center"/>
          </w:tcPr>
          <w:p w14:paraId="7DC2CA6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5.80 ± 1.45 weeks; 5.44 ± 1.32 weeks</w:t>
            </w:r>
          </w:p>
        </w:tc>
        <w:tc>
          <w:tcPr>
            <w:tcW w:w="172" w:type="pct"/>
            <w:tcBorders>
              <w:top w:val="nil"/>
              <w:left w:val="nil"/>
              <w:bottom w:val="nil"/>
              <w:right w:val="nil"/>
            </w:tcBorders>
            <w:shd w:val="clear" w:color="auto" w:fill="FFFFFF"/>
            <w:vAlign w:val="center"/>
          </w:tcPr>
          <w:p w14:paraId="5BDB5F0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Overall median, 18 months (range, 4–82); NICT, 12 months (4–26); NCRT, 24 months (7–82)</w:t>
            </w:r>
          </w:p>
        </w:tc>
        <w:tc>
          <w:tcPr>
            <w:tcW w:w="156" w:type="pct"/>
            <w:tcBorders>
              <w:top w:val="nil"/>
              <w:left w:val="nil"/>
              <w:bottom w:val="nil"/>
              <w:right w:val="nil"/>
            </w:tcBorders>
            <w:shd w:val="clear" w:color="auto" w:fill="FFFFFF"/>
            <w:vAlign w:val="center"/>
          </w:tcPr>
          <w:p w14:paraId="1B15F3A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16 (29.1); 53 (48.2)</w:t>
            </w:r>
          </w:p>
        </w:tc>
        <w:tc>
          <w:tcPr>
            <w:tcW w:w="139" w:type="pct"/>
            <w:tcBorders>
              <w:top w:val="nil"/>
              <w:left w:val="nil"/>
              <w:bottom w:val="nil"/>
              <w:right w:val="nil"/>
            </w:tcBorders>
            <w:shd w:val="clear" w:color="auto" w:fill="FFFFFF"/>
            <w:vAlign w:val="center"/>
          </w:tcPr>
          <w:p w14:paraId="384E402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159" w:type="pct"/>
            <w:tcBorders>
              <w:top w:val="nil"/>
              <w:left w:val="nil"/>
              <w:bottom w:val="nil"/>
              <w:right w:val="nil"/>
            </w:tcBorders>
            <w:shd w:val="clear" w:color="auto" w:fill="FFFFFF"/>
            <w:vAlign w:val="center"/>
          </w:tcPr>
          <w:p w14:paraId="2A4D8EE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54 (98.2); 107 (97.3)</w:t>
            </w:r>
          </w:p>
        </w:tc>
        <w:tc>
          <w:tcPr>
            <w:tcW w:w="118" w:type="pct"/>
            <w:tcBorders>
              <w:top w:val="nil"/>
              <w:left w:val="nil"/>
              <w:bottom w:val="nil"/>
              <w:right w:val="nil"/>
            </w:tcBorders>
            <w:shd w:val="clear" w:color="auto" w:fill="FFFFFF"/>
            <w:vAlign w:val="center"/>
          </w:tcPr>
          <w:p w14:paraId="5118E59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22.8 ± 8.0; 16.9 ± 6.5</w:t>
            </w:r>
          </w:p>
        </w:tc>
        <w:tc>
          <w:tcPr>
            <w:tcW w:w="150" w:type="pct"/>
            <w:tcBorders>
              <w:top w:val="nil"/>
              <w:left w:val="nil"/>
              <w:bottom w:val="nil"/>
              <w:right w:val="nil"/>
            </w:tcBorders>
            <w:shd w:val="clear" w:color="auto" w:fill="FFFFFF"/>
            <w:vAlign w:val="center"/>
          </w:tcPr>
          <w:p w14:paraId="0519FD5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7 (12.7); 27 (24.5)</w:t>
            </w:r>
          </w:p>
        </w:tc>
        <w:tc>
          <w:tcPr>
            <w:tcW w:w="150" w:type="pct"/>
            <w:tcBorders>
              <w:top w:val="nil"/>
              <w:left w:val="nil"/>
              <w:bottom w:val="nil"/>
              <w:right w:val="nil"/>
            </w:tcBorders>
            <w:shd w:val="clear" w:color="auto" w:fill="FFFFFF"/>
            <w:vAlign w:val="center"/>
          </w:tcPr>
          <w:p w14:paraId="300BBB3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3 (5.5); 5 (4.5)</w:t>
            </w:r>
          </w:p>
        </w:tc>
        <w:tc>
          <w:tcPr>
            <w:tcW w:w="137" w:type="pct"/>
            <w:tcBorders>
              <w:top w:val="nil"/>
              <w:left w:val="nil"/>
              <w:bottom w:val="nil"/>
              <w:right w:val="nil"/>
            </w:tcBorders>
            <w:shd w:val="clear" w:color="auto" w:fill="FFFFFF"/>
            <w:vAlign w:val="center"/>
          </w:tcPr>
          <w:p w14:paraId="1766B76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3 (5.5); 17 (15.5)</w:t>
            </w:r>
          </w:p>
        </w:tc>
        <w:tc>
          <w:tcPr>
            <w:tcW w:w="118" w:type="pct"/>
            <w:tcBorders>
              <w:top w:val="nil"/>
              <w:left w:val="nil"/>
              <w:bottom w:val="nil"/>
              <w:right w:val="nil"/>
            </w:tcBorders>
            <w:shd w:val="clear" w:color="auto" w:fill="FFFFFF"/>
            <w:vAlign w:val="center"/>
          </w:tcPr>
          <w:p w14:paraId="4DB66BF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135" w:type="pct"/>
            <w:tcBorders>
              <w:top w:val="nil"/>
              <w:left w:val="nil"/>
              <w:bottom w:val="nil"/>
              <w:right w:val="nil"/>
            </w:tcBorders>
            <w:shd w:val="clear" w:color="auto" w:fill="FFFFFF"/>
            <w:vAlign w:val="center"/>
          </w:tcPr>
          <w:p w14:paraId="1BA293E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210" w:type="pct"/>
            <w:tcBorders>
              <w:top w:val="nil"/>
              <w:left w:val="nil"/>
              <w:bottom w:val="nil"/>
              <w:right w:val="nil"/>
            </w:tcBorders>
            <w:shd w:val="clear" w:color="auto" w:fill="FFFFFF"/>
            <w:vAlign w:val="center"/>
          </w:tcPr>
          <w:p w14:paraId="01944F3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238" w:type="pct"/>
            <w:tcBorders>
              <w:top w:val="nil"/>
              <w:left w:val="nil"/>
              <w:bottom w:val="nil"/>
              <w:right w:val="nil"/>
            </w:tcBorders>
            <w:shd w:val="clear" w:color="auto" w:fill="FFFFFF"/>
            <w:vAlign w:val="center"/>
          </w:tcPr>
          <w:p w14:paraId="11B2F6D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7 (12.7); 4 (3.6)</w:t>
            </w:r>
          </w:p>
        </w:tc>
        <w:tc>
          <w:tcPr>
            <w:tcW w:w="290" w:type="pct"/>
            <w:tcBorders>
              <w:top w:val="nil"/>
              <w:left w:val="nil"/>
              <w:bottom w:val="nil"/>
              <w:right w:val="nil"/>
            </w:tcBorders>
            <w:shd w:val="clear" w:color="auto" w:fill="FFFFFF"/>
            <w:vAlign w:val="center"/>
          </w:tcPr>
          <w:p w14:paraId="59E652C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1 (1.8); 8 (7.3)</w:t>
            </w:r>
          </w:p>
        </w:tc>
        <w:tc>
          <w:tcPr>
            <w:tcW w:w="371" w:type="pct"/>
            <w:tcBorders>
              <w:top w:val="nil"/>
              <w:left w:val="nil"/>
              <w:bottom w:val="nil"/>
              <w:right w:val="nil"/>
            </w:tcBorders>
            <w:shd w:val="clear" w:color="auto" w:fill="FFFFFF"/>
            <w:vAlign w:val="center"/>
          </w:tcPr>
          <w:p w14:paraId="0A3AD77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12-month DFS: 81.8%; 94.3%; 24-month numerical rates not reported (P = 0.026)</w:t>
            </w:r>
          </w:p>
        </w:tc>
        <w:tc>
          <w:tcPr>
            <w:tcW w:w="324" w:type="pct"/>
            <w:tcBorders>
              <w:top w:val="nil"/>
              <w:left w:val="nil"/>
              <w:bottom w:val="nil"/>
              <w:right w:val="nil"/>
            </w:tcBorders>
            <w:shd w:val="clear" w:color="auto" w:fill="FFFFFF"/>
            <w:vAlign w:val="center"/>
          </w:tcPr>
          <w:p w14:paraId="7FFF8A4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12-month OS: 95.4%; 100.0%; 24-month numerical rates not reported (P = 0.359)</w:t>
            </w:r>
          </w:p>
        </w:tc>
        <w:tc>
          <w:tcPr>
            <w:tcW w:w="142" w:type="pct"/>
            <w:tcBorders>
              <w:top w:val="nil"/>
              <w:left w:val="nil"/>
              <w:bottom w:val="nil"/>
              <w:right w:val="nil"/>
            </w:tcBorders>
            <w:shd w:val="clear" w:color="auto" w:fill="FFFFFF"/>
            <w:vAlign w:val="center"/>
          </w:tcPr>
          <w:p w14:paraId="53E5346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179" w:type="pct"/>
            <w:tcBorders>
              <w:top w:val="nil"/>
              <w:left w:val="nil"/>
              <w:bottom w:val="nil"/>
              <w:right w:val="nil"/>
            </w:tcBorders>
            <w:shd w:val="clear" w:color="auto" w:fill="FFFFFF"/>
            <w:vAlign w:val="center"/>
          </w:tcPr>
          <w:p w14:paraId="30385E7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r>
      <w:tr w14:paraId="6196B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2" w:type="pct"/>
            <w:tcBorders>
              <w:top w:val="nil"/>
              <w:left w:val="nil"/>
              <w:bottom w:val="nil"/>
              <w:right w:val="nil"/>
            </w:tcBorders>
            <w:shd w:val="clear" w:color="auto" w:fill="FFFFFF"/>
            <w:vAlign w:val="center"/>
          </w:tcPr>
          <w:p w14:paraId="286EA09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Zhuang et al. [32]</w:t>
            </w:r>
          </w:p>
        </w:tc>
        <w:tc>
          <w:tcPr>
            <w:tcW w:w="145" w:type="pct"/>
            <w:tcBorders>
              <w:top w:val="nil"/>
              <w:left w:val="nil"/>
              <w:bottom w:val="nil"/>
              <w:right w:val="nil"/>
            </w:tcBorders>
            <w:shd w:val="clear" w:color="auto" w:fill="FFFFFF"/>
            <w:vAlign w:val="center"/>
          </w:tcPr>
          <w:p w14:paraId="73D2378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NICT; NCRT</w:t>
            </w:r>
          </w:p>
        </w:tc>
        <w:tc>
          <w:tcPr>
            <w:tcW w:w="233" w:type="pct"/>
            <w:tcBorders>
              <w:top w:val="nil"/>
              <w:left w:val="nil"/>
              <w:bottom w:val="nil"/>
              <w:right w:val="nil"/>
            </w:tcBorders>
            <w:shd w:val="clear" w:color="auto" w:fill="FFFFFF"/>
            <w:vAlign w:val="center"/>
          </w:tcPr>
          <w:p w14:paraId="7ADD598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PD-1 inhibitor (tislelizumab, toripalimab, camrelizumab, or pembrolizumab) + cisplatin/paclitaxel</w:t>
            </w:r>
          </w:p>
        </w:tc>
        <w:tc>
          <w:tcPr>
            <w:tcW w:w="229" w:type="pct"/>
            <w:tcBorders>
              <w:top w:val="nil"/>
              <w:left w:val="nil"/>
              <w:bottom w:val="nil"/>
              <w:right w:val="nil"/>
            </w:tcBorders>
            <w:shd w:val="clear" w:color="auto" w:fill="FFFFFF"/>
            <w:vAlign w:val="center"/>
          </w:tcPr>
          <w:p w14:paraId="394C216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Cisplatin/paclitaxel + concurrent IMRT</w:t>
            </w:r>
          </w:p>
        </w:tc>
        <w:tc>
          <w:tcPr>
            <w:tcW w:w="152" w:type="pct"/>
            <w:tcBorders>
              <w:top w:val="nil"/>
              <w:left w:val="nil"/>
              <w:bottom w:val="nil"/>
              <w:right w:val="nil"/>
            </w:tcBorders>
            <w:shd w:val="clear" w:color="auto" w:fill="FFFFFF"/>
            <w:vAlign w:val="center"/>
          </w:tcPr>
          <w:p w14:paraId="6E04296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40–45 Gy/20–22 fractions</w:t>
            </w:r>
          </w:p>
        </w:tc>
        <w:tc>
          <w:tcPr>
            <w:tcW w:w="201" w:type="pct"/>
            <w:tcBorders>
              <w:top w:val="nil"/>
              <w:left w:val="nil"/>
              <w:bottom w:val="nil"/>
              <w:right w:val="nil"/>
            </w:tcBorders>
            <w:shd w:val="clear" w:color="auto" w:fill="FFFFFF"/>
            <w:vAlign w:val="center"/>
          </w:tcPr>
          <w:p w14:paraId="2D84A72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2–4; 2</w:t>
            </w:r>
          </w:p>
        </w:tc>
        <w:tc>
          <w:tcPr>
            <w:tcW w:w="202" w:type="pct"/>
            <w:tcBorders>
              <w:top w:val="nil"/>
              <w:left w:val="nil"/>
              <w:bottom w:val="nil"/>
              <w:right w:val="nil"/>
            </w:tcBorders>
            <w:shd w:val="clear" w:color="auto" w:fill="FFFFFF"/>
            <w:vAlign w:val="center"/>
          </w:tcPr>
          <w:p w14:paraId="75EC1E1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McKeown esophagectomy, including minimally invasive, open, or robot-assisted surgery</w:t>
            </w:r>
          </w:p>
        </w:tc>
        <w:tc>
          <w:tcPr>
            <w:tcW w:w="186" w:type="pct"/>
            <w:tcBorders>
              <w:top w:val="nil"/>
              <w:left w:val="nil"/>
              <w:bottom w:val="nil"/>
              <w:right w:val="nil"/>
            </w:tcBorders>
            <w:shd w:val="clear" w:color="auto" w:fill="FFFFFF"/>
            <w:vAlign w:val="center"/>
          </w:tcPr>
          <w:p w14:paraId="09FBE4F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Three-field lymphadenectomy</w:t>
            </w:r>
          </w:p>
        </w:tc>
        <w:tc>
          <w:tcPr>
            <w:tcW w:w="167" w:type="pct"/>
            <w:tcBorders>
              <w:top w:val="nil"/>
              <w:left w:val="nil"/>
              <w:bottom w:val="nil"/>
              <w:right w:val="nil"/>
            </w:tcBorders>
            <w:shd w:val="clear" w:color="auto" w:fill="FFFFFF"/>
            <w:vAlign w:val="center"/>
          </w:tcPr>
          <w:p w14:paraId="57B13E9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111" w:type="pct"/>
            <w:tcBorders>
              <w:top w:val="nil"/>
              <w:left w:val="nil"/>
              <w:bottom w:val="nil"/>
              <w:right w:val="nil"/>
            </w:tcBorders>
            <w:shd w:val="clear" w:color="auto" w:fill="FFFFFF"/>
            <w:vAlign w:val="center"/>
          </w:tcPr>
          <w:p w14:paraId="7E797F5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4–6 weeks</w:t>
            </w:r>
          </w:p>
        </w:tc>
        <w:tc>
          <w:tcPr>
            <w:tcW w:w="172" w:type="pct"/>
            <w:tcBorders>
              <w:top w:val="nil"/>
              <w:left w:val="nil"/>
              <w:bottom w:val="nil"/>
              <w:right w:val="nil"/>
            </w:tcBorders>
            <w:shd w:val="clear" w:color="auto" w:fill="FFFFFF"/>
            <w:vAlign w:val="center"/>
          </w:tcPr>
          <w:p w14:paraId="61B2B26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Overall median, 24 months (range, 1–48); mean follow-up: NICT, 22 months; NCRT, 25 months</w:t>
            </w:r>
          </w:p>
        </w:tc>
        <w:tc>
          <w:tcPr>
            <w:tcW w:w="156" w:type="pct"/>
            <w:tcBorders>
              <w:top w:val="nil"/>
              <w:left w:val="nil"/>
              <w:bottom w:val="nil"/>
              <w:right w:val="nil"/>
            </w:tcBorders>
            <w:shd w:val="clear" w:color="auto" w:fill="FFFFFF"/>
            <w:vAlign w:val="center"/>
          </w:tcPr>
          <w:p w14:paraId="61FE931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5 (18.5); 10 (33.3)</w:t>
            </w:r>
          </w:p>
        </w:tc>
        <w:tc>
          <w:tcPr>
            <w:tcW w:w="139" w:type="pct"/>
            <w:tcBorders>
              <w:top w:val="nil"/>
              <w:left w:val="nil"/>
              <w:bottom w:val="nil"/>
              <w:right w:val="nil"/>
            </w:tcBorders>
            <w:shd w:val="clear" w:color="auto" w:fill="FFFFFF"/>
            <w:vAlign w:val="center"/>
          </w:tcPr>
          <w:p w14:paraId="340C2D1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8 (29.6); 16 (53.3)</w:t>
            </w:r>
          </w:p>
        </w:tc>
        <w:tc>
          <w:tcPr>
            <w:tcW w:w="159" w:type="pct"/>
            <w:tcBorders>
              <w:top w:val="nil"/>
              <w:left w:val="nil"/>
              <w:bottom w:val="nil"/>
              <w:right w:val="nil"/>
            </w:tcBorders>
            <w:shd w:val="clear" w:color="auto" w:fill="FFFFFF"/>
            <w:vAlign w:val="center"/>
          </w:tcPr>
          <w:p w14:paraId="767C853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24 (88.9); 30 (100.0)</w:t>
            </w:r>
          </w:p>
        </w:tc>
        <w:tc>
          <w:tcPr>
            <w:tcW w:w="118" w:type="pct"/>
            <w:tcBorders>
              <w:top w:val="nil"/>
              <w:left w:val="nil"/>
              <w:bottom w:val="nil"/>
              <w:right w:val="nil"/>
            </w:tcBorders>
            <w:shd w:val="clear" w:color="auto" w:fill="FFFFFF"/>
            <w:vAlign w:val="center"/>
          </w:tcPr>
          <w:p w14:paraId="4606EE7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52.19 ± 19.66; 51.17 ± 22.60</w:t>
            </w:r>
          </w:p>
        </w:tc>
        <w:tc>
          <w:tcPr>
            <w:tcW w:w="150" w:type="pct"/>
            <w:tcBorders>
              <w:top w:val="nil"/>
              <w:left w:val="nil"/>
              <w:bottom w:val="nil"/>
              <w:right w:val="nil"/>
            </w:tcBorders>
            <w:shd w:val="clear" w:color="auto" w:fill="FFFFFF"/>
            <w:vAlign w:val="center"/>
          </w:tcPr>
          <w:p w14:paraId="6829F0D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12 (44.4); 16 (53.3)</w:t>
            </w:r>
          </w:p>
        </w:tc>
        <w:tc>
          <w:tcPr>
            <w:tcW w:w="150" w:type="pct"/>
            <w:tcBorders>
              <w:top w:val="nil"/>
              <w:left w:val="nil"/>
              <w:bottom w:val="nil"/>
              <w:right w:val="nil"/>
            </w:tcBorders>
            <w:shd w:val="clear" w:color="auto" w:fill="FFFFFF"/>
            <w:vAlign w:val="center"/>
          </w:tcPr>
          <w:p w14:paraId="5C70F39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3 (11.1); 4 (13.3)</w:t>
            </w:r>
          </w:p>
        </w:tc>
        <w:tc>
          <w:tcPr>
            <w:tcW w:w="137" w:type="pct"/>
            <w:tcBorders>
              <w:top w:val="nil"/>
              <w:left w:val="nil"/>
              <w:bottom w:val="nil"/>
              <w:right w:val="nil"/>
            </w:tcBorders>
            <w:shd w:val="clear" w:color="auto" w:fill="FFFFFF"/>
            <w:vAlign w:val="center"/>
          </w:tcPr>
          <w:p w14:paraId="38B62E8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1 (3.7); 1 (3.3)</w:t>
            </w:r>
          </w:p>
        </w:tc>
        <w:tc>
          <w:tcPr>
            <w:tcW w:w="118" w:type="pct"/>
            <w:tcBorders>
              <w:top w:val="nil"/>
              <w:left w:val="nil"/>
              <w:bottom w:val="nil"/>
              <w:right w:val="nil"/>
            </w:tcBorders>
            <w:shd w:val="clear" w:color="auto" w:fill="FFFFFF"/>
            <w:vAlign w:val="center"/>
          </w:tcPr>
          <w:p w14:paraId="47FF016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7 (25.9); 9 (30.0)</w:t>
            </w:r>
          </w:p>
        </w:tc>
        <w:tc>
          <w:tcPr>
            <w:tcW w:w="135" w:type="pct"/>
            <w:tcBorders>
              <w:top w:val="nil"/>
              <w:left w:val="nil"/>
              <w:bottom w:val="nil"/>
              <w:right w:val="nil"/>
            </w:tcBorders>
            <w:shd w:val="clear" w:color="auto" w:fill="FFFFFF"/>
            <w:vAlign w:val="center"/>
          </w:tcPr>
          <w:p w14:paraId="67BEAD4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0; 1 (3.3)</w:t>
            </w:r>
          </w:p>
        </w:tc>
        <w:tc>
          <w:tcPr>
            <w:tcW w:w="210" w:type="pct"/>
            <w:tcBorders>
              <w:top w:val="nil"/>
              <w:left w:val="nil"/>
              <w:bottom w:val="nil"/>
              <w:right w:val="nil"/>
            </w:tcBorders>
            <w:shd w:val="clear" w:color="auto" w:fill="FFFFFF"/>
            <w:vAlign w:val="center"/>
          </w:tcPr>
          <w:p w14:paraId="57E587E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238" w:type="pct"/>
            <w:tcBorders>
              <w:top w:val="nil"/>
              <w:left w:val="nil"/>
              <w:bottom w:val="nil"/>
              <w:right w:val="nil"/>
            </w:tcBorders>
            <w:shd w:val="clear" w:color="auto" w:fill="FFFFFF"/>
            <w:vAlign w:val="center"/>
          </w:tcPr>
          <w:p w14:paraId="4C53AEA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290" w:type="pct"/>
            <w:tcBorders>
              <w:top w:val="nil"/>
              <w:left w:val="nil"/>
              <w:bottom w:val="nil"/>
              <w:right w:val="nil"/>
            </w:tcBorders>
            <w:shd w:val="clear" w:color="auto" w:fill="FFFFFF"/>
            <w:vAlign w:val="center"/>
          </w:tcPr>
          <w:p w14:paraId="7CFCC2D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371" w:type="pct"/>
            <w:tcBorders>
              <w:top w:val="nil"/>
              <w:left w:val="nil"/>
              <w:bottom w:val="nil"/>
              <w:right w:val="nil"/>
            </w:tcBorders>
            <w:shd w:val="clear" w:color="auto" w:fill="FFFFFF"/>
            <w:vAlign w:val="center"/>
          </w:tcPr>
          <w:p w14:paraId="048D072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2-year RFS: 63.0%; 76.7%</w:t>
            </w:r>
          </w:p>
        </w:tc>
        <w:tc>
          <w:tcPr>
            <w:tcW w:w="324" w:type="pct"/>
            <w:tcBorders>
              <w:top w:val="nil"/>
              <w:left w:val="nil"/>
              <w:bottom w:val="nil"/>
              <w:right w:val="nil"/>
            </w:tcBorders>
            <w:shd w:val="clear" w:color="auto" w:fill="FFFFFF"/>
            <w:vAlign w:val="center"/>
          </w:tcPr>
          <w:p w14:paraId="0A0DB16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2-year OS: 74.1%; 86.7%</w:t>
            </w:r>
          </w:p>
        </w:tc>
        <w:tc>
          <w:tcPr>
            <w:tcW w:w="142" w:type="pct"/>
            <w:tcBorders>
              <w:top w:val="nil"/>
              <w:left w:val="nil"/>
              <w:bottom w:val="nil"/>
              <w:right w:val="nil"/>
            </w:tcBorders>
            <w:shd w:val="clear" w:color="auto" w:fill="FFFFFF"/>
            <w:vAlign w:val="center"/>
          </w:tcPr>
          <w:p w14:paraId="2808E69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Unadjusted HR, 1.807 (0.688–4.749); multivariable HR, 2.446 (0.539–11.097)</w:t>
            </w:r>
          </w:p>
        </w:tc>
        <w:tc>
          <w:tcPr>
            <w:tcW w:w="179" w:type="pct"/>
            <w:tcBorders>
              <w:top w:val="nil"/>
              <w:left w:val="nil"/>
              <w:bottom w:val="nil"/>
              <w:right w:val="nil"/>
            </w:tcBorders>
            <w:shd w:val="clear" w:color="auto" w:fill="FFFFFF"/>
            <w:vAlign w:val="center"/>
          </w:tcPr>
          <w:p w14:paraId="51E067D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Unadjusted HR, 2.026 (0.593–6.923); multivariable HR, 2.586 (0.355–18.853)</w:t>
            </w:r>
          </w:p>
        </w:tc>
      </w:tr>
      <w:tr w14:paraId="75D2E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2" w:type="pct"/>
            <w:tcBorders>
              <w:top w:val="nil"/>
              <w:left w:val="nil"/>
              <w:bottom w:val="single" w:color="000000" w:sz="4" w:space="0"/>
              <w:right w:val="nil"/>
            </w:tcBorders>
            <w:shd w:val="clear" w:color="auto" w:fill="FFFFFF"/>
            <w:vAlign w:val="center"/>
          </w:tcPr>
          <w:p w14:paraId="2615DCD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Zou et al. [33]</w:t>
            </w:r>
          </w:p>
        </w:tc>
        <w:tc>
          <w:tcPr>
            <w:tcW w:w="145" w:type="pct"/>
            <w:tcBorders>
              <w:top w:val="nil"/>
              <w:left w:val="nil"/>
              <w:bottom w:val="single" w:color="000000" w:sz="4" w:space="0"/>
              <w:right w:val="nil"/>
            </w:tcBorders>
            <w:shd w:val="clear" w:color="auto" w:fill="FFFFFF"/>
            <w:vAlign w:val="center"/>
          </w:tcPr>
          <w:p w14:paraId="5A62A31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NICT; NCRT</w:t>
            </w:r>
          </w:p>
        </w:tc>
        <w:tc>
          <w:tcPr>
            <w:tcW w:w="233" w:type="pct"/>
            <w:tcBorders>
              <w:top w:val="nil"/>
              <w:left w:val="nil"/>
              <w:bottom w:val="single" w:color="000000" w:sz="4" w:space="0"/>
              <w:right w:val="nil"/>
            </w:tcBorders>
            <w:shd w:val="clear" w:color="auto" w:fill="FFFFFF"/>
            <w:vAlign w:val="center"/>
          </w:tcPr>
          <w:p w14:paraId="682AD07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PD-1 inhibitor (camrelizumab, sintilimab, tislelizumab, or pembrolizumab) + TP/PF chemotherapy</w:t>
            </w:r>
          </w:p>
        </w:tc>
        <w:tc>
          <w:tcPr>
            <w:tcW w:w="229" w:type="pct"/>
            <w:tcBorders>
              <w:top w:val="nil"/>
              <w:left w:val="nil"/>
              <w:bottom w:val="single" w:color="000000" w:sz="4" w:space="0"/>
              <w:right w:val="nil"/>
            </w:tcBorders>
            <w:shd w:val="clear" w:color="auto" w:fill="FFFFFF"/>
            <w:vAlign w:val="center"/>
          </w:tcPr>
          <w:p w14:paraId="0365B99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TP/PF chemotherapy + 3D-CRT or IMRT</w:t>
            </w:r>
          </w:p>
        </w:tc>
        <w:tc>
          <w:tcPr>
            <w:tcW w:w="152" w:type="pct"/>
            <w:tcBorders>
              <w:top w:val="nil"/>
              <w:left w:val="nil"/>
              <w:bottom w:val="single" w:color="000000" w:sz="4" w:space="0"/>
              <w:right w:val="nil"/>
            </w:tcBorders>
            <w:shd w:val="clear" w:color="auto" w:fill="FFFFFF"/>
            <w:vAlign w:val="center"/>
          </w:tcPr>
          <w:p w14:paraId="50C62C0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41.4 Gy/23 fractions to 45–50.4 Gy/25–28 fractions</w:t>
            </w:r>
          </w:p>
        </w:tc>
        <w:tc>
          <w:tcPr>
            <w:tcW w:w="201" w:type="pct"/>
            <w:tcBorders>
              <w:top w:val="nil"/>
              <w:left w:val="nil"/>
              <w:bottom w:val="single" w:color="000000" w:sz="4" w:space="0"/>
              <w:right w:val="nil"/>
            </w:tcBorders>
            <w:shd w:val="clear" w:color="auto" w:fill="FFFFFF"/>
            <w:vAlign w:val="center"/>
          </w:tcPr>
          <w:p w14:paraId="044DAFD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2–5; 2–4</w:t>
            </w:r>
          </w:p>
        </w:tc>
        <w:tc>
          <w:tcPr>
            <w:tcW w:w="202" w:type="pct"/>
            <w:tcBorders>
              <w:top w:val="nil"/>
              <w:left w:val="nil"/>
              <w:bottom w:val="single" w:color="000000" w:sz="4" w:space="0"/>
              <w:right w:val="nil"/>
            </w:tcBorders>
            <w:shd w:val="clear" w:color="auto" w:fill="FFFFFF"/>
            <w:vAlign w:val="center"/>
          </w:tcPr>
          <w:p w14:paraId="4FEB1D2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Radical esophagectomy</w:t>
            </w:r>
          </w:p>
        </w:tc>
        <w:tc>
          <w:tcPr>
            <w:tcW w:w="186" w:type="pct"/>
            <w:tcBorders>
              <w:top w:val="nil"/>
              <w:left w:val="nil"/>
              <w:bottom w:val="single" w:color="000000" w:sz="4" w:space="0"/>
              <w:right w:val="nil"/>
            </w:tcBorders>
            <w:shd w:val="clear" w:color="auto" w:fill="FFFFFF"/>
            <w:vAlign w:val="center"/>
          </w:tcPr>
          <w:p w14:paraId="01D4CA5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167" w:type="pct"/>
            <w:tcBorders>
              <w:top w:val="nil"/>
              <w:left w:val="nil"/>
              <w:bottom w:val="single" w:color="000000" w:sz="4" w:space="0"/>
              <w:right w:val="nil"/>
            </w:tcBorders>
            <w:shd w:val="clear" w:color="auto" w:fill="FFFFFF"/>
            <w:vAlign w:val="center"/>
          </w:tcPr>
          <w:p w14:paraId="7561E49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Any adjuvant therapy: 38 (62.3); 6 (46.2)</w:t>
            </w:r>
          </w:p>
        </w:tc>
        <w:tc>
          <w:tcPr>
            <w:tcW w:w="111" w:type="pct"/>
            <w:tcBorders>
              <w:top w:val="nil"/>
              <w:left w:val="nil"/>
              <w:bottom w:val="single" w:color="000000" w:sz="4" w:space="0"/>
              <w:right w:val="nil"/>
            </w:tcBorders>
            <w:shd w:val="clear" w:color="auto" w:fill="FFFFFF"/>
            <w:vAlign w:val="center"/>
          </w:tcPr>
          <w:p w14:paraId="27D5818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NICT, 4–8 weeks; NCRT, 6–8 weeks</w:t>
            </w:r>
          </w:p>
        </w:tc>
        <w:tc>
          <w:tcPr>
            <w:tcW w:w="172" w:type="pct"/>
            <w:tcBorders>
              <w:top w:val="nil"/>
              <w:left w:val="nil"/>
              <w:bottom w:val="single" w:color="000000" w:sz="4" w:space="0"/>
              <w:right w:val="nil"/>
            </w:tcBorders>
            <w:shd w:val="clear" w:color="auto" w:fill="FFFFFF"/>
            <w:vAlign w:val="center"/>
          </w:tcPr>
          <w:p w14:paraId="6A7D5ED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Last follow-up in September 2024</w:t>
            </w:r>
          </w:p>
        </w:tc>
        <w:tc>
          <w:tcPr>
            <w:tcW w:w="156" w:type="pct"/>
            <w:tcBorders>
              <w:top w:val="nil"/>
              <w:left w:val="nil"/>
              <w:bottom w:val="single" w:color="000000" w:sz="4" w:space="0"/>
              <w:right w:val="nil"/>
            </w:tcBorders>
            <w:shd w:val="clear" w:color="auto" w:fill="FFFFFF"/>
            <w:vAlign w:val="center"/>
          </w:tcPr>
          <w:p w14:paraId="25CFD1A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21 (34.4); 6 (46.</w:t>
            </w:r>
            <w:r>
              <w:rPr>
                <w:rFonts w:hint="eastAsia"/>
                <w:lang w:val="en-US" w:eastAsia="zh-CN"/>
              </w:rPr>
              <w:t>2</w:t>
            </w:r>
            <w:r>
              <w:rPr>
                <w:rFonts w:hint="eastAsia"/>
              </w:rPr>
              <w:t>)</w:t>
            </w:r>
          </w:p>
        </w:tc>
        <w:tc>
          <w:tcPr>
            <w:tcW w:w="139" w:type="pct"/>
            <w:tcBorders>
              <w:top w:val="nil"/>
              <w:left w:val="nil"/>
              <w:bottom w:val="single" w:color="000000" w:sz="4" w:space="0"/>
              <w:right w:val="nil"/>
            </w:tcBorders>
            <w:shd w:val="clear" w:color="auto" w:fill="FFFFFF"/>
            <w:vAlign w:val="center"/>
          </w:tcPr>
          <w:p w14:paraId="02FF728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159" w:type="pct"/>
            <w:tcBorders>
              <w:top w:val="nil"/>
              <w:left w:val="nil"/>
              <w:bottom w:val="single" w:color="000000" w:sz="4" w:space="0"/>
              <w:right w:val="nil"/>
            </w:tcBorders>
            <w:shd w:val="clear" w:color="auto" w:fill="FFFFFF"/>
            <w:vAlign w:val="center"/>
          </w:tcPr>
          <w:p w14:paraId="3AF68F3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61 (100.0); 13 (100.0)</w:t>
            </w:r>
          </w:p>
        </w:tc>
        <w:tc>
          <w:tcPr>
            <w:tcW w:w="118" w:type="pct"/>
            <w:tcBorders>
              <w:top w:val="nil"/>
              <w:left w:val="nil"/>
              <w:bottom w:val="single" w:color="000000" w:sz="4" w:space="0"/>
              <w:right w:val="nil"/>
            </w:tcBorders>
            <w:shd w:val="clear" w:color="auto" w:fill="FFFFFF"/>
            <w:vAlign w:val="center"/>
          </w:tcPr>
          <w:p w14:paraId="3099974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150" w:type="pct"/>
            <w:tcBorders>
              <w:top w:val="nil"/>
              <w:left w:val="nil"/>
              <w:bottom w:val="single" w:color="000000" w:sz="4" w:space="0"/>
              <w:right w:val="nil"/>
            </w:tcBorders>
            <w:shd w:val="clear" w:color="auto" w:fill="FFFFFF"/>
            <w:vAlign w:val="center"/>
          </w:tcPr>
          <w:p w14:paraId="77BC228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150" w:type="pct"/>
            <w:tcBorders>
              <w:top w:val="nil"/>
              <w:left w:val="nil"/>
              <w:bottom w:val="single" w:color="000000" w:sz="4" w:space="0"/>
              <w:right w:val="nil"/>
            </w:tcBorders>
            <w:shd w:val="clear" w:color="auto" w:fill="FFFFFF"/>
            <w:vAlign w:val="center"/>
          </w:tcPr>
          <w:p w14:paraId="1C8E7AE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15 (24.6); 2 (15.4)</w:t>
            </w:r>
          </w:p>
        </w:tc>
        <w:tc>
          <w:tcPr>
            <w:tcW w:w="137" w:type="pct"/>
            <w:tcBorders>
              <w:top w:val="nil"/>
              <w:left w:val="nil"/>
              <w:bottom w:val="single" w:color="000000" w:sz="4" w:space="0"/>
              <w:right w:val="nil"/>
            </w:tcBorders>
            <w:shd w:val="clear" w:color="auto" w:fill="FFFFFF"/>
            <w:vAlign w:val="center"/>
          </w:tcPr>
          <w:p w14:paraId="7FAD517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7 (11.5); 2 (15.4)</w:t>
            </w:r>
          </w:p>
        </w:tc>
        <w:tc>
          <w:tcPr>
            <w:tcW w:w="118" w:type="pct"/>
            <w:tcBorders>
              <w:top w:val="nil"/>
              <w:left w:val="nil"/>
              <w:bottom w:val="single" w:color="000000" w:sz="4" w:space="0"/>
              <w:right w:val="nil"/>
            </w:tcBorders>
            <w:shd w:val="clear" w:color="auto" w:fill="FFFFFF"/>
            <w:vAlign w:val="center"/>
          </w:tcPr>
          <w:p w14:paraId="1F10E62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135" w:type="pct"/>
            <w:tcBorders>
              <w:top w:val="nil"/>
              <w:left w:val="nil"/>
              <w:bottom w:val="single" w:color="000000" w:sz="4" w:space="0"/>
              <w:right w:val="nil"/>
            </w:tcBorders>
            <w:shd w:val="clear" w:color="auto" w:fill="FFFFFF"/>
            <w:vAlign w:val="center"/>
          </w:tcPr>
          <w:p w14:paraId="5136FA9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210" w:type="pct"/>
            <w:tcBorders>
              <w:top w:val="nil"/>
              <w:left w:val="nil"/>
              <w:bottom w:val="single" w:color="000000" w:sz="4" w:space="0"/>
              <w:right w:val="nil"/>
            </w:tcBorders>
            <w:shd w:val="clear" w:color="auto" w:fill="FFFFFF"/>
            <w:vAlign w:val="center"/>
          </w:tcPr>
          <w:p w14:paraId="10D0FA0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238" w:type="pct"/>
            <w:tcBorders>
              <w:top w:val="nil"/>
              <w:left w:val="nil"/>
              <w:bottom w:val="single" w:color="000000" w:sz="4" w:space="0"/>
              <w:right w:val="nil"/>
            </w:tcBorders>
            <w:shd w:val="clear" w:color="auto" w:fill="FFFFFF"/>
            <w:vAlign w:val="center"/>
          </w:tcPr>
          <w:p w14:paraId="41D727B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290" w:type="pct"/>
            <w:tcBorders>
              <w:top w:val="nil"/>
              <w:left w:val="nil"/>
              <w:bottom w:val="single" w:color="000000" w:sz="4" w:space="0"/>
              <w:right w:val="nil"/>
            </w:tcBorders>
            <w:shd w:val="clear" w:color="auto" w:fill="FFFFFF"/>
            <w:vAlign w:val="center"/>
          </w:tcPr>
          <w:p w14:paraId="7DBA996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371" w:type="pct"/>
            <w:tcBorders>
              <w:top w:val="nil"/>
              <w:left w:val="nil"/>
              <w:bottom w:val="single" w:color="000000" w:sz="4" w:space="0"/>
              <w:right w:val="nil"/>
            </w:tcBorders>
            <w:shd w:val="clear" w:color="auto" w:fill="FFFFFF"/>
            <w:vAlign w:val="center"/>
          </w:tcPr>
          <w:p w14:paraId="7581CA3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324" w:type="pct"/>
            <w:tcBorders>
              <w:top w:val="nil"/>
              <w:left w:val="nil"/>
              <w:bottom w:val="single" w:color="000000" w:sz="4" w:space="0"/>
              <w:right w:val="nil"/>
            </w:tcBorders>
            <w:shd w:val="clear" w:color="auto" w:fill="FFFFFF"/>
            <w:vAlign w:val="center"/>
          </w:tcPr>
          <w:p w14:paraId="680EFEE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KM curve only; direct NICT-versus-NCRT numerical survival estimate not reported</w:t>
            </w:r>
          </w:p>
        </w:tc>
        <w:tc>
          <w:tcPr>
            <w:tcW w:w="142" w:type="pct"/>
            <w:tcBorders>
              <w:top w:val="nil"/>
              <w:left w:val="nil"/>
              <w:bottom w:val="single" w:color="000000" w:sz="4" w:space="0"/>
              <w:right w:val="nil"/>
            </w:tcBorders>
            <w:shd w:val="clear" w:color="auto" w:fill="FFFFFF"/>
            <w:vAlign w:val="center"/>
          </w:tcPr>
          <w:p w14:paraId="7A70B49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c>
          <w:tcPr>
            <w:tcW w:w="179" w:type="pct"/>
            <w:tcBorders>
              <w:top w:val="nil"/>
              <w:left w:val="nil"/>
              <w:bottom w:val="single" w:color="000000" w:sz="4" w:space="0"/>
              <w:right w:val="nil"/>
            </w:tcBorders>
            <w:shd w:val="clear" w:color="auto" w:fill="FFFFFF"/>
            <w:vAlign w:val="center"/>
          </w:tcPr>
          <w:p w14:paraId="4ACED5F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eastAsia"/>
              </w:rPr>
              <w:t>-</w:t>
            </w:r>
          </w:p>
        </w:tc>
      </w:tr>
      <w:tr w14:paraId="257E8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00" w:hRule="atLeast"/>
        </w:trPr>
        <w:tc>
          <w:tcPr>
            <w:tcW w:w="5000" w:type="pct"/>
            <w:gridSpan w:val="27"/>
            <w:tcBorders>
              <w:top w:val="nil"/>
              <w:left w:val="nil"/>
              <w:bottom w:val="nil"/>
              <w:right w:val="nil"/>
            </w:tcBorders>
            <w:shd w:val="clear" w:color="auto" w:fill="FFFFFF"/>
            <w:vAlign w:val="top"/>
          </w:tcPr>
          <w:p w14:paraId="4C794FBE">
            <w:pPr>
              <w:keepNext w:val="0"/>
              <w:keepLines w:val="0"/>
              <w:widowControl/>
              <w:suppressLineNumbers w:val="0"/>
              <w:ind w:left="0" w:leftChars="0" w:right="0" w:rightChars="0" w:firstLine="0" w:firstLineChars="0"/>
              <w:jc w:val="left"/>
              <w:textAlignment w:val="top"/>
              <w:rPr>
                <w:rFonts w:hint="default" w:ascii="Times New Roman" w:hAnsi="Times New Roman" w:eastAsia="Carlito" w:cs="Times New Roman"/>
                <w:i w:val="0"/>
                <w:iCs w:val="0"/>
                <w:color w:val="000000"/>
                <w:kern w:val="0"/>
                <w:sz w:val="16"/>
                <w:szCs w:val="16"/>
                <w:u w:val="none"/>
                <w:lang w:val="en-US" w:eastAsia="zh-CN" w:bidi="ar"/>
              </w:rPr>
            </w:pPr>
            <w:r>
              <w:rPr>
                <w:rFonts w:hint="default" w:ascii="Times New Roman" w:hAnsi="Times New Roman" w:eastAsia="Carlito" w:cs="Times New Roman"/>
                <w:i w:val="0"/>
                <w:iCs w:val="0"/>
                <w:color w:val="000000"/>
                <w:kern w:val="0"/>
                <w:sz w:val="16"/>
                <w:szCs w:val="16"/>
                <w:u w:val="none"/>
                <w:lang w:val="en-US" w:eastAsia="zh-CN" w:bidi="ar"/>
              </w:rPr>
              <w:t>Footnote: Data are presented as n (%), mean ± standard deviation, median with range or interquartile range, or survival estimates as reported in the original studies. When two treatment groups are shown in one cell, values are separated by a semicolon and follow the order shown in the Group column, generally NICT/NCIT first and NCRT second. Treatment regimens, radiotherapy dose, neoadjuvant cycles, surgery type, lymphadenectomy, and adjuvant therapy were summarized according to the original descriptions. pCR was extracted according to the definition used in each study; when primary-tumor pCR rather than ypT0N0 was reported, this was specified in the cell. MPR was generally defined as ≤10% viable residual tumor cells, unless otherwise defined by the original study. Complications were extracted according to the time window and classification used in the original article.</w:t>
            </w:r>
            <w:r>
              <w:rPr>
                <w:rFonts w:hint="eastAsia" w:ascii="Times New Roman" w:hAnsi="Times New Roman" w:eastAsia="Carlito" w:cs="Times New Roman"/>
                <w:i w:val="0"/>
                <w:iCs w:val="0"/>
                <w:color w:val="000000"/>
                <w:kern w:val="0"/>
                <w:sz w:val="16"/>
                <w:szCs w:val="16"/>
                <w:u w:val="none"/>
                <w:lang w:val="en-US" w:eastAsia="zh-CN" w:bidi="ar"/>
              </w:rPr>
              <w:t xml:space="preserve"> </w:t>
            </w:r>
            <w:r>
              <w:rPr>
                <w:rFonts w:hint="default" w:ascii="Times New Roman" w:hAnsi="Times New Roman" w:eastAsia="Carlito" w:cs="Times New Roman"/>
                <w:i w:val="0"/>
                <w:iCs w:val="0"/>
                <w:color w:val="000000"/>
                <w:kern w:val="0"/>
                <w:sz w:val="16"/>
                <w:szCs w:val="16"/>
                <w:u w:val="none"/>
                <w:lang w:val="en-US" w:eastAsia="zh-CN" w:bidi="ar"/>
              </w:rPr>
              <w:t>For Zhang et al. [30], percentages for individual postoperative complications were recalculated using the total number of patients in each treatment group because the original article reported these percentages among patients who experienced any postoperative complication. Recurrence outcomes were extracted according to the original definitions of overall recurrence, locoregional recurrence, and distant recurrence/metastasis. Survival outcomes were extracted as DFS, RFS, or OS according to the original report. Unless otherwise specified, hazard ratios were presented in the direction of NICT/NCIT versus NCRT. “KM curve only” indicates that survival information was shown only in Kaplan–Meier curves without directly extractable numerical estimates. “-” indicates not reported, not applicable, or not extractable from the original article.</w:t>
            </w:r>
            <w:r>
              <w:rPr>
                <w:rFonts w:hint="eastAsia" w:ascii="Times New Roman" w:hAnsi="Times New Roman" w:eastAsia="Carlito" w:cs="Times New Roman"/>
                <w:i w:val="0"/>
                <w:iCs w:val="0"/>
                <w:color w:val="000000"/>
                <w:kern w:val="0"/>
                <w:sz w:val="16"/>
                <w:szCs w:val="16"/>
                <w:u w:val="none"/>
                <w:lang w:val="en-US" w:eastAsia="zh-CN" w:bidi="ar"/>
              </w:rPr>
              <w:t xml:space="preserve"> </w:t>
            </w:r>
            <w:r>
              <w:rPr>
                <w:rFonts w:hint="default" w:ascii="Times New Roman" w:hAnsi="Times New Roman" w:eastAsia="Carlito" w:cs="Times New Roman"/>
                <w:i w:val="0"/>
                <w:iCs w:val="0"/>
                <w:color w:val="000000"/>
                <w:kern w:val="0"/>
                <w:sz w:val="16"/>
                <w:szCs w:val="16"/>
                <w:u w:val="none"/>
                <w:lang w:val="en-US" w:eastAsia="zh-CN" w:bidi="ar"/>
              </w:rPr>
              <w:t>NCIT and NCRT are used as the preferred terms in the column headings; study-specific treatment labels are retained in the Group column and selected data cells to reflect the terminology used in the original reports. Paired values follow the treatment-group order shown in the Group column.</w:t>
            </w:r>
            <w:r>
              <w:rPr>
                <w:rFonts w:hint="default" w:ascii="Times New Roman" w:hAnsi="Times New Roman" w:eastAsia="Carlito" w:cs="Times New Roman"/>
                <w:i w:val="0"/>
                <w:iCs w:val="0"/>
                <w:color w:val="000000"/>
                <w:kern w:val="0"/>
                <w:sz w:val="16"/>
                <w:szCs w:val="16"/>
                <w:u w:val="none"/>
                <w:lang w:val="en-US" w:eastAsia="zh-CN" w:bidi="ar"/>
              </w:rPr>
              <w:br w:type="textWrapping"/>
            </w:r>
            <w:r>
              <w:rPr>
                <w:rFonts w:hint="default" w:ascii="Times New Roman" w:hAnsi="Times New Roman" w:eastAsia="Carlito" w:cs="Times New Roman"/>
                <w:i w:val="0"/>
                <w:iCs w:val="0"/>
                <w:color w:val="000000"/>
                <w:kern w:val="0"/>
                <w:sz w:val="16"/>
                <w:szCs w:val="16"/>
                <w:u w:val="none"/>
                <w:lang w:val="en-US" w:eastAsia="zh-CN" w:bidi="ar"/>
              </w:rPr>
              <w:t>Abbreviations: 3D-CRT, three-dimensional conformal radiotherapy; 5-FU, 5-fluorouracil; CI, confidence interval; CROSS, carboplatin/paclitaxel-based neoadjuvant chemoradiotherapy regimen; CRT, chemoradiotherapy; DFS, disease-free survival; ESCC, esophageal squamous cell carcinoma; Gy, gray; HR, hazard ratio; ICI, immune checkpoint inhibitor; IMRT, intensity-modulated radiotherapy; IPTW, inverse probability of treatment weighting; ITT, intention-to-treat; KM, Kaplan–Meier; LA-ESCC, locally advanced esophageal squamous cell carcinoma; LN, lymph node; MIE, minimally invasive esophagectomy; mo, months; MPR, major pathological response; NACI, neoadjuvant chemoimmunotherapy; NACR, neoadjuvant chemoradiotherapy; NCIT/nCIT, neoadjuvant chemoimmunotherapy; NCRT/nCRT, neoadjuvant chemoradiotherapy; NCT/nCT, neoadjuvant chemotherapy; NICE, neoadjuvant immunotherapy plus chemotherapy; NICT, neoadjuvant immunochemotherapy; NR, not reached; ORR, objective response rate; OS, overall survival; pCR, pathological complete response; PD-1, programmed cell death protein 1; PD-L1, programmed death-ligand 1; PF, platinum plus fluorouracil; PSM, propensity score matching; R0, microscopically margin-negative resection; RFS, recurrence-free survival; RT, radiotherapy; TRAEs, treatment-related adverse events; TRG, tumor regression grade; TP, taxane plus platinum; ypT, pathological tumor stage after neoadjuvant therapy; ypN, pathological nodal stage after neoadjuvant therapy.</w:t>
            </w:r>
          </w:p>
        </w:tc>
      </w:tr>
    </w:tbl>
    <w:p w14:paraId="3DC8ACE9"/>
    <w:sectPr>
      <w:pgSz w:w="23811" w:h="16838" w:orient="landscape"/>
      <w:pgMar w:top="1800" w:right="1134" w:bottom="180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rli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36BDD"/>
    <w:rsid w:val="0E9D4C55"/>
    <w:rsid w:val="133B6A25"/>
    <w:rsid w:val="1DE026A3"/>
    <w:rsid w:val="243E505D"/>
    <w:rsid w:val="3F2765AD"/>
    <w:rsid w:val="42D86725"/>
    <w:rsid w:val="47A83982"/>
    <w:rsid w:val="52903F7D"/>
    <w:rsid w:val="59BF524A"/>
    <w:rsid w:val="647915C1"/>
    <w:rsid w:val="690617EC"/>
    <w:rsid w:val="7DF32E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1552</Words>
  <Characters>7559</Characters>
  <Lines>0</Lines>
  <Paragraphs>0</Paragraphs>
  <TotalTime>6</TotalTime>
  <ScaleCrop>false</ScaleCrop>
  <LinksUpToDate>false</LinksUpToDate>
  <CharactersWithSpaces>8578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2026-05-29T14:53:00Z</dcterms:created>
  <dc:creator>14040</dc:creator>
  <cp:lastModifiedBy>petty</cp:lastModifiedBy>
  <dcterms:modified xsi:type="dcterms:W3CDTF">2026-07-30T09:29:46Z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eyJoZGlkIjoiNzJhYmVmZmFkN2RlMWNlMGYyNWE0ZjgzN2YyYmUwNGQiLCJ1c2VySWQiOiIzODA3MDA0MDIifQ==</vt:lpwstr>
  </property>
  <property fmtid="{D5CDD505-2E9C-101B-9397-08002B2CF9AE}" pid="4" name="ICV">
    <vt:lpwstr>4463B69F544D496DB0381AA3BC86E632_12</vt:lpwstr>
  </property>
</Properties>
</file>