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Supplementary Table 1. Univariate Cox regression analysis of all 12 candidate predictor variables (n=200)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0"/>
              </w:rPr>
              <w:t>Variable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0"/>
              </w:rPr>
              <w:t>HR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0"/>
              </w:rPr>
              <w:t>95% CI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0"/>
              </w:rPr>
              <w:t>P-value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0"/>
              </w:rPr>
              <w:t>Included in Multivariate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Age (per year)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1.085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1.058 - 1.113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&lt;0.001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Yes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Sex (Male vs. Female)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1.312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0.789 - 2.181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0.296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Yes*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T Stage (per increment)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1.845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1.456 - 2.338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&lt;0.001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Yes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N Stage (per increment)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2.234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1.823 - 2.737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&lt;0.001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Yes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M Stage (M1 vs. M0)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3.456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2.312 - 5.165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&lt;0.001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Yes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Lauren Type (per increment)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1.567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1.245 - 1.973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&lt;0.001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Yes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Tumor Size (per cm)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1.156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1.089 - 1.227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&lt;0.001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Yes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Lymph Nodes Examined (per node)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0.978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0.956 - 1.001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0.062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Yes*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Positive Lymph Nodes (per node)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1.089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1.061 - 1.118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&lt;0.001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Yes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LVI (Present vs. Absent)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2.345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1.567 - 3.509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&lt;0.001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Yes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PNI (Present vs. Absent)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2.123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1.423 - 3.167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&lt;0.001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Yes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Surgery Type (TG vs. DG/PG)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1.456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1.089 - 1.946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0.011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sz w:val="20"/>
              </w:rPr>
              <w:t>Yes</w:t>
            </w:r>
          </w:p>
        </w:tc>
      </w:tr>
    </w:tbl>
    <w:p>
      <w:r>
        <w:rPr>
          <w:rFonts w:ascii="Times New Roman" w:hAnsi="Times New Roman"/>
          <w:i/>
          <w:sz w:val="18"/>
        </w:rPr>
        <w:br/>
        <w:t>*Included in multivariate model for clinical relevance despite P≥0.10 in univariate analysis.</w:t>
      </w:r>
    </w:p>
    <w:p>
      <w:r>
        <w:rPr>
          <w:rFonts w:ascii="Times New Roman" w:hAnsi="Times New Roman"/>
          <w:i/>
          <w:sz w:val="18"/>
        </w:rPr>
        <w:t>HR: hazard ratio; CI: confidence interval. All 12 variables were tested. Variables with P&lt;0.10 in univariate analysis were considered for multivariate modeling.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