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958" w:rsidRDefault="00E95958" w:rsidP="00E95958">
      <w:pPr>
        <w:spacing w:line="480" w:lineRule="auto"/>
        <w:jc w:val="both"/>
        <w:rPr>
          <w:rFonts w:ascii="Arial Unicode MS" w:hAnsi="Arial Unicode MS" w:cs="Arial Unicode MS"/>
          <w:lang w:val="en-GB"/>
        </w:rPr>
      </w:pPr>
      <w:bookmarkStart w:id="0" w:name="[IMAGE-Fig2_Print.png]"/>
      <w:r>
        <w:rPr>
          <w:rFonts w:ascii="Arial Unicode MS" w:hAnsi="Calibri" w:cs="Arial Unicode MS"/>
          <w:noProof/>
        </w:rPr>
        <w:drawing>
          <wp:inline distT="0" distB="0" distL="0" distR="0" wp14:anchorId="3923847E" wp14:editId="229E9C95">
            <wp:extent cx="5954868" cy="2667573"/>
            <wp:effectExtent l="0" t="0" r="1905" b="0"/>
            <wp:docPr id="928780457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80457" name="Grafik 92878045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91" r="22394" b="40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406" cy="2684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E95958" w:rsidRDefault="00E95958" w:rsidP="00E95958">
      <w:pPr>
        <w:spacing w:line="480" w:lineRule="auto"/>
        <w:jc w:val="both"/>
        <w:rPr>
          <w:rFonts w:ascii="Arial Unicode MS" w:hAnsi="Arial Unicode MS" w:cs="Arial Unicode MS"/>
          <w:lang w:val="en-GB"/>
        </w:rPr>
      </w:pPr>
      <w:bookmarkStart w:id="1" w:name="_GoBack"/>
      <w:r>
        <w:rPr>
          <w:rFonts w:ascii="Arial Unicode MS" w:eastAsia="Arial Unicode MS" w:hAnsi="Calibri" w:cs="Arial Unicode MS"/>
          <w:b/>
          <w:bCs/>
          <w:sz w:val="20"/>
          <w:szCs w:val="20"/>
        </w:rPr>
        <w:t>Figure S1</w:t>
      </w:r>
      <w:bookmarkEnd w:id="1"/>
      <w:r>
        <w:rPr>
          <w:rFonts w:ascii="Arial Unicode MS" w:eastAsia="Arial Unicode MS" w:hAnsi="Calibri" w:cs="Arial Unicode MS"/>
          <w:b/>
          <w:bCs/>
          <w:sz w:val="20"/>
          <w:szCs w:val="20"/>
        </w:rPr>
        <w:t xml:space="preserve">: Comparison of internal promoter activity based on GFP expression in a SIN </w:t>
      </w:r>
      <w:proofErr w:type="spellStart"/>
      <w:r>
        <w:rPr>
          <w:rFonts w:ascii="Arial Unicode MS" w:eastAsia="Arial Unicode MS" w:hAnsi="Calibri" w:cs="Arial Unicode MS"/>
          <w:b/>
          <w:bCs/>
          <w:sz w:val="20"/>
          <w:szCs w:val="20"/>
        </w:rPr>
        <w:t>lentiviral</w:t>
      </w:r>
      <w:proofErr w:type="spellEnd"/>
      <w:r>
        <w:rPr>
          <w:rFonts w:ascii="Arial Unicode MS" w:eastAsia="Arial Unicode MS" w:hAnsi="Calibri" w:cs="Arial Unicode MS"/>
          <w:b/>
          <w:bCs/>
          <w:sz w:val="20"/>
          <w:szCs w:val="20"/>
        </w:rPr>
        <w:t xml:space="preserve"> vector.</w:t>
      </w:r>
      <w:r>
        <w:rPr>
          <w:rFonts w:ascii="Arial Unicode MS" w:eastAsia="Arial Unicode MS" w:hAnsi="Calibri" w:cs="Arial Unicode MS"/>
          <w:b/>
          <w:bCs/>
          <w:i/>
          <w:iCs/>
          <w:sz w:val="20"/>
          <w:szCs w:val="20"/>
        </w:rPr>
        <w:t xml:space="preserve"> (A) Schematic representation of the LV expression vector. </w:t>
      </w:r>
      <w:r>
        <w:rPr>
          <w:rFonts w:ascii="Arial Unicode MS" w:eastAsia="Arial Unicode MS" w:hAnsi="Calibri" w:cs="Arial Unicode MS"/>
          <w:i/>
          <w:iCs/>
          <w:sz w:val="20"/>
          <w:szCs w:val="20"/>
        </w:rPr>
        <w:t>The internal promoters drive the expression levels of the GFP transgene.</w:t>
      </w:r>
      <w:r>
        <w:rPr>
          <w:rFonts w:ascii="Arial Unicode MS" w:eastAsia="Arial Unicode MS" w:hAnsi="Calibri" w:cs="Arial Unicode MS"/>
          <w:b/>
          <w:bCs/>
          <w:i/>
          <w:iCs/>
          <w:sz w:val="20"/>
          <w:szCs w:val="20"/>
        </w:rPr>
        <w:t xml:space="preserve"> (B) Evaluation of infectious titer (TU/mL) and GFP mean fluorescence intensity (MFI) of LV vectors in EGFR KO cell lines UM-14C</w:t>
      </w:r>
      <w:r>
        <w:rPr>
          <w:rFonts w:ascii="Arial Unicode MS" w:eastAsia="Arial Unicode MS" w:hAnsi="Calibri" w:cs="Arial Unicode MS"/>
          <w:b/>
          <w:bCs/>
          <w:i/>
          <w:iCs/>
          <w:sz w:val="20"/>
          <w:szCs w:val="20"/>
          <w:vertAlign w:val="superscript"/>
        </w:rPr>
        <w:t>KO</w:t>
      </w:r>
      <w:r>
        <w:rPr>
          <w:rFonts w:ascii="Arial Unicode MS" w:eastAsia="Arial Unicode MS" w:hAnsi="Calibri" w:cs="Arial Unicode MS"/>
          <w:b/>
          <w:bCs/>
          <w:i/>
          <w:iCs/>
          <w:sz w:val="20"/>
          <w:szCs w:val="20"/>
        </w:rPr>
        <w:t xml:space="preserve"> and UT-24A</w:t>
      </w:r>
      <w:r>
        <w:rPr>
          <w:rFonts w:ascii="Arial Unicode MS" w:eastAsia="Arial Unicode MS" w:hAnsi="Calibri" w:cs="Arial Unicode MS"/>
          <w:b/>
          <w:bCs/>
          <w:i/>
          <w:iCs/>
          <w:sz w:val="20"/>
          <w:szCs w:val="20"/>
          <w:vertAlign w:val="superscript"/>
        </w:rPr>
        <w:t>KO</w:t>
      </w:r>
      <w:r>
        <w:rPr>
          <w:rFonts w:ascii="Arial Unicode MS" w:eastAsia="Arial Unicode MS" w:hAnsi="Calibri" w:cs="Arial Unicode MS"/>
          <w:b/>
          <w:bCs/>
          <w:i/>
          <w:iCs/>
          <w:sz w:val="20"/>
          <w:szCs w:val="20"/>
        </w:rPr>
        <w:t>.</w:t>
      </w:r>
      <w:r>
        <w:rPr>
          <w:rFonts w:ascii="Arial Unicode MS" w:eastAsia="Arial Unicode MS" w:hAnsi="Calibri" w:cs="Arial Unicode MS"/>
          <w:i/>
          <w:iCs/>
          <w:sz w:val="20"/>
          <w:szCs w:val="20"/>
        </w:rPr>
        <w:t xml:space="preserve"> Cells were analyzed for GFP expression 5 days after transduction by flow cytometry. Only samples containing fewer than 25% GFP-positive cells were included in the flow cytometry analysis. Means</w:t>
      </w:r>
      <w:r>
        <w:rPr>
          <w:rFonts w:ascii="Arial Unicode MS" w:eastAsia="Arial Unicode MS" w:hAnsi="Calibri" w:cs="Arial Unicode MS"/>
          <w:i/>
          <w:iCs/>
          <w:sz w:val="20"/>
          <w:szCs w:val="20"/>
        </w:rPr>
        <w:t> ± </w:t>
      </w:r>
      <w:r>
        <w:rPr>
          <w:rFonts w:ascii="Arial Unicode MS" w:eastAsia="Arial Unicode MS" w:hAnsi="Calibri" w:cs="Arial Unicode MS"/>
          <w:i/>
          <w:iCs/>
          <w:sz w:val="20"/>
          <w:szCs w:val="20"/>
        </w:rPr>
        <w:t>SEM from three independent experiments are shown.</w:t>
      </w:r>
    </w:p>
    <w:p w:rsidR="00FC1C40" w:rsidRDefault="00FC1C40"/>
    <w:p w:rsidR="00E95958" w:rsidRDefault="00E95958" w:rsidP="00E95958">
      <w:pPr>
        <w:spacing w:line="480" w:lineRule="auto"/>
        <w:jc w:val="both"/>
        <w:rPr>
          <w:rFonts w:ascii="Arial Unicode MS" w:hAnsi="Arial Unicode MS" w:cs="Arial Unicode MS"/>
          <w:lang w:val="en-GB"/>
        </w:rPr>
      </w:pPr>
    </w:p>
    <w:p w:rsidR="00E95958" w:rsidRDefault="00E95958" w:rsidP="00E95958">
      <w:pPr>
        <w:spacing w:line="480" w:lineRule="auto"/>
        <w:jc w:val="both"/>
        <w:rPr>
          <w:rFonts w:ascii="Arial Unicode MS" w:hAnsi="Arial Unicode MS" w:cs="Arial Unicode MS"/>
          <w:lang w:val="en-GB"/>
        </w:rPr>
      </w:pPr>
      <w:bookmarkStart w:id="2" w:name="[IMAGE-Fig7_Print.png]"/>
      <w:r>
        <w:rPr>
          <w:rFonts w:ascii="Arial Unicode MS" w:hAnsi="Calibri" w:cs="Arial Unicode MS"/>
          <w:noProof/>
        </w:rPr>
        <w:lastRenderedPageBreak/>
        <w:drawing>
          <wp:inline distT="0" distB="0" distL="0" distR="0" wp14:anchorId="231875D2" wp14:editId="7C6CAD83">
            <wp:extent cx="5009803" cy="4798982"/>
            <wp:effectExtent l="0" t="0" r="0" b="1905"/>
            <wp:docPr id="161831799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317994" name="Grafik 161831799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09" r="27350" b="8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796" cy="48133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2"/>
    </w:p>
    <w:p w:rsidR="00E95958" w:rsidRPr="00E95958" w:rsidRDefault="00E95958" w:rsidP="00E95958">
      <w:pPr>
        <w:spacing w:line="480" w:lineRule="auto"/>
        <w:jc w:val="both"/>
        <w:rPr>
          <w:rFonts w:ascii="Arial Unicode MS" w:hAnsi="Arial Unicode MS" w:cs="Arial Unicode MS"/>
          <w:i/>
          <w:iCs/>
          <w:sz w:val="20"/>
          <w:szCs w:val="20"/>
        </w:rPr>
      </w:pPr>
      <w:r>
        <w:rPr>
          <w:rFonts w:ascii="Arial Unicode MS" w:eastAsia="Arial Unicode MS" w:hAnsi="Calibri" w:cs="Arial Unicode MS"/>
          <w:b/>
          <w:bCs/>
          <w:i/>
          <w:iCs/>
          <w:sz w:val="20"/>
          <w:szCs w:val="20"/>
        </w:rPr>
        <w:t xml:space="preserve">Figure S2: Co-expression of CAR and </w:t>
      </w:r>
      <w:proofErr w:type="spellStart"/>
      <w:r>
        <w:rPr>
          <w:rFonts w:ascii="Arial Unicode MS" w:eastAsia="Arial Unicode MS" w:hAnsi="Calibri" w:cs="Arial Unicode MS"/>
          <w:b/>
          <w:bCs/>
          <w:i/>
          <w:iCs/>
          <w:sz w:val="20"/>
          <w:szCs w:val="20"/>
        </w:rPr>
        <w:t>nsCAR</w:t>
      </w:r>
      <w:proofErr w:type="spellEnd"/>
      <w:r>
        <w:rPr>
          <w:rFonts w:ascii="Arial Unicode MS" w:eastAsia="Arial Unicode MS" w:hAnsi="Calibri" w:cs="Arial Unicode MS"/>
          <w:b/>
          <w:bCs/>
          <w:i/>
          <w:iCs/>
          <w:sz w:val="20"/>
          <w:szCs w:val="20"/>
        </w:rPr>
        <w:t xml:space="preserve"> constructs. (A) Enrichment of T-cells co-expressing CAR and </w:t>
      </w:r>
      <w:proofErr w:type="spellStart"/>
      <w:r>
        <w:rPr>
          <w:rFonts w:ascii="Arial Unicode MS" w:eastAsia="Arial Unicode MS" w:hAnsi="Calibri" w:cs="Arial Unicode MS"/>
          <w:b/>
          <w:bCs/>
          <w:i/>
          <w:iCs/>
          <w:sz w:val="20"/>
          <w:szCs w:val="20"/>
        </w:rPr>
        <w:t>nsCAR</w:t>
      </w:r>
      <w:proofErr w:type="spellEnd"/>
      <w:r>
        <w:rPr>
          <w:rFonts w:ascii="Arial Unicode MS" w:eastAsia="Arial Unicode MS" w:hAnsi="Calibri" w:cs="Arial Unicode MS"/>
          <w:b/>
          <w:bCs/>
          <w:i/>
          <w:iCs/>
          <w:sz w:val="20"/>
          <w:szCs w:val="20"/>
        </w:rPr>
        <w:t xml:space="preserve"> constructs.</w:t>
      </w:r>
      <w:r>
        <w:rPr>
          <w:rFonts w:ascii="Arial Unicode MS" w:eastAsia="Arial Unicode MS" w:hAnsi="Calibri" w:cs="Arial Unicode MS"/>
          <w:i/>
          <w:iCs/>
        </w:rPr>
        <w:t xml:space="preserve"> </w:t>
      </w:r>
      <w:r>
        <w:rPr>
          <w:rFonts w:ascii="Arial Unicode MS" w:eastAsia="Arial Unicode MS" w:hAnsi="Calibri" w:cs="Arial Unicode MS"/>
          <w:i/>
          <w:iCs/>
          <w:sz w:val="20"/>
          <w:szCs w:val="20"/>
        </w:rPr>
        <w:t xml:space="preserve">Dot plots show CD34 expression (x-axis) versus NGFR expression (y-axis). Primary human T-cells expressing only the EGFR </w:t>
      </w:r>
      <w:proofErr w:type="spellStart"/>
      <w:r>
        <w:rPr>
          <w:rFonts w:ascii="Arial Unicode MS" w:eastAsia="Arial Unicode MS" w:hAnsi="Calibri" w:cs="Arial Unicode MS"/>
          <w:i/>
          <w:iCs/>
          <w:sz w:val="20"/>
          <w:szCs w:val="20"/>
        </w:rPr>
        <w:t>nsCAR</w:t>
      </w:r>
      <w:proofErr w:type="spellEnd"/>
      <w:r>
        <w:rPr>
          <w:rFonts w:ascii="Arial Unicode MS" w:eastAsia="Arial Unicode MS" w:hAnsi="Calibri" w:cs="Arial Unicode MS"/>
          <w:i/>
          <w:iCs/>
          <w:sz w:val="20"/>
          <w:szCs w:val="20"/>
        </w:rPr>
        <w:t xml:space="preserve"> were enriched with NGFR microbeads, whereas cells expressing only the CD44v6 CAR or the CD44v6 CAR together with the EGFR </w:t>
      </w:r>
      <w:proofErr w:type="spellStart"/>
      <w:r>
        <w:rPr>
          <w:rFonts w:ascii="Arial Unicode MS" w:eastAsia="Arial Unicode MS" w:hAnsi="Calibri" w:cs="Arial Unicode MS"/>
          <w:i/>
          <w:iCs/>
          <w:sz w:val="20"/>
          <w:szCs w:val="20"/>
        </w:rPr>
        <w:t>nsCAR</w:t>
      </w:r>
      <w:proofErr w:type="spellEnd"/>
      <w:r>
        <w:rPr>
          <w:rFonts w:ascii="Arial Unicode MS" w:eastAsia="Arial Unicode MS" w:hAnsi="Calibri" w:cs="Arial Unicode MS"/>
          <w:i/>
          <w:iCs/>
          <w:sz w:val="20"/>
          <w:szCs w:val="20"/>
        </w:rPr>
        <w:t xml:space="preserve"> were enriched using CD34 microbeads. Before and after MACS separation, gene transfer efficiency was assessed by staining with FITC-conjugated CD34 and APC-conjugated NGFR antibodies. Representative experiments are shown. Numbers indicate the percentages of cells within each quadrant. </w:t>
      </w:r>
      <w:r>
        <w:rPr>
          <w:rFonts w:ascii="Arial Unicode MS" w:eastAsia="Arial Unicode MS" w:hAnsi="Calibri" w:cs="Arial Unicode MS"/>
          <w:b/>
          <w:bCs/>
          <w:i/>
          <w:iCs/>
          <w:sz w:val="20"/>
          <w:szCs w:val="20"/>
        </w:rPr>
        <w:t>(B) Representative flow-</w:t>
      </w:r>
      <w:proofErr w:type="spellStart"/>
      <w:r>
        <w:rPr>
          <w:rFonts w:ascii="Arial Unicode MS" w:eastAsia="Arial Unicode MS" w:hAnsi="Calibri" w:cs="Arial Unicode MS"/>
          <w:b/>
          <w:bCs/>
          <w:i/>
          <w:iCs/>
          <w:sz w:val="20"/>
          <w:szCs w:val="20"/>
        </w:rPr>
        <w:t>cytometric</w:t>
      </w:r>
      <w:proofErr w:type="spellEnd"/>
      <w:r>
        <w:rPr>
          <w:rFonts w:ascii="Arial Unicode MS" w:eastAsia="Arial Unicode MS" w:hAnsi="Calibri" w:cs="Arial Unicode MS"/>
          <w:b/>
          <w:bCs/>
          <w:i/>
          <w:iCs/>
          <w:sz w:val="20"/>
          <w:szCs w:val="20"/>
        </w:rPr>
        <w:t xml:space="preserve"> histograms showing surface expression of the signaling CAR after MACS enrichment.</w:t>
      </w:r>
      <w:r>
        <w:rPr>
          <w:rFonts w:ascii="Arial Unicode MS" w:eastAsia="Arial Unicode MS" w:hAnsi="Calibri" w:cs="Arial Unicode MS"/>
          <w:i/>
          <w:iCs/>
          <w:sz w:val="20"/>
          <w:szCs w:val="20"/>
        </w:rPr>
        <w:t xml:space="preserve"> CAR expression was assessed by CD34-FITC staining in T-cells expressing the indicated CAR alone (blue) or co-expressing the CAR with either the EGFR </w:t>
      </w:r>
      <w:proofErr w:type="spellStart"/>
      <w:r>
        <w:rPr>
          <w:rFonts w:ascii="Arial Unicode MS" w:eastAsia="Arial Unicode MS" w:hAnsi="Calibri" w:cs="Arial Unicode MS"/>
          <w:i/>
          <w:iCs/>
          <w:sz w:val="20"/>
          <w:szCs w:val="20"/>
        </w:rPr>
        <w:t>nsCAR</w:t>
      </w:r>
      <w:proofErr w:type="spellEnd"/>
      <w:r>
        <w:rPr>
          <w:rFonts w:ascii="Arial Unicode MS" w:eastAsia="Arial Unicode MS" w:hAnsi="Calibri" w:cs="Arial Unicode MS"/>
          <w:i/>
          <w:iCs/>
          <w:sz w:val="20"/>
          <w:szCs w:val="20"/>
        </w:rPr>
        <w:t xml:space="preserve"> (red) or the CD19 </w:t>
      </w:r>
      <w:proofErr w:type="spellStart"/>
      <w:r>
        <w:rPr>
          <w:rFonts w:ascii="Arial Unicode MS" w:eastAsia="Arial Unicode MS" w:hAnsi="Calibri" w:cs="Arial Unicode MS"/>
          <w:i/>
          <w:iCs/>
          <w:sz w:val="20"/>
          <w:szCs w:val="20"/>
        </w:rPr>
        <w:t>nsCAR</w:t>
      </w:r>
      <w:proofErr w:type="spellEnd"/>
      <w:r>
        <w:rPr>
          <w:rFonts w:ascii="Arial Unicode MS" w:eastAsia="Arial Unicode MS" w:hAnsi="Calibri" w:cs="Arial Unicode MS"/>
          <w:i/>
          <w:iCs/>
          <w:sz w:val="20"/>
          <w:szCs w:val="20"/>
        </w:rPr>
        <w:t xml:space="preserve"> (orange). Histograms were normalized to mode and are shown for </w:t>
      </w:r>
      <w:proofErr w:type="spellStart"/>
      <w:r>
        <w:rPr>
          <w:rFonts w:ascii="Arial Unicode MS" w:eastAsia="Arial Unicode MS" w:hAnsi="Calibri" w:cs="Arial Unicode MS"/>
          <w:i/>
          <w:iCs/>
          <w:sz w:val="20"/>
          <w:szCs w:val="20"/>
        </w:rPr>
        <w:t>EGFRvIII</w:t>
      </w:r>
      <w:r>
        <w:rPr>
          <w:rFonts w:ascii="Arial Unicode MS" w:eastAsia="Arial Unicode MS" w:hAnsi="Calibri" w:cs="Arial Unicode MS"/>
          <w:i/>
          <w:iCs/>
          <w:sz w:val="20"/>
          <w:szCs w:val="20"/>
          <w:vertAlign w:val="superscript"/>
        </w:rPr>
        <w:t>D</w:t>
      </w:r>
      <w:proofErr w:type="spellEnd"/>
      <w:r>
        <w:rPr>
          <w:rFonts w:ascii="Arial Unicode MS" w:eastAsia="Arial Unicode MS" w:hAnsi="Calibri" w:cs="Arial Unicode MS"/>
          <w:i/>
          <w:iCs/>
          <w:sz w:val="20"/>
          <w:szCs w:val="20"/>
        </w:rPr>
        <w:t xml:space="preserve">, </w:t>
      </w:r>
      <w:proofErr w:type="spellStart"/>
      <w:r>
        <w:rPr>
          <w:rFonts w:ascii="Arial Unicode MS" w:eastAsia="Arial Unicode MS" w:hAnsi="Calibri" w:cs="Arial Unicode MS"/>
          <w:i/>
          <w:iCs/>
          <w:sz w:val="20"/>
          <w:szCs w:val="20"/>
        </w:rPr>
        <w:t>EGFRvIII</w:t>
      </w:r>
      <w:r>
        <w:rPr>
          <w:rFonts w:ascii="Arial Unicode MS" w:eastAsia="Arial Unicode MS" w:hAnsi="Calibri" w:cs="Arial Unicode MS"/>
          <w:i/>
          <w:iCs/>
          <w:sz w:val="20"/>
          <w:szCs w:val="20"/>
          <w:vertAlign w:val="superscript"/>
        </w:rPr>
        <w:t>E</w:t>
      </w:r>
      <w:proofErr w:type="spellEnd"/>
      <w:r>
        <w:rPr>
          <w:rFonts w:ascii="Arial Unicode MS" w:eastAsia="Arial Unicode MS" w:hAnsi="Calibri" w:cs="Arial Unicode MS"/>
          <w:i/>
          <w:iCs/>
          <w:sz w:val="20"/>
          <w:szCs w:val="20"/>
        </w:rPr>
        <w:t>, CD33, and CD44v6 CAR T-cells.</w:t>
      </w:r>
    </w:p>
    <w:sectPr w:rsidR="00E95958" w:rsidRPr="00E959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958"/>
    <w:rsid w:val="00014A70"/>
    <w:rsid w:val="00043B0A"/>
    <w:rsid w:val="00070579"/>
    <w:rsid w:val="00090FA9"/>
    <w:rsid w:val="000E040D"/>
    <w:rsid w:val="00110CBF"/>
    <w:rsid w:val="001120E9"/>
    <w:rsid w:val="001232B0"/>
    <w:rsid w:val="00191C81"/>
    <w:rsid w:val="001E3982"/>
    <w:rsid w:val="0020499F"/>
    <w:rsid w:val="00226AC4"/>
    <w:rsid w:val="002575E4"/>
    <w:rsid w:val="00290815"/>
    <w:rsid w:val="002B2077"/>
    <w:rsid w:val="002F1C5A"/>
    <w:rsid w:val="002F29C6"/>
    <w:rsid w:val="00326B15"/>
    <w:rsid w:val="00354E20"/>
    <w:rsid w:val="003A5F2B"/>
    <w:rsid w:val="003B433D"/>
    <w:rsid w:val="0043537C"/>
    <w:rsid w:val="00445443"/>
    <w:rsid w:val="00490404"/>
    <w:rsid w:val="00542169"/>
    <w:rsid w:val="005D6431"/>
    <w:rsid w:val="005E5818"/>
    <w:rsid w:val="005F69E0"/>
    <w:rsid w:val="00605A46"/>
    <w:rsid w:val="00610A9F"/>
    <w:rsid w:val="00622981"/>
    <w:rsid w:val="00623D7C"/>
    <w:rsid w:val="00673CB7"/>
    <w:rsid w:val="006757AA"/>
    <w:rsid w:val="006763CC"/>
    <w:rsid w:val="006B28E7"/>
    <w:rsid w:val="006D6921"/>
    <w:rsid w:val="007242F8"/>
    <w:rsid w:val="00746405"/>
    <w:rsid w:val="00793797"/>
    <w:rsid w:val="007C63B4"/>
    <w:rsid w:val="007E7F7C"/>
    <w:rsid w:val="007F4BD4"/>
    <w:rsid w:val="008F2170"/>
    <w:rsid w:val="009100FF"/>
    <w:rsid w:val="00921079"/>
    <w:rsid w:val="009532D2"/>
    <w:rsid w:val="00967A94"/>
    <w:rsid w:val="009832BA"/>
    <w:rsid w:val="009850CB"/>
    <w:rsid w:val="009855CB"/>
    <w:rsid w:val="0099160B"/>
    <w:rsid w:val="009C0D14"/>
    <w:rsid w:val="00A164D1"/>
    <w:rsid w:val="00A50300"/>
    <w:rsid w:val="00A65CE6"/>
    <w:rsid w:val="00A940FB"/>
    <w:rsid w:val="00AA1363"/>
    <w:rsid w:val="00AB3178"/>
    <w:rsid w:val="00AF625F"/>
    <w:rsid w:val="00B04AB5"/>
    <w:rsid w:val="00B53338"/>
    <w:rsid w:val="00B91414"/>
    <w:rsid w:val="00BD6773"/>
    <w:rsid w:val="00BE0E74"/>
    <w:rsid w:val="00CB6CE7"/>
    <w:rsid w:val="00CC3766"/>
    <w:rsid w:val="00D414BC"/>
    <w:rsid w:val="00D45314"/>
    <w:rsid w:val="00D46ADA"/>
    <w:rsid w:val="00D65787"/>
    <w:rsid w:val="00D94083"/>
    <w:rsid w:val="00DA6547"/>
    <w:rsid w:val="00DF7088"/>
    <w:rsid w:val="00E26587"/>
    <w:rsid w:val="00E447B9"/>
    <w:rsid w:val="00E7698A"/>
    <w:rsid w:val="00E95958"/>
    <w:rsid w:val="00EA052A"/>
    <w:rsid w:val="00ED3717"/>
    <w:rsid w:val="00F0481D"/>
    <w:rsid w:val="00FC1C40"/>
    <w:rsid w:val="00FD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8BE2A"/>
  <w15:chartTrackingRefBased/>
  <w15:docId w15:val="{D6CC65F4-1695-4203-A62B-8800C393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Padayhag</dc:creator>
  <cp:keywords/>
  <dc:description/>
  <cp:lastModifiedBy>Abigail Padayhag</cp:lastModifiedBy>
  <cp:revision>1</cp:revision>
  <dcterms:created xsi:type="dcterms:W3CDTF">2026-09-23T07:06:00Z</dcterms:created>
  <dcterms:modified xsi:type="dcterms:W3CDTF">2026-09-23T07:14:00Z</dcterms:modified>
</cp:coreProperties>
</file>