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9D3AD">
      <w:pPr>
        <w:keepNext w:val="0"/>
        <w:keepLines w:val="0"/>
        <w:widowControl/>
        <w:suppressLineNumbers w:val="0"/>
        <w:jc w:val="center"/>
        <w:rPr>
          <w:rFonts w:hint="default" w:ascii="Times New Roman Bold" w:hAnsi="Times New Roman Bold" w:cs="Times New Roman Bold"/>
          <w:b/>
          <w:bCs/>
          <w:color w:val="auto"/>
          <w:sz w:val="28"/>
          <w:szCs w:val="28"/>
          <w:shd w:val="clear" w:color="auto" w:fill="auto"/>
        </w:rPr>
      </w:pPr>
      <w:bookmarkStart w:id="0" w:name="_GoBack"/>
      <w:r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shd w:val="clear" w:color="auto" w:fill="auto"/>
          <w:lang w:val="en-US" w:eastAsia="zh-CN" w:bidi="ar"/>
        </w:rPr>
        <w:fldChar w:fldCharType="begin"/>
      </w:r>
      <w:r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shd w:val="clear" w:color="auto" w:fill="auto"/>
          <w:lang w:val="en-US" w:eastAsia="zh-CN" w:bidi="ar"/>
        </w:rPr>
        <w:instrText xml:space="preserve"> HYPERLINK "http://www.youdao.com/w/supplementary materials/" \l "keyfrom=E2Ctranslation" </w:instrText>
      </w:r>
      <w:r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shd w:val="clear" w:color="auto" w:fill="auto"/>
          <w:lang w:val="en-US" w:eastAsia="zh-CN" w:bidi="ar"/>
        </w:rPr>
        <w:fldChar w:fldCharType="separate"/>
      </w:r>
      <w:r>
        <w:rPr>
          <w:rStyle w:val="5"/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color="auto" w:fill="auto"/>
        </w:rPr>
        <w:t>supplementary materials</w:t>
      </w:r>
      <w:r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shd w:val="clear" w:color="auto" w:fill="auto"/>
          <w:lang w:val="en-US" w:eastAsia="zh-CN" w:bidi="ar"/>
        </w:rPr>
        <w:fldChar w:fldCharType="end"/>
      </w:r>
    </w:p>
    <w:bookmarkEnd w:id="0"/>
    <w:p w14:paraId="57558492">
      <w:pPr>
        <w:keepNext w:val="0"/>
        <w:keepLines w:val="0"/>
        <w:widowControl/>
        <w:suppressLineNumbers w:val="0"/>
        <w:jc w:val="center"/>
        <w:rPr>
          <w:rFonts w:hint="default" w:ascii="Times New Roman Bold" w:hAnsi="Times New Roman Bold" w:cs="Times New Roman Bold"/>
          <w:b/>
          <w:bCs/>
          <w:sz w:val="20"/>
          <w:szCs w:val="20"/>
          <w:lang w:val="en-US" w:eastAsia="zh-CN"/>
        </w:rPr>
      </w:pPr>
      <w:r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24292F"/>
          <w:spacing w:val="0"/>
          <w:kern w:val="0"/>
          <w:sz w:val="20"/>
          <w:szCs w:val="20"/>
          <w:shd w:val="clear" w:fill="FFFFFF"/>
          <w:lang w:val="en-US" w:eastAsia="zh-CN" w:bidi="ar"/>
        </w:rPr>
        <w:t>Table S1: Baseline Feature Comparability of Training Set and Validation Set</w:t>
      </w:r>
    </w:p>
    <w:tbl>
      <w:tblPr>
        <w:tblStyle w:val="3"/>
        <w:tblpPr w:leftFromText="180" w:rightFromText="180" w:vertAnchor="text" w:horzAnchor="page" w:tblpX="1439" w:tblpY="500"/>
        <w:tblOverlap w:val="never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10"/>
        <w:gridCol w:w="1476"/>
        <w:gridCol w:w="2027"/>
        <w:gridCol w:w="1281"/>
        <w:gridCol w:w="1281"/>
        <w:gridCol w:w="476"/>
        <w:gridCol w:w="470"/>
      </w:tblGrid>
      <w:tr w14:paraId="063076BC">
        <w:trPr>
          <w:tblHeader/>
        </w:trPr>
        <w:tc>
          <w:tcPr>
            <w:tcW w:w="846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41A101B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677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19C2BD22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0"/>
                <w:szCs w:val="20"/>
              </w:rPr>
              <w:t>Level</w:t>
            </w:r>
          </w:p>
        </w:tc>
        <w:tc>
          <w:tcPr>
            <w:tcW w:w="1276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5735105F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0"/>
                <w:szCs w:val="20"/>
              </w:rPr>
              <w:t>Overall</w:t>
            </w:r>
          </w:p>
        </w:tc>
        <w:tc>
          <w:tcPr>
            <w:tcW w:w="828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06C20EB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0"/>
                <w:szCs w:val="20"/>
              </w:rPr>
              <w:t>Training</w:t>
            </w:r>
          </w:p>
        </w:tc>
        <w:tc>
          <w:tcPr>
            <w:tcW w:w="828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1643B763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0"/>
                <w:szCs w:val="20"/>
              </w:rPr>
              <w:t>Validation</w:t>
            </w:r>
          </w:p>
        </w:tc>
        <w:tc>
          <w:tcPr>
            <w:tcW w:w="288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54BC51D5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254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26133308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0"/>
                <w:szCs w:val="20"/>
              </w:rPr>
              <w:t>SMD</w:t>
            </w:r>
          </w:p>
        </w:tc>
      </w:tr>
      <w:tr w14:paraId="56783B84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2E3C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Age, years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4A56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06903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51.10 (44.30–57.80)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FDF9B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50.50 (43.40–57.40)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67DA5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52.60 (45.60–58.80)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4323D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0.042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9D315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0.150</w:t>
            </w:r>
          </w:p>
        </w:tc>
      </w:tr>
      <w:tr w14:paraId="17B8161F">
        <w:trPr>
          <w:trHeight w:val="619" w:hRule="atLeast"/>
        </w:trPr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2B6B5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BMI, kg/m²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C2234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79923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24.60 (22.50–26.60)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990CB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24.50 (22.40–26.80)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23042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24.80 (22.50–26.50)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31A6B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0.850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A2AC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0.013</w:t>
            </w:r>
          </w:p>
        </w:tc>
      </w:tr>
      <w:tr w14:paraId="603ABFAB">
        <w:trPr>
          <w:trHeight w:val="311" w:hRule="atLeast"/>
        </w:trPr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5ABA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Drainage duration, days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C78B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8289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15.00 (13.00–17.00)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343E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15.00 (13.00–17.00)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E8A5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15.00 (13.00–17.00)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0EB0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0.749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5D7E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0.024</w:t>
            </w:r>
          </w:p>
        </w:tc>
      </w:tr>
      <w:tr w14:paraId="05A7DC7B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5392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Weekly exercise, min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04365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B6AAF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146.00 (73.00–239.00)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DCA05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152.00 (74.00–239.00)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F1AC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141.50 (72.00–244.00)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71903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0.294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14E4F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0.062</w:t>
            </w:r>
          </w:p>
        </w:tc>
      </w:tr>
      <w:tr w14:paraId="31CC5C8C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19054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Hypertension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75514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No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70983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664 (88.4%)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2E7C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463 (88.2%)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3E224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201 (88.9%)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47FE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0.769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DF961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0.023</w:t>
            </w:r>
          </w:p>
        </w:tc>
      </w:tr>
      <w:tr w14:paraId="5D5B299F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C51C3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63D2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Yes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62AA3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87 (11.6%)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C5085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62 (11.8%)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CE33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25 (11.1%)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BF8F3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A628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</w:tr>
      <w:tr w14:paraId="2313759C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0F94B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Clinical stage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5AE1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0-II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EF640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575 (76.6%)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647C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411 (78.3%)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8A99F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164 (72.6%)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2B91D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0.090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D4D75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0.133</w:t>
            </w:r>
          </w:p>
        </w:tc>
      </w:tr>
      <w:tr w14:paraId="30DC3416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A2A05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EB301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III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8D45F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176 (23.4%)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58104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114 (21.7%)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8569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62 (27.4%)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4B478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C4F60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</w:tr>
      <w:tr w14:paraId="1B67FA33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6A825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Pathological type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B0038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Non-invasive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24942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36 (4.8%)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A1EC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27 (5.1%)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DC00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9 (4.0%)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21FF1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0.495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643D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0.056</w:t>
            </w:r>
          </w:p>
        </w:tc>
      </w:tr>
      <w:tr w14:paraId="1F885F0E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40198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C696F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Invasive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FC0EB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715 (95.2%)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39AF3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498 (94.9%)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BD0B5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217 (96.0%)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AA17D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C1138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</w:tr>
      <w:tr w14:paraId="7E646A99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54EF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Surgical side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A884F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Non-dominant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240B3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379 (50.5%)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7E231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263 (50.1%)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68F60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116 (51.3%)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6F033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0.757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F50A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0.025</w:t>
            </w:r>
          </w:p>
        </w:tc>
      </w:tr>
      <w:tr w14:paraId="1C6174E7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317C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4D4E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Dominant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F0A22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372 (49.5%)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775ED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262 (49.9%)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83C3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110 (48.7%)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F7BF8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F21F8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</w:tr>
      <w:tr w14:paraId="0DF5E418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5699D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Breast surgery type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DB965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Mastectomy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7C640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574 (76.4%)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B6B8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397 (75.6%)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CE9A3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177 (78.3%)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0D6A1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0.068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DE680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0.137</w:t>
            </w:r>
          </w:p>
        </w:tc>
      </w:tr>
      <w:tr w14:paraId="0A3B9A98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8B0CF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397AB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Breast-conserving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BD4A1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159 (21.2%)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E11A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119 (22.7%)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ED951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40 (17.7%)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34568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C495E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</w:tr>
      <w:tr w14:paraId="4D87EB7B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41DC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228A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Reconstruction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950E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18 (2.4%)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E6394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9 (1.7%)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4CBAD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9 (4.0%)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C4CF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DA37F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</w:tr>
      <w:tr w14:paraId="244A8590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32984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Axillary procedure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042A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SLNB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31B9B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260 (34.6%)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D314E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184 (35.0%)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51E4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76 (33.6%)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BCF3F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0.708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B8F1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0.030</w:t>
            </w:r>
          </w:p>
        </w:tc>
      </w:tr>
      <w:tr w14:paraId="26682425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9C18D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9C69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ALND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3333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491 (65.4%)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7D88F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341 (65.0%)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81C7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150 (66.4%)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05DC3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3875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</w:tr>
      <w:tr w14:paraId="2001FB68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863C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Adjuvant chemotherapy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F793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No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B800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222 (29.6%)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98C4E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160 (30.5%)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4B09E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62 (27.4%)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10C1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0.063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04005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0.168</w:t>
            </w:r>
          </w:p>
        </w:tc>
      </w:tr>
      <w:tr w14:paraId="5CA70519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B045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6720F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Yes (with paclitaxel)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C821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470 (62.6%)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1F80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317 (60.4%)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4812B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153 (67.7%)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613BB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712F5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</w:tr>
      <w:tr w14:paraId="6B83D6D0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453D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99C8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Yes (without paclitaxel)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BA05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59 (7.9%)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C28FF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48 (9.1%)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54BD4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11 (4.9%)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F30EB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147D0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</w:tr>
      <w:tr w14:paraId="30C670C7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23D48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Postoperative radiotherapy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002E8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No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A1E5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447 (59.5%)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84E28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312 (59.4%)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19A62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135 (59.7%)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D75DD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0.938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6E63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0.006</w:t>
            </w:r>
          </w:p>
        </w:tc>
      </w:tr>
      <w:tr w14:paraId="3FBE26AF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E235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B423F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Yes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66E1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304 (40.5%)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04CF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213 (40.6%)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FDB50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91 (40.3%)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EA814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9AD11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</w:tr>
      <w:tr w14:paraId="13486BC7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398A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Endocrine therapy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6F3E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No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853F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260 (34.6%)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4306D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190 (36.2%)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4F00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70 (31.0%)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A3170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0.168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E3D5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0.111</w:t>
            </w:r>
          </w:p>
        </w:tc>
      </w:tr>
      <w:tr w14:paraId="4AF61890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64F2B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840F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Yes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C3531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491 (65.4%)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0CBFD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335 (63.8%)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E3C04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156 (69.0%)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05748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0F5D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</w:tr>
      <w:tr w14:paraId="496DDE2F"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CC4B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Wound complications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011E2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No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03BB2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610 (81.2%)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05FF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422 (80.4%)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E771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188 (83.2%)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64FF2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0.367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5BBF8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0.073</w:t>
            </w:r>
          </w:p>
        </w:tc>
      </w:tr>
      <w:tr w14:paraId="0D2DE087">
        <w:tc>
          <w:tcPr>
            <w:tcW w:w="846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E60BA5D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EC965BB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Yes</w:t>
            </w:r>
          </w:p>
        </w:tc>
        <w:tc>
          <w:tcPr>
            <w:tcW w:w="1276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38856A2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141 (18.8%)</w:t>
            </w:r>
          </w:p>
        </w:tc>
        <w:tc>
          <w:tcPr>
            <w:tcW w:w="828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D48B04D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103 (19.6%)</w:t>
            </w:r>
          </w:p>
        </w:tc>
        <w:tc>
          <w:tcPr>
            <w:tcW w:w="828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198951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38 (16.8%)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1038E5B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CED8440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</w:p>
        </w:tc>
      </w:tr>
    </w:tbl>
    <w:p w14:paraId="2EF3C51F">
      <w:pPr>
        <w:pStyle w:val="2"/>
        <w:spacing w:before="280" w:after="40"/>
        <w:jc w:val="center"/>
        <w:rPr>
          <w:rFonts w:hint="default" w:ascii="Times New Roman Regular" w:hAnsi="Times New Roman Regular" w:cs="Times New Roman Regular"/>
          <w:color w:val="auto"/>
          <w:sz w:val="20"/>
          <w:szCs w:val="20"/>
        </w:rPr>
      </w:pPr>
      <w:r>
        <w:rPr>
          <w:rFonts w:hint="default" w:ascii="Times New Roman Regular" w:hAnsi="Times New Roman Regular" w:eastAsia="黑体" w:cs="Times New Roman Regular"/>
          <w:b/>
          <w:bCs/>
          <w:color w:val="auto"/>
          <w:sz w:val="20"/>
          <w:szCs w:val="20"/>
          <w:lang w:val="en-US"/>
        </w:rPr>
        <w:t>T</w:t>
      </w:r>
      <w:r>
        <w:rPr>
          <w:rFonts w:hint="default" w:ascii="Times New Roman Regular" w:hAnsi="Times New Roman Regular" w:eastAsia="黑体" w:cs="Times New Roman Regular"/>
          <w:b/>
          <w:bCs/>
          <w:color w:val="auto"/>
          <w:sz w:val="20"/>
          <w:szCs w:val="20"/>
        </w:rPr>
        <w:t>able S2: diagnosis of multicollinearity and separation</w:t>
      </w:r>
    </w:p>
    <w:tbl>
      <w:tblPr>
        <w:tblStyle w:val="3"/>
        <w:tblW w:w="9400" w:type="dxa"/>
        <w:tblInd w:w="-3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92"/>
        <w:gridCol w:w="3272"/>
        <w:gridCol w:w="3836"/>
      </w:tblGrid>
      <w:tr w14:paraId="1F14FDCA">
        <w:trPr>
          <w:tblHeader/>
        </w:trPr>
        <w:tc>
          <w:tcPr>
            <w:tcW w:w="2292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4F99A632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0"/>
                <w:szCs w:val="20"/>
              </w:rPr>
              <w:t>Diagnostic</w:t>
            </w:r>
          </w:p>
        </w:tc>
        <w:tc>
          <w:tcPr>
            <w:tcW w:w="3272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63EE622D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0"/>
                <w:szCs w:val="20"/>
              </w:rPr>
              <w:t>Term</w:t>
            </w:r>
          </w:p>
        </w:tc>
        <w:tc>
          <w:tcPr>
            <w:tcW w:w="3836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73D7005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0"/>
                <w:szCs w:val="20"/>
              </w:rPr>
              <w:t>Result</w:t>
            </w:r>
          </w:p>
        </w:tc>
      </w:tr>
      <w:tr w14:paraId="2984D88F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53DD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Multicollinearity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7FF2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BMI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81291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GVIF = 1.162; df = 1; adjusted GVIF = 1.078</w:t>
            </w:r>
          </w:p>
        </w:tc>
      </w:tr>
      <w:tr w14:paraId="3450CCDC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BA68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Multicollinearity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D8B65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age_years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00FC3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GVIF = 1.088; df = 1; adjusted GVIF = 1.043</w:t>
            </w:r>
          </w:p>
        </w:tc>
      </w:tr>
      <w:tr w14:paraId="1C6AD570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7A162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Multicollinearity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2BB05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clinical_stage_group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55C90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GVIF = 1.580; df = 1; adjusted GVIF = 1.257</w:t>
            </w:r>
          </w:p>
        </w:tc>
      </w:tr>
      <w:tr w14:paraId="73DD6F7F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AA0F1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Multicollinearity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AF36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drain_removal_days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EBB4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GVIF = 1.249; df = 1; adjusted GVIF = 1.117</w:t>
            </w:r>
          </w:p>
        </w:tc>
      </w:tr>
      <w:tr w14:paraId="5D920331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BB57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Multicollinearity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8F3C0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hypertension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AB3A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GVIF = 1.079; df = 1; adjusted GVIF = 1.039</w:t>
            </w:r>
          </w:p>
        </w:tc>
      </w:tr>
      <w:tr w14:paraId="74AD6549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85442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Multicollinearity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89D5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lymph_node_surgery_type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F0D2B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GVIF = 1.162; df = 1; adjusted GVIF = 1.078</w:t>
            </w:r>
          </w:p>
        </w:tc>
      </w:tr>
      <w:tr w14:paraId="67D6D5CE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EA7E1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Multicollinearity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BD568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postoperative_radiotherapy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174B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GVIF = 1.171; df = 1; adjusted GVIF = 1.082</w:t>
            </w:r>
          </w:p>
        </w:tc>
      </w:tr>
      <w:tr w14:paraId="69139315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5CB30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Multicollinearity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1F571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surgery_type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4709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GVIF = 1.177; df = 2; adjusted GVIF = 1.042</w:t>
            </w:r>
          </w:p>
        </w:tc>
      </w:tr>
      <w:tr w14:paraId="36B943AD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88A25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Multicollinearity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46DB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weekly_exercise_minutes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4B4D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GVIF = 1.133; df = 1; adjusted GVIF = 1.064</w:t>
            </w:r>
          </w:p>
        </w:tc>
      </w:tr>
      <w:tr w14:paraId="384871A4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2941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Multicollinearity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B93EE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wound_complications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B6534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GVIF = 1.288; df = 1; adjusted GVIF = 1.135</w:t>
            </w:r>
          </w:p>
        </w:tc>
      </w:tr>
      <w:tr w14:paraId="3DD832A0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A3F0E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Separation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74E8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(Intercept)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18BF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No infinite separating direction detected</w:t>
            </w:r>
          </w:p>
        </w:tc>
      </w:tr>
      <w:tr w14:paraId="39ACD8BC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14FC1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Separation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C784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BMI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2C3E0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No infinite separating direction detected</w:t>
            </w:r>
          </w:p>
        </w:tc>
      </w:tr>
      <w:tr w14:paraId="58385EE3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29E24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Separation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237F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age_years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366E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No infinite separating direction detected</w:t>
            </w:r>
          </w:p>
        </w:tc>
      </w:tr>
      <w:tr w14:paraId="50874C6D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1CC94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Separation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AA0BB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clinical_stage_groupIII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1E3B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No infinite separating direction detected</w:t>
            </w:r>
          </w:p>
        </w:tc>
      </w:tr>
      <w:tr w14:paraId="60CB8ACD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EA01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Separation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AA66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drain_removal_days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37D8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No infinite separating direction detected</w:t>
            </w:r>
          </w:p>
        </w:tc>
      </w:tr>
      <w:tr w14:paraId="482816AE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0A654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Separation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77221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hypertensionYes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C55BD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No infinite separating direction detected</w:t>
            </w:r>
          </w:p>
        </w:tc>
      </w:tr>
      <w:tr w14:paraId="03D565E1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62588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Separation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4C13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lymph_node_surgery_typeALND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DAD5F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No infinite separating direction detected</w:t>
            </w:r>
          </w:p>
        </w:tc>
      </w:tr>
      <w:tr w14:paraId="2A7AAEBC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CD0A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Separation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1B3B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postoperative_radiotherapyYes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DB5E8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No infinite separating direction detected</w:t>
            </w:r>
          </w:p>
        </w:tc>
      </w:tr>
      <w:tr w14:paraId="530E7146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72804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Separation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94A7F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surgery_typeBreast-conserving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6C7B0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No infinite separating direction detected</w:t>
            </w:r>
          </w:p>
        </w:tc>
      </w:tr>
      <w:tr w14:paraId="297F6A17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9128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Separation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DA752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surgery_typeReconstruction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BFD14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No infinite separating direction detected</w:t>
            </w:r>
          </w:p>
        </w:tc>
      </w:tr>
      <w:tr w14:paraId="5D4D3593"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05FE0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Separation</w:t>
            </w: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14F6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weekly_exercise_minutes</w:t>
            </w: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A62C3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No infinite separating direction detected</w:t>
            </w:r>
          </w:p>
        </w:tc>
      </w:tr>
      <w:tr w14:paraId="7E5F8E0B">
        <w:tc>
          <w:tcPr>
            <w:tcW w:w="229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0CACCFB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Separation</w:t>
            </w:r>
          </w:p>
        </w:tc>
        <w:tc>
          <w:tcPr>
            <w:tcW w:w="327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A07ECE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wound_complicationsYes</w:t>
            </w:r>
          </w:p>
        </w:tc>
        <w:tc>
          <w:tcPr>
            <w:tcW w:w="3836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2B9C268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No infinite separating direction detected</w:t>
            </w:r>
          </w:p>
        </w:tc>
      </w:tr>
    </w:tbl>
    <w:p w14:paraId="60D9A5EE">
      <w:pPr>
        <w:jc w:val="center"/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</w:p>
    <w:p w14:paraId="7C917594">
      <w:pPr>
        <w:spacing w:after="160"/>
        <w:jc w:val="center"/>
        <w:rPr>
          <w:rFonts w:hint="default" w:ascii="Times New Roman Regular" w:hAnsi="Times New Roman Regular" w:eastAsia="黑体" w:cs="Times New Roman Regular"/>
          <w:b/>
          <w:bCs/>
          <w:sz w:val="20"/>
          <w:szCs w:val="20"/>
        </w:rPr>
      </w:pPr>
      <w:r>
        <w:rPr>
          <w:rFonts w:hint="eastAsia" w:ascii="Times New Roman Regular" w:hAnsi="Times New Roman Regular" w:eastAsia="黑体" w:cs="Times New Roman Regular"/>
          <w:b/>
          <w:bCs/>
          <w:sz w:val="20"/>
          <w:szCs w:val="20"/>
        </w:rPr>
        <w:t xml:space="preserve">Table </w:t>
      </w:r>
      <w:r>
        <w:rPr>
          <w:rFonts w:hint="default" w:ascii="Times New Roman Regular" w:hAnsi="Times New Roman Regular" w:eastAsia="黑体" w:cs="Times New Roman Regular"/>
          <w:b/>
          <w:bCs/>
          <w:sz w:val="20"/>
          <w:szCs w:val="20"/>
          <w:lang w:val="en-US" w:eastAsia="zh-CN"/>
        </w:rPr>
        <w:t>S3</w:t>
      </w:r>
      <w:r>
        <w:rPr>
          <w:rFonts w:hint="eastAsia" w:ascii="Times New Roman Regular" w:hAnsi="Times New Roman Regular" w:eastAsia="黑体" w:cs="Times New Roman Regular"/>
          <w:b/>
          <w:bCs/>
          <w:sz w:val="20"/>
          <w:szCs w:val="20"/>
        </w:rPr>
        <w:t>: Sensitivity Model for Mandatory Inclusion of Adjuvant Chemotherapy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46"/>
        <w:gridCol w:w="1767"/>
        <w:gridCol w:w="770"/>
        <w:gridCol w:w="911"/>
        <w:gridCol w:w="1442"/>
        <w:gridCol w:w="1051"/>
        <w:gridCol w:w="1136"/>
      </w:tblGrid>
      <w:tr w14:paraId="3002AF58">
        <w:trPr>
          <w:tblHeader/>
        </w:trPr>
        <w:tc>
          <w:tcPr>
            <w:tcW w:w="748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0E864BB0">
            <w:pPr>
              <w:spacing w:before="20" w:after="20"/>
              <w:jc w:val="center"/>
            </w:pPr>
            <w:r>
              <w:rPr>
                <w:rFonts w:ascii="Times New Roman" w:eastAsia="宋体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1061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394178C8">
            <w:pPr>
              <w:spacing w:before="20" w:after="20"/>
              <w:jc w:val="center"/>
            </w:pPr>
            <w:r>
              <w:rPr>
                <w:rFonts w:ascii="Times New Roman" w:eastAsia="宋体"/>
                <w:b/>
                <w:bCs/>
                <w:sz w:val="16"/>
                <w:szCs w:val="16"/>
              </w:rPr>
              <w:t>Level or comparison</w:t>
            </w:r>
          </w:p>
        </w:tc>
        <w:tc>
          <w:tcPr>
            <w:tcW w:w="462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79E5B0E7">
            <w:pPr>
              <w:spacing w:before="20" w:after="20"/>
              <w:jc w:val="center"/>
            </w:pPr>
            <w:r>
              <w:rPr>
                <w:rFonts w:ascii="Times New Roman" w:eastAsia="宋体"/>
                <w:b/>
                <w:bCs/>
                <w:sz w:val="16"/>
                <w:szCs w:val="16"/>
              </w:rPr>
              <w:t>Beta</w:t>
            </w:r>
          </w:p>
        </w:tc>
        <w:tc>
          <w:tcPr>
            <w:tcW w:w="547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44EA01EC">
            <w:pPr>
              <w:spacing w:before="20" w:after="20"/>
              <w:jc w:val="center"/>
            </w:pPr>
            <w:r>
              <w:rPr>
                <w:rFonts w:ascii="Times New Roman" w:eastAsia="宋体"/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866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7C6399CE">
            <w:pPr>
              <w:spacing w:before="20" w:after="20"/>
              <w:jc w:val="center"/>
            </w:pPr>
            <w:r>
              <w:rPr>
                <w:rFonts w:ascii="Times New Roman" w:eastAsia="宋体"/>
                <w:b/>
                <w:bCs/>
                <w:sz w:val="16"/>
                <w:szCs w:val="16"/>
              </w:rPr>
              <w:t>OR (95% CI)</w:t>
            </w:r>
          </w:p>
        </w:tc>
        <w:tc>
          <w:tcPr>
            <w:tcW w:w="631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61B696F9">
            <w:pPr>
              <w:spacing w:before="20" w:after="20"/>
              <w:jc w:val="center"/>
            </w:pPr>
            <w:r>
              <w:rPr>
                <w:rFonts w:ascii="Times New Roman" w:eastAsia="宋体"/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682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16262D7D">
            <w:pPr>
              <w:spacing w:before="20" w:after="20"/>
              <w:jc w:val="center"/>
            </w:pPr>
            <w:r>
              <w:rPr>
                <w:rFonts w:ascii="Times New Roman" w:eastAsia="宋体"/>
                <w:b/>
                <w:bCs/>
                <w:sz w:val="16"/>
                <w:szCs w:val="16"/>
              </w:rPr>
              <w:t>Global P</w:t>
            </w:r>
          </w:p>
        </w:tc>
      </w:tr>
      <w:tr w14:paraId="3275D71E"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73CCF">
            <w:pPr>
              <w:spacing w:before="20" w:after="20"/>
              <w:jc w:val="left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BMI, kg/m²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6ACAA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Per 1-unit increase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06556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0.204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C1D89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0.057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C9E58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1.226 (1.097–1.371)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43E59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&lt;0.001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1987B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&lt;0.001</w:t>
            </w:r>
          </w:p>
        </w:tc>
      </w:tr>
      <w:tr w14:paraId="17A0A01F"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4A6FD">
            <w:pPr>
              <w:spacing w:before="20" w:after="20"/>
              <w:jc w:val="left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Age, years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1993E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Per 1-unit increase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6CCB2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0.047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1CB66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0.016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F247C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1.048 (1.015–1.082)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1C881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0.004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99A2B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0.003</w:t>
            </w:r>
          </w:p>
        </w:tc>
      </w:tr>
      <w:tr w14:paraId="4EE0C7EE"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F6349">
            <w:pPr>
              <w:spacing w:before="20" w:after="20"/>
              <w:jc w:val="left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Clinical stage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A4041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0-II (Ref)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93C8D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91EF2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065D9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Ref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B924F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EB6F5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&lt;0.001</w:t>
            </w:r>
          </w:p>
        </w:tc>
      </w:tr>
      <w:tr w14:paraId="46804F2F"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29FA4">
            <w:pPr>
              <w:spacing w:before="20" w:after="20"/>
              <w:jc w:val="left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CBDA0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III vs 0-II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ADF21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3.432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D78A9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0.410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F9258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30.935 (13.845–69.119)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28E5B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&lt;0.001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24438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</w:tr>
      <w:tr w14:paraId="642C9367"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30BC5">
            <w:pPr>
              <w:spacing w:before="20" w:after="20"/>
              <w:jc w:val="left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Drainage duration, days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71CDC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Per 1-unit increase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F3FE9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0.278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AE550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0.058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5AEA3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1.321 (1.180–1.480)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E91B9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&lt;0.001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F726A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&lt;0.001</w:t>
            </w:r>
          </w:p>
        </w:tc>
      </w:tr>
      <w:tr w14:paraId="3863FA91"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FC6D3">
            <w:pPr>
              <w:spacing w:before="20" w:after="20"/>
              <w:jc w:val="left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Hypertension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7BD22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No (Ref)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4C1A9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5ECD6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51F02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Ref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436A5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0AC86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0.003</w:t>
            </w:r>
          </w:p>
        </w:tc>
      </w:tr>
      <w:tr w14:paraId="1F0DAFEF"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CC34E">
            <w:pPr>
              <w:spacing w:before="20" w:after="20"/>
              <w:jc w:val="left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35BBE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Yes vs No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AA6AD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1.256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873DA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0.421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D528B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3.512 (1.539–8.016)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0BF9A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0.003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72979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</w:tr>
      <w:tr w14:paraId="2B79EC2E"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FF510">
            <w:pPr>
              <w:spacing w:before="20" w:after="20"/>
              <w:jc w:val="left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Axillary procedure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27B6C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SLNB (Ref)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6A865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87345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50300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Ref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B46E1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5D8B5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0.022</w:t>
            </w:r>
          </w:p>
        </w:tc>
      </w:tr>
      <w:tr w14:paraId="06B5A409"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9DA21">
            <w:pPr>
              <w:spacing w:before="20" w:after="20"/>
              <w:jc w:val="left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0B716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ALND vs SLNB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C4631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0.908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1627E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0.411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1A521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2.480 (1.108–5.550)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77A1D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0.027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52843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</w:tr>
      <w:tr w14:paraId="767B7A83"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1AB62">
            <w:pPr>
              <w:spacing w:before="20" w:after="20"/>
              <w:jc w:val="left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Postoperative radiotherapy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CEBC7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No (Ref)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993FF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0C199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0D316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Ref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F9288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9D539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0.008</w:t>
            </w:r>
          </w:p>
        </w:tc>
      </w:tr>
      <w:tr w14:paraId="5B9760BF"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B68D4">
            <w:pPr>
              <w:spacing w:before="20" w:after="20"/>
              <w:jc w:val="left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61568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Yes vs No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66060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0.848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4F450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0.324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4713B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2.335 (1.237–4.409)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9A000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0.009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8CD72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</w:tr>
      <w:tr w14:paraId="43E754D1"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2D897">
            <w:pPr>
              <w:spacing w:before="20" w:after="20"/>
              <w:jc w:val="left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Breast surgery type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A2C0B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Mastectomy (Ref)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96086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F1FFB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D5005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Ref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3467D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51131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0.007</w:t>
            </w:r>
          </w:p>
        </w:tc>
      </w:tr>
      <w:tr w14:paraId="730F6ABB"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57C1F">
            <w:pPr>
              <w:spacing w:before="20" w:after="20"/>
              <w:jc w:val="left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FF684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Breast-conserving vs Mastectomy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6CFFB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-1.227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59840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0.408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9EE32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0.293 (0.132–0.652)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334CD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0.003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4CE25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</w:tr>
      <w:tr w14:paraId="030DDBC6"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5F7BA">
            <w:pPr>
              <w:spacing w:before="20" w:after="20"/>
              <w:jc w:val="left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D53EC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Reconstruction vs Mastectomy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67485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-0.603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69100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1.141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CC7C1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0.547 (0.058–5.121)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C6495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0.597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0749E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</w:tr>
      <w:tr w14:paraId="46C77619"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7ABB7">
            <w:pPr>
              <w:spacing w:before="20" w:after="20"/>
              <w:jc w:val="left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Weekly exercise, min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8DD10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Per 1-unit increase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635EF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-0.005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B5226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0.001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897A8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0.995 (0.993–0.998)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F00E2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&lt;0.001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2497B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&lt;0.001</w:t>
            </w:r>
          </w:p>
        </w:tc>
      </w:tr>
      <w:tr w14:paraId="4132F5B6"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EEA34">
            <w:pPr>
              <w:spacing w:before="20" w:after="20"/>
              <w:jc w:val="left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Wound complications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A7728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No (Ref)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5B9A3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BD034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024D1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Ref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DCF8A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06A3D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&lt;0.001</w:t>
            </w:r>
          </w:p>
        </w:tc>
      </w:tr>
      <w:tr w14:paraId="0ABFB686"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246D2">
            <w:pPr>
              <w:spacing w:before="20" w:after="20"/>
              <w:jc w:val="left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C4AF4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Yes vs No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AC539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1.940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4B7B7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0.380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84389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6.958 (3.307–14.642)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52D57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&lt;0.001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A683D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</w:tr>
      <w:tr w14:paraId="0DA20694"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CB387">
            <w:pPr>
              <w:spacing w:before="20" w:after="20"/>
              <w:jc w:val="left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Adjuvant chemotherapy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24500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No (Ref)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29ADD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4FACB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26769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Ref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5B082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9E0E1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0.259</w:t>
            </w:r>
          </w:p>
        </w:tc>
      </w:tr>
      <w:tr w14:paraId="5BE44B33"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24775">
            <w:pPr>
              <w:spacing w:before="20" w:after="20"/>
              <w:jc w:val="left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D8F1C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Yes (with paclitaxel) vs No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B060F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0.098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6F351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0.343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4D871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1.103 (0.563–2.161)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819F4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0.775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CD366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</w:tr>
      <w:tr w14:paraId="4A4340B5"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2F90EB6">
            <w:pPr>
              <w:spacing w:before="20" w:after="20"/>
              <w:jc w:val="left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1061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826D8FF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Yes (without paclitaxel) vs No</w:t>
            </w:r>
          </w:p>
        </w:tc>
        <w:tc>
          <w:tcPr>
            <w:tcW w:w="462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DE44DBE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-1.013</w:t>
            </w:r>
          </w:p>
        </w:tc>
        <w:tc>
          <w:tcPr>
            <w:tcW w:w="547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FB90196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0.750</w:t>
            </w:r>
          </w:p>
        </w:tc>
        <w:tc>
          <w:tcPr>
            <w:tcW w:w="866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EB31272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0.363 (0.083–1.581)</w:t>
            </w:r>
          </w:p>
        </w:tc>
        <w:tc>
          <w:tcPr>
            <w:tcW w:w="631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0BFECE6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>0.177</w:t>
            </w:r>
          </w:p>
        </w:tc>
        <w:tc>
          <w:tcPr>
            <w:tcW w:w="682" w:type="pct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9F99F9E">
            <w:pPr>
              <w:spacing w:before="20" w:after="20"/>
              <w:jc w:val="center"/>
            </w:pPr>
            <w:r>
              <w:rPr>
                <w:rFonts w:ascii="Times New Roman" w:eastAsia="宋体"/>
                <w:b w:val="0"/>
                <w:bCs w:val="0"/>
                <w:sz w:val="16"/>
                <w:szCs w:val="16"/>
              </w:rPr>
              <w:t xml:space="preserve"> </w:t>
            </w:r>
          </w:p>
        </w:tc>
      </w:tr>
    </w:tbl>
    <w:p w14:paraId="2CE84405">
      <w:pPr>
        <w:jc w:val="center"/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</w:p>
    <w:p w14:paraId="2C02BB1D">
      <w:pPr>
        <w:spacing w:after="160"/>
        <w:jc w:val="center"/>
        <w:rPr>
          <w:rFonts w:hint="default" w:ascii="Times New Roman Regular" w:hAnsi="Times New Roman Regular" w:eastAsia="黑体" w:cs="Times New Roman Regular"/>
          <w:b/>
          <w:bCs/>
          <w:sz w:val="20"/>
          <w:szCs w:val="20"/>
        </w:rPr>
      </w:pPr>
    </w:p>
    <w:p w14:paraId="5FCA91A1">
      <w:pPr>
        <w:spacing w:after="160"/>
        <w:jc w:val="center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eastAsia="黑体" w:cs="Times New Roman Regular"/>
          <w:b/>
          <w:bCs/>
          <w:sz w:val="20"/>
          <w:szCs w:val="20"/>
        </w:rPr>
        <w:t>Table S</w:t>
      </w:r>
      <w:r>
        <w:rPr>
          <w:rFonts w:hint="default" w:ascii="Times New Roman Regular" w:hAnsi="Times New Roman Regular" w:eastAsia="黑体" w:cs="Times New Roman Regular"/>
          <w:b/>
          <w:bCs/>
          <w:sz w:val="20"/>
          <w:szCs w:val="20"/>
          <w:lang w:val="en-US"/>
        </w:rPr>
        <w:t>4</w:t>
      </w:r>
      <w:r>
        <w:rPr>
          <w:rFonts w:hint="default" w:ascii="Times New Roman Regular" w:hAnsi="Times New Roman Regular" w:eastAsia="黑体" w:cs="Times New Roman Regular"/>
          <w:b/>
          <w:bCs/>
          <w:sz w:val="20"/>
          <w:szCs w:val="20"/>
        </w:rPr>
        <w:t>: incremental predictive value of perioperative and rehabilitation-related variables</w:t>
      </w:r>
    </w:p>
    <w:tbl>
      <w:tblPr>
        <w:tblStyle w:val="3"/>
        <w:tblW w:w="9418" w:type="dxa"/>
        <w:tblInd w:w="-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529"/>
        <w:gridCol w:w="1661"/>
        <w:gridCol w:w="1090"/>
        <w:gridCol w:w="3138"/>
      </w:tblGrid>
      <w:tr w14:paraId="21F06B81">
        <w:trPr>
          <w:tblHeader/>
        </w:trPr>
        <w:tc>
          <w:tcPr>
            <w:tcW w:w="3529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23A9F431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0"/>
                <w:szCs w:val="20"/>
              </w:rPr>
              <w:t>Metric</w:t>
            </w:r>
          </w:p>
        </w:tc>
        <w:tc>
          <w:tcPr>
            <w:tcW w:w="1661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5025CD2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0"/>
                <w:szCs w:val="20"/>
              </w:rPr>
              <w:t>Conventional model</w:t>
            </w:r>
          </w:p>
        </w:tc>
        <w:tc>
          <w:tcPr>
            <w:tcW w:w="109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6F81F1D0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0"/>
                <w:szCs w:val="20"/>
              </w:rPr>
              <w:t>Full model</w:t>
            </w:r>
          </w:p>
        </w:tc>
        <w:tc>
          <w:tcPr>
            <w:tcW w:w="3138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D9E2F3"/>
            <w:vAlign w:val="center"/>
          </w:tcPr>
          <w:p w14:paraId="28EA2723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0"/>
                <w:szCs w:val="20"/>
              </w:rPr>
              <w:t>Difference or test statistic</w:t>
            </w:r>
          </w:p>
        </w:tc>
      </w:tr>
      <w:tr w14:paraId="19448353"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CD1C8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Training AUC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0E910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0.878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E74C5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0.937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572E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-</w:t>
            </w:r>
          </w:p>
        </w:tc>
      </w:tr>
      <w:tr w14:paraId="18959D50"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0F493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Validation AUC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4471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0.828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F656D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0.941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D8C5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-</w:t>
            </w:r>
          </w:p>
        </w:tc>
      </w:tr>
      <w:tr w14:paraId="660EB4A1"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53851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Validation Brier score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954F0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0.151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B3CD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0.090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9A6E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-</w:t>
            </w:r>
          </w:p>
        </w:tc>
      </w:tr>
      <w:tr w14:paraId="5151A769"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E708F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Validation delta-AUC (95% bootstrap CI)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40BFB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21342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539C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0.113 (0.066-0.168)</w:t>
            </w:r>
          </w:p>
        </w:tc>
      </w:tr>
      <w:tr w14:paraId="35E49F8D"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AC8CB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Paired DeLong P (validation)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B6F8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B4122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99EE6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&lt;0.001</w:t>
            </w:r>
          </w:p>
        </w:tc>
      </w:tr>
      <w:tr w14:paraId="36414E52"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B34B2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Likelihood-ratio test (training)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F2EC8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FB4D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20DAB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chi-square = 96.83, df = 3, P = &lt;0.001</w:t>
            </w:r>
          </w:p>
        </w:tc>
      </w:tr>
      <w:tr w14:paraId="6888AC4A"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2B53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Continuous NRI (95% CI)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84AD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724FD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AA203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1.117 (0.867-1.355)</w:t>
            </w:r>
          </w:p>
        </w:tc>
      </w:tr>
      <w:tr w14:paraId="10C17018"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308A7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NRI component, events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D604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189C1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C98C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0.500 (0.281-0.688)</w:t>
            </w:r>
          </w:p>
        </w:tc>
      </w:tr>
      <w:tr w14:paraId="1A4FD0A8">
        <w:tc>
          <w:tcPr>
            <w:tcW w:w="3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78FDA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NRI component, non-events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B9FBE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81D30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8A9A4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0.617 (0.494-0.741)</w:t>
            </w:r>
          </w:p>
        </w:tc>
      </w:tr>
      <w:tr w14:paraId="1396C55E">
        <w:tc>
          <w:tcPr>
            <w:tcW w:w="3529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3A1163C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IDI (95% CI)</w:t>
            </w:r>
          </w:p>
        </w:tc>
        <w:tc>
          <w:tcPr>
            <w:tcW w:w="1661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A63D3D2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2507259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313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07DDC5F">
            <w:pPr>
              <w:spacing w:before="20" w:after="20"/>
              <w:jc w:val="center"/>
              <w:rPr>
                <w:rFonts w:hint="default"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0"/>
                <w:szCs w:val="20"/>
              </w:rPr>
              <w:t>0.185 (0.126-0.243)</w:t>
            </w:r>
          </w:p>
        </w:tc>
      </w:tr>
    </w:tbl>
    <w:p w14:paraId="460F6C68">
      <w:pPr>
        <w:spacing w:after="160"/>
        <w:jc w:val="center"/>
        <w:rPr>
          <w:rFonts w:hint="default" w:ascii="Times New Roman Regular" w:hAnsi="Times New Roman Regular" w:eastAsia="黑体" w:cs="Times New Roman Regular"/>
          <w:b/>
          <w:bCs/>
          <w:sz w:val="20"/>
          <w:szCs w:val="20"/>
        </w:rPr>
      </w:pPr>
    </w:p>
    <w:p w14:paraId="250ED8A4">
      <w:pPr>
        <w:keepNext w:val="0"/>
        <w:keepLines w:val="0"/>
        <w:widowControl/>
        <w:suppressLineNumbers w:val="0"/>
        <w:jc w:val="center"/>
        <w:rPr>
          <w:rFonts w:hint="default" w:ascii="Times New Roman Bold" w:hAnsi="Times New Roman Bold" w:cs="Times New Roman Bold"/>
          <w:b/>
          <w:bCs/>
          <w:sz w:val="20"/>
          <w:szCs w:val="20"/>
        </w:rPr>
      </w:pPr>
      <w:r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24292F"/>
          <w:spacing w:val="0"/>
          <w:kern w:val="0"/>
          <w:sz w:val="20"/>
          <w:szCs w:val="20"/>
          <w:shd w:val="clear" w:fill="FFFFFF"/>
          <w:lang w:val="en-US" w:eastAsia="zh-CN" w:bidi="ar"/>
        </w:rPr>
        <w:t>Figure S1: STROBE-style flowchart of the research cohort</w:t>
      </w:r>
    </w:p>
    <w:p w14:paraId="17E42EB8">
      <w:pPr>
        <w:spacing w:after="160"/>
        <w:jc w:val="center"/>
        <w:rPr>
          <w:rFonts w:hint="default" w:ascii="Times New Roman Regular" w:hAnsi="Times New Roman Regular" w:eastAsia="黑体" w:cs="Times New Roman Regular"/>
          <w:b/>
          <w:bCs/>
          <w:sz w:val="20"/>
          <w:szCs w:val="20"/>
        </w:rPr>
      </w:pPr>
    </w:p>
    <w:p w14:paraId="29CE0F8C">
      <w:pPr>
        <w:spacing w:after="160"/>
        <w:jc w:val="center"/>
        <w:rPr>
          <w:rFonts w:hint="default" w:ascii="Times New Roman Regular" w:hAnsi="Times New Roman Regular" w:eastAsia="黑体" w:cs="Times New Roman Regular"/>
          <w:b/>
          <w:bCs/>
          <w:sz w:val="20"/>
          <w:szCs w:val="20"/>
        </w:rPr>
      </w:pPr>
      <w:r>
        <w:drawing>
          <wp:inline distT="0" distB="0" distL="0" distR="0">
            <wp:extent cx="5400675" cy="4676775"/>
            <wp:effectExtent l="0" t="0" r="9525" b="222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4B0C7">
      <w:pPr>
        <w:spacing w:after="160"/>
        <w:jc w:val="center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eastAsia="黑体" w:cs="Times New Roman Regular"/>
          <w:b/>
          <w:bCs/>
          <w:sz w:val="20"/>
          <w:szCs w:val="20"/>
        </w:rPr>
        <w:t>Figure S1: ROC curve and decision curve analysis of incremental value of perioperative/rehabilitation variables</w:t>
      </w:r>
    </w:p>
    <w:p w14:paraId="06959636">
      <w:pPr>
        <w:jc w:val="center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drawing>
          <wp:inline distT="0" distB="0" distL="0" distR="0">
            <wp:extent cx="6142355" cy="3242945"/>
            <wp:effectExtent l="0" t="0" r="444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2355" cy="324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0E602">
      <w:pPr>
        <w:jc w:val="center"/>
        <w:rPr>
          <w:rFonts w:hint="default" w:ascii="Times New Roman Regular" w:hAnsi="Times New Roman Regular" w:cs="Times New Roman Regular"/>
          <w:sz w:val="20"/>
          <w:szCs w:val="2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onsola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Fahkwang Regular">
    <w:panose1 w:val="00000500000000000000"/>
    <w:charset w:val="00"/>
    <w:family w:val="auto"/>
    <w:pitch w:val="default"/>
    <w:sig w:usb0="21000007" w:usb1="00000001" w:usb2="00000000" w:usb3="00000000" w:csb0="20010193" w:csb1="00000000"/>
  </w:font>
  <w:font w:name="Chakra Petch Regular">
    <w:panose1 w:val="00000500000000000000"/>
    <w:charset w:val="00"/>
    <w:family w:val="auto"/>
    <w:pitch w:val="default"/>
    <w:sig w:usb0="21000007" w:usb1="00000001" w:usb2="00000000" w:usb3="00000000" w:csb0="20010193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Devanagari Sangam MN Regular">
    <w:panose1 w:val="02000000000000000000"/>
    <w:charset w:val="00"/>
    <w:family w:val="auto"/>
    <w:pitch w:val="default"/>
    <w:sig w:usb0="80008003" w:usb1="00002040" w:usb2="00000000" w:usb3="00000000" w:csb0="00000001" w:csb1="00000000"/>
  </w:font>
  <w:font w:name="Cambay Devanagari Regular">
    <w:panose1 w:val="00000500000000000000"/>
    <w:charset w:val="00"/>
    <w:family w:val="auto"/>
    <w:pitch w:val="default"/>
    <w:sig w:usb0="00008007" w:usb1="00000000" w:usb2="00000000" w:usb3="00000000" w:csb0="20000093" w:csb1="00000000"/>
  </w:font>
  <w:font w:name="Baghdad">
    <w:panose1 w:val="01000500000000020004"/>
    <w:charset w:val="00"/>
    <w:family w:val="auto"/>
    <w:pitch w:val="default"/>
    <w:sig w:usb0="80002003" w:usb1="80000000" w:usb2="00000008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l Nile Regular">
    <w:panose1 w:val="00000400000000000000"/>
    <w:charset w:val="00"/>
    <w:family w:val="auto"/>
    <w:pitch w:val="default"/>
    <w:sig w:usb0="00000003" w:usb1="00000000" w:usb2="00000000" w:usb3="00000000" w:csb0="00000001" w:csb1="00000000"/>
  </w:font>
  <w:font w:name="STHeiti Light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Futura Medium">
    <w:panose1 w:val="020B0602020204020303"/>
    <w:charset w:val="00"/>
    <w:family w:val="auto"/>
    <w:pitch w:val="default"/>
    <w:sig w:usb0="80000067" w:usb1="00000000" w:usb2="00000000" w:usb3="00000000" w:csb0="200001FB" w:csb1="CDFD0000"/>
  </w:font>
  <w:font w:name="DecoType Naskh">
    <w:panose1 w:val="00000400000000000000"/>
    <w:charset w:val="00"/>
    <w:family w:val="auto"/>
    <w:pitch w:val="default"/>
    <w:sig w:usb0="80002000" w:usb1="80000000" w:usb2="00000008" w:usb3="00000000" w:csb0="00000040" w:csb1="00000000"/>
  </w:font>
  <w:font w:name="Bodoni Ornaments">
    <w:panose1 w:val="00000400000000000000"/>
    <w:charset w:val="00"/>
    <w:family w:val="auto"/>
    <w:pitch w:val="default"/>
    <w:sig w:usb0="80000083" w:usb1="08000048" w:usb2="14000000" w:usb3="00000000" w:csb0="00000001" w:csb1="00000000"/>
  </w:font>
  <w:font w:name="Xingkai TC Light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颜楷简">
    <w:panose1 w:val="00020600040101010101"/>
    <w:charset w:val="86"/>
    <w:family w:val="auto"/>
    <w:pitch w:val="default"/>
    <w:sig w:usb0="800000EF" w:usb1="0A417C9A" w:usb2="00000016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59B9FB"/>
    <w:rsid w:val="7759B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rPr>
      <w:rFonts w:ascii="Times New Roman" w:eastAsia="宋体" w:hAnsiTheme="minorHAnsi" w:cstheme="minorBidi"/>
      <w:color w:val="2E74B5"/>
      <w:sz w:val="26"/>
      <w:szCs w:val="26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2026-09-15T03:34:00Z</dcterms:created>
  <dc:creator>didu</dc:creator>
  <cp:lastModifiedBy>didu</cp:lastModifiedBy>
  <dcterms:modified xsi:type="dcterms:W3CDTF">2026-09-15T07:36:19Z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314DA5BD5D832FB12E4CA86A460FEC33_41</vt:lpwstr>
  </property>
</Properties>
</file>