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4EA48B">
      <w:pPr>
        <w:keepNext w:val="0"/>
        <w:keepLines w:val="0"/>
        <w:widowControl/>
        <w:suppressLineNumbers w:val="0"/>
        <w:jc w:val="center"/>
        <w:rPr>
          <w:rFonts w:hint="default" w:ascii="Times New Roman Bold" w:hAnsi="Times New Roman Bold" w:cs="Times New Roman Bold"/>
          <w:b/>
          <w:bCs/>
        </w:rPr>
      </w:pPr>
      <w:bookmarkStart w:id="0" w:name="_GoBack"/>
      <w:r>
        <w:rPr>
          <w:rFonts w:hint="default" w:ascii="Times New Roman Bold" w:hAnsi="Times New Roman Bold" w:eastAsia="宋体" w:cs="Times New Roman Bold"/>
          <w:b/>
          <w:bCs/>
          <w:kern w:val="0"/>
          <w:sz w:val="24"/>
          <w:szCs w:val="24"/>
          <w:lang w:val="en-US" w:eastAsia="zh-CN" w:bidi="ar"/>
        </w:rPr>
        <w:t>TRIPOD Statement: Checklist of items to include when reporting a multivariable prediction model</w:t>
      </w:r>
    </w:p>
    <w:bookmarkEnd w:id="0"/>
    <w:tbl>
      <w:tblPr>
        <w:tblStyle w:val="2"/>
        <w:tblW w:w="0" w:type="auto"/>
        <w:tblInd w:w="8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9"/>
        <w:gridCol w:w="607"/>
        <w:gridCol w:w="6087"/>
        <w:gridCol w:w="5633"/>
      </w:tblGrid>
      <w:tr w14:paraId="181A041B">
        <w:trPr>
          <w:trHeight w:val="680" w:hRule="atLeast"/>
        </w:trPr>
        <w:tc>
          <w:tcPr>
            <w:tcW w:w="0" w:type="auto"/>
            <w:shd w:val="clear" w:color="auto" w:fill="auto"/>
            <w:vAlign w:val="center"/>
          </w:tcPr>
          <w:p w14:paraId="25D8C1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Section/Topic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BFFF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Item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B1ECA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TRIPOD Statement Item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32BDB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Manuscript Location / Corresponding Content</w:t>
            </w:r>
          </w:p>
        </w:tc>
      </w:tr>
      <w:tr w14:paraId="1B8DBE82">
        <w:trPr>
          <w:trHeight w:val="340" w:hRule="atLeast"/>
        </w:trPr>
        <w:tc>
          <w:tcPr>
            <w:tcW w:w="0" w:type="auto"/>
            <w:shd w:val="clear" w:color="auto" w:fill="auto"/>
            <w:vAlign w:val="center"/>
          </w:tcPr>
          <w:p w14:paraId="1906CF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Title &amp; Abstract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42396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433D35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AC6570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198C5E">
        <w:trPr>
          <w:trHeight w:val="1680" w:hRule="atLeast"/>
        </w:trPr>
        <w:tc>
          <w:tcPr>
            <w:tcW w:w="0" w:type="auto"/>
            <w:shd w:val="clear" w:color="auto" w:fill="auto"/>
            <w:vAlign w:val="center"/>
          </w:tcPr>
          <w:p w14:paraId="6151AB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Title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D025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3A2C8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Identify the study as being either development and validation or validation of a multivariable prediction model, regarding the target population and outcome to be predicted.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A16C0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Title</w:t>
            </w:r>
            <w:r>
              <w:rPr>
                <w:rStyle w:val="4"/>
                <w:lang w:val="en-US" w:eastAsia="zh-CN" w:bidi="ar"/>
              </w:rPr>
              <w:t>: "Development and Validation of a Nomogram for Predicting Postoperative Lymphedema Risk in Breast Cancer Patients"</w:t>
            </w:r>
          </w:p>
        </w:tc>
      </w:tr>
      <w:tr w14:paraId="31D4F29B">
        <w:trPr>
          <w:trHeight w:val="1360" w:hRule="atLeast"/>
        </w:trPr>
        <w:tc>
          <w:tcPr>
            <w:tcW w:w="0" w:type="auto"/>
            <w:shd w:val="clear" w:color="auto" w:fill="auto"/>
            <w:vAlign w:val="center"/>
          </w:tcPr>
          <w:p w14:paraId="6081E5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Abstract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84D3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EBE18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Provide a summary of the study objectives, study design, setting, participants, sample size, predictors, outcome, statistical analysis, results, and conclusions.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77C94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Abstract</w:t>
            </w:r>
            <w:r>
              <w:rPr>
                <w:rStyle w:val="4"/>
                <w:lang w:val="en-US" w:eastAsia="zh-CN" w:bidi="ar"/>
              </w:rPr>
              <w:t>: Structured abstract (Background, Objective, Methods, Results, Conclusion)</w:t>
            </w:r>
          </w:p>
        </w:tc>
      </w:tr>
      <w:tr w14:paraId="6EBD79DE">
        <w:trPr>
          <w:trHeight w:val="340" w:hRule="atLeast"/>
        </w:trPr>
        <w:tc>
          <w:tcPr>
            <w:tcW w:w="0" w:type="auto"/>
            <w:shd w:val="clear" w:color="auto" w:fill="auto"/>
            <w:vAlign w:val="center"/>
          </w:tcPr>
          <w:p w14:paraId="61AF73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Introduction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443E0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50F4B0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F10AEA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B48CB4">
        <w:trPr>
          <w:trHeight w:val="1680" w:hRule="atLeast"/>
        </w:trPr>
        <w:tc>
          <w:tcPr>
            <w:tcW w:w="0" w:type="auto"/>
            <w:shd w:val="clear" w:color="auto" w:fill="auto"/>
            <w:vAlign w:val="center"/>
          </w:tcPr>
          <w:p w14:paraId="0A0ADB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Background &amp; objectives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126B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C4B5F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Explain the medical context (including clinical rationale and relevance) and rationale for developing or validating the multivariable prediction model, including references to existing models.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336A6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Introduction</w:t>
            </w:r>
            <w:r>
              <w:rPr>
                <w:rStyle w:val="4"/>
                <w:lang w:val="en-US" w:eastAsia="zh-CN" w:bidi="ar"/>
              </w:rPr>
              <w:t xml:space="preserve"> (Paragraphs 1–4)</w:t>
            </w:r>
          </w:p>
        </w:tc>
      </w:tr>
      <w:tr w14:paraId="44CC85EB">
        <w:trPr>
          <w:trHeight w:val="1360" w:hRule="atLeast"/>
        </w:trPr>
        <w:tc>
          <w:tcPr>
            <w:tcW w:w="0" w:type="auto"/>
            <w:shd w:val="clear" w:color="auto" w:fill="auto"/>
            <w:vAlign w:val="center"/>
          </w:tcPr>
          <w:p w14:paraId="642F4E4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2828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9E695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Specify the objectives, including whether the study describes the development or the validation of the model or both.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27ED1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Introduction</w:t>
            </w:r>
            <w:r>
              <w:rPr>
                <w:rStyle w:val="4"/>
                <w:lang w:val="en-US" w:eastAsia="zh-CN" w:bidi="ar"/>
              </w:rPr>
              <w:t xml:space="preserve"> (Last paragraph): "...aimed to develop and internally validate a clinically applicable nomogram..."</w:t>
            </w:r>
          </w:p>
        </w:tc>
      </w:tr>
      <w:tr w14:paraId="0C02798F">
        <w:trPr>
          <w:trHeight w:val="340" w:hRule="atLeast"/>
        </w:trPr>
        <w:tc>
          <w:tcPr>
            <w:tcW w:w="0" w:type="auto"/>
            <w:shd w:val="clear" w:color="auto" w:fill="auto"/>
            <w:vAlign w:val="center"/>
          </w:tcPr>
          <w:p w14:paraId="6CD32A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Methods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F2F51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EB9A83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D5B6C6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BE3ED1">
        <w:trPr>
          <w:trHeight w:val="1020" w:hRule="atLeast"/>
        </w:trPr>
        <w:tc>
          <w:tcPr>
            <w:tcW w:w="0" w:type="auto"/>
            <w:shd w:val="clear" w:color="auto" w:fill="auto"/>
            <w:vAlign w:val="center"/>
          </w:tcPr>
          <w:p w14:paraId="5C13B5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Study design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629C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D2B18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Describe the study design or source of data (e.g., randomized trial, cohort, or registry).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59222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Methods - Study Design and Participants</w:t>
            </w:r>
            <w:r>
              <w:rPr>
                <w:rStyle w:val="4"/>
                <w:lang w:val="en-US" w:eastAsia="zh-CN" w:bidi="ar"/>
              </w:rPr>
              <w:t>: Single-center retrospective cohort study.</w:t>
            </w:r>
          </w:p>
        </w:tc>
      </w:tr>
      <w:tr w14:paraId="57AE32E2">
        <w:trPr>
          <w:trHeight w:val="1020" w:hRule="atLeast"/>
        </w:trPr>
        <w:tc>
          <w:tcPr>
            <w:tcW w:w="0" w:type="auto"/>
            <w:shd w:val="clear" w:color="auto" w:fill="auto"/>
            <w:vAlign w:val="center"/>
          </w:tcPr>
          <w:p w14:paraId="41DD4BB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8A96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34C07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Specify the key study dates, including start of accrual, end of accrual, and, if applicable, end of follow-up.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CD776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Methods</w:t>
            </w:r>
            <w:r>
              <w:rPr>
                <w:rStyle w:val="4"/>
                <w:lang w:val="en-US" w:eastAsia="zh-CN" w:bidi="ar"/>
              </w:rPr>
              <w:t>: Jan 2022 to December 2023 (24-month follow-up).</w:t>
            </w:r>
          </w:p>
        </w:tc>
      </w:tr>
      <w:tr w14:paraId="6298C4EB">
        <w:trPr>
          <w:trHeight w:val="1020" w:hRule="atLeast"/>
        </w:trPr>
        <w:tc>
          <w:tcPr>
            <w:tcW w:w="0" w:type="auto"/>
            <w:shd w:val="clear" w:color="auto" w:fill="auto"/>
            <w:vAlign w:val="center"/>
          </w:tcPr>
          <w:p w14:paraId="2E4183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Participants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9395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8705B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Specify key elements of the study population (eligibility criteria, setting, source of data, and dates).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A0439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Methods - Study Design and Participants</w:t>
            </w:r>
            <w:r>
              <w:rPr>
                <w:rStyle w:val="4"/>
                <w:lang w:val="en-US" w:eastAsia="zh-CN" w:bidi="ar"/>
              </w:rPr>
              <w:t>: Inclusion and exclusion criteria defined.</w:t>
            </w:r>
          </w:p>
        </w:tc>
      </w:tr>
      <w:tr w14:paraId="3624518C">
        <w:trPr>
          <w:trHeight w:val="1680" w:hRule="atLeast"/>
        </w:trPr>
        <w:tc>
          <w:tcPr>
            <w:tcW w:w="0" w:type="auto"/>
            <w:shd w:val="clear" w:color="auto" w:fill="auto"/>
            <w:vAlign w:val="center"/>
          </w:tcPr>
          <w:p w14:paraId="4DCFCE3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30B8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40F3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Give/quantify participant flow (e.g., total eligible, loss to follow-up, analyzed).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1E04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Methods &amp; Results</w:t>
            </w:r>
            <w:r>
              <w:rPr>
                <w:rStyle w:val="4"/>
                <w:lang w:val="en-US" w:eastAsia="zh-CN" w:bidi="ar"/>
              </w:rPr>
              <w:t>: Screened 820, excluded 69 stage IV -&gt; 751 analyzed; split into training (n=525) and validation (n=226) (7:3 ratio).</w:t>
            </w:r>
          </w:p>
        </w:tc>
      </w:tr>
      <w:tr w14:paraId="39C607BC">
        <w:trPr>
          <w:trHeight w:val="1360" w:hRule="atLeast"/>
        </w:trPr>
        <w:tc>
          <w:tcPr>
            <w:tcW w:w="0" w:type="auto"/>
            <w:shd w:val="clear" w:color="auto" w:fill="auto"/>
            <w:vAlign w:val="center"/>
          </w:tcPr>
          <w:p w14:paraId="24F0B2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Outcome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16D1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4AE9E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Clearly define the outcome that is predicted by the model, including how and when assessed.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368B2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Methods - Outcome Definition</w:t>
            </w:r>
            <w:r>
              <w:rPr>
                <w:rStyle w:val="4"/>
                <w:lang w:val="en-US" w:eastAsia="zh-CN" w:bidi="ar"/>
              </w:rPr>
              <w:t>: BCRL defined by ISL consensus (≥ 2 cm difference or ≥ 10% increase).</w:t>
            </w:r>
          </w:p>
        </w:tc>
      </w:tr>
      <w:tr w14:paraId="02EE8174">
        <w:trPr>
          <w:trHeight w:val="1360" w:hRule="atLeast"/>
        </w:trPr>
        <w:tc>
          <w:tcPr>
            <w:tcW w:w="0" w:type="auto"/>
            <w:shd w:val="clear" w:color="auto" w:fill="auto"/>
            <w:vAlign w:val="center"/>
          </w:tcPr>
          <w:p w14:paraId="2DCDAEF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055B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14533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Report any blinding to the outcome assessment.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D961E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Methods - Quality Control</w:t>
            </w:r>
            <w:r>
              <w:rPr>
                <w:rStyle w:val="4"/>
                <w:lang w:val="en-US" w:eastAsia="zh-CN" w:bidi="ar"/>
              </w:rPr>
              <w:t>: Data extraction independently performed by two trained researchers.</w:t>
            </w:r>
          </w:p>
        </w:tc>
      </w:tr>
      <w:tr w14:paraId="02EC197C">
        <w:trPr>
          <w:trHeight w:val="1680" w:hRule="atLeast"/>
        </w:trPr>
        <w:tc>
          <w:tcPr>
            <w:tcW w:w="0" w:type="auto"/>
            <w:shd w:val="clear" w:color="auto" w:fill="auto"/>
            <w:vAlign w:val="center"/>
          </w:tcPr>
          <w:p w14:paraId="0A6918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Predictors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B2F6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13DAF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Clearly define all predictors used in developing or validating the multivariable prediction model.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10994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Methods - Data Collection and Variables</w:t>
            </w:r>
            <w:r>
              <w:rPr>
                <w:rStyle w:val="4"/>
                <w:lang w:val="en-US" w:eastAsia="zh-CN" w:bidi="ar"/>
              </w:rPr>
              <w:t>: Demographic, disease/treatment, and perioperative/rehabilitation factors.</w:t>
            </w:r>
          </w:p>
        </w:tc>
      </w:tr>
      <w:tr w14:paraId="58B4596A">
        <w:trPr>
          <w:trHeight w:val="1020" w:hRule="atLeast"/>
        </w:trPr>
        <w:tc>
          <w:tcPr>
            <w:tcW w:w="0" w:type="auto"/>
            <w:shd w:val="clear" w:color="auto" w:fill="auto"/>
            <w:vAlign w:val="center"/>
          </w:tcPr>
          <w:p w14:paraId="4033E17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89DF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57FDB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Report any blinding to the predictors.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0FA38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Implicit in retrospective chart review; double-entry protocol described.</w:t>
            </w:r>
          </w:p>
        </w:tc>
      </w:tr>
      <w:tr w14:paraId="018ED10C">
        <w:trPr>
          <w:trHeight w:val="1680" w:hRule="atLeast"/>
        </w:trPr>
        <w:tc>
          <w:tcPr>
            <w:tcW w:w="0" w:type="auto"/>
            <w:shd w:val="clear" w:color="auto" w:fill="auto"/>
            <w:vAlign w:val="center"/>
          </w:tcPr>
          <w:p w14:paraId="7F99EB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Sample size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836E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4BE25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Explain how the study size was arrived at.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EAD52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Methods - Study Design and Participants</w:t>
            </w:r>
            <w:r>
              <w:rPr>
                <w:rStyle w:val="4"/>
                <w:lang w:val="en-US" w:eastAsia="zh-CN" w:bidi="ar"/>
              </w:rPr>
              <w:t>: Events-per-variable (EPV) principle (14 candidate predictors, 148 events, EPV = 13.5).</w:t>
            </w:r>
          </w:p>
        </w:tc>
      </w:tr>
      <w:tr w14:paraId="68032984">
        <w:trPr>
          <w:trHeight w:val="1360" w:hRule="atLeast"/>
        </w:trPr>
        <w:tc>
          <w:tcPr>
            <w:tcW w:w="0" w:type="auto"/>
            <w:shd w:val="clear" w:color="auto" w:fill="auto"/>
            <w:vAlign w:val="center"/>
          </w:tcPr>
          <w:p w14:paraId="767DF1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Missing data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B328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A755D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Describe how missing data were handled.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D25C0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Methods - Quality Control</w:t>
            </w:r>
            <w:r>
              <w:rPr>
                <w:rStyle w:val="4"/>
                <w:lang w:val="en-US" w:eastAsia="zh-CN" w:bidi="ar"/>
              </w:rPr>
              <w:t>: Records with missing key variables or implausible values were excluded.</w:t>
            </w:r>
          </w:p>
        </w:tc>
      </w:tr>
      <w:tr w14:paraId="4B243DF8">
        <w:trPr>
          <w:trHeight w:val="1680" w:hRule="atLeast"/>
        </w:trPr>
        <w:tc>
          <w:tcPr>
            <w:tcW w:w="0" w:type="auto"/>
            <w:shd w:val="clear" w:color="auto" w:fill="auto"/>
            <w:vAlign w:val="center"/>
          </w:tcPr>
          <w:p w14:paraId="74E31F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Statistical analysis methods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735F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7986F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Describe how predictors were handled in the analyses.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5A01E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Methods - Statistical Analysis</w:t>
            </w:r>
            <w:r>
              <w:rPr>
                <w:rStyle w:val="4"/>
                <w:lang w:val="en-US" w:eastAsia="zh-CN" w:bidi="ar"/>
              </w:rPr>
              <w:t>: LASSO regression with 10-fold cross-validation (λ.1se) followed by multivariable logistic regression.</w:t>
            </w:r>
          </w:p>
        </w:tc>
      </w:tr>
      <w:tr w14:paraId="2B9C96CE">
        <w:trPr>
          <w:trHeight w:val="1360" w:hRule="atLeast"/>
        </w:trPr>
        <w:tc>
          <w:tcPr>
            <w:tcW w:w="0" w:type="auto"/>
            <w:shd w:val="clear" w:color="auto" w:fill="auto"/>
            <w:vAlign w:val="center"/>
          </w:tcPr>
          <w:p w14:paraId="079CB76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F508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8A58D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Specify type of model, all model-building procedures, and how internal validation was done.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7DC19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Methods - Statistical Analysis</w:t>
            </w:r>
            <w:r>
              <w:rPr>
                <w:rStyle w:val="4"/>
                <w:lang w:val="en-US" w:eastAsia="zh-CN" w:bidi="ar"/>
              </w:rPr>
              <w:t>: Multivariable logistic regression; internal validation via 1,000 bootstrap resamples.</w:t>
            </w:r>
          </w:p>
        </w:tc>
      </w:tr>
      <w:tr w14:paraId="027E2707">
        <w:trPr>
          <w:trHeight w:val="1680" w:hRule="atLeast"/>
        </w:trPr>
        <w:tc>
          <w:tcPr>
            <w:tcW w:w="0" w:type="auto"/>
            <w:shd w:val="clear" w:color="auto" w:fill="auto"/>
            <w:vAlign w:val="center"/>
          </w:tcPr>
          <w:p w14:paraId="6CF99F0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8C02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A2E43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State how model performance was evaluated.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BF6A0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Methods - Statistical Analysis</w:t>
            </w:r>
            <w:r>
              <w:rPr>
                <w:rStyle w:val="4"/>
                <w:lang w:val="en-US" w:eastAsia="zh-CN" w:bidi="ar"/>
              </w:rPr>
              <w:t>: AUC, calibration plots, Hosmer–Lemeshow test, decision curve analysis (DCA), Youden index threshold (0.333).</w:t>
            </w:r>
          </w:p>
        </w:tc>
      </w:tr>
      <w:tr w14:paraId="2D22B64B">
        <w:trPr>
          <w:trHeight w:val="680" w:hRule="atLeast"/>
        </w:trPr>
        <w:tc>
          <w:tcPr>
            <w:tcW w:w="0" w:type="auto"/>
            <w:shd w:val="clear" w:color="auto" w:fill="auto"/>
            <w:vAlign w:val="center"/>
          </w:tcPr>
          <w:p w14:paraId="1877E7D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5BA3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24B37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Describe any model updating.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80DCC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Not applicable (no model updating performed).</w:t>
            </w:r>
          </w:p>
        </w:tc>
      </w:tr>
      <w:tr w14:paraId="7F79E2FD">
        <w:trPr>
          <w:trHeight w:val="1360" w:hRule="atLeast"/>
        </w:trPr>
        <w:tc>
          <w:tcPr>
            <w:tcW w:w="0" w:type="auto"/>
            <w:shd w:val="clear" w:color="auto" w:fill="auto"/>
            <w:vAlign w:val="center"/>
          </w:tcPr>
          <w:p w14:paraId="7F12FD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Risk groups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AB0C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1FFAB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Provide details on how risk groups were created, if applicable.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C3126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Methods - Statistical Analysis</w:t>
            </w:r>
            <w:r>
              <w:rPr>
                <w:rStyle w:val="4"/>
                <w:lang w:val="en-US" w:eastAsia="zh-CN" w:bidi="ar"/>
              </w:rPr>
              <w:t>: Applied optimal probability cutoff (0.333) derived from Youden index.</w:t>
            </w:r>
          </w:p>
        </w:tc>
      </w:tr>
      <w:tr w14:paraId="5193728E">
        <w:trPr>
          <w:trHeight w:val="1680" w:hRule="atLeast"/>
        </w:trPr>
        <w:tc>
          <w:tcPr>
            <w:tcW w:w="0" w:type="auto"/>
            <w:shd w:val="clear" w:color="auto" w:fill="auto"/>
            <w:vAlign w:val="center"/>
          </w:tcPr>
          <w:p w14:paraId="3E5ED9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Development vs validation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6DC4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D1E71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For validation, describe how the validation set was obtained.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4A33D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Methods - Study Design and Participants</w:t>
            </w:r>
            <w:r>
              <w:rPr>
                <w:rStyle w:val="4"/>
                <w:lang w:val="en-US" w:eastAsia="zh-CN" w:bidi="ar"/>
              </w:rPr>
              <w:t>: Outcome-stratified random split into training (n=525) and validation (n=226) cohorts.</w:t>
            </w:r>
          </w:p>
        </w:tc>
      </w:tr>
      <w:tr w14:paraId="207867DD">
        <w:trPr>
          <w:trHeight w:val="340" w:hRule="atLeast"/>
        </w:trPr>
        <w:tc>
          <w:tcPr>
            <w:tcW w:w="0" w:type="auto"/>
            <w:shd w:val="clear" w:color="auto" w:fill="auto"/>
            <w:vAlign w:val="center"/>
          </w:tcPr>
          <w:p w14:paraId="315BE9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Results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EDF43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4D83A1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1B8BC7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958A67">
        <w:trPr>
          <w:trHeight w:val="1020" w:hRule="atLeast"/>
        </w:trPr>
        <w:tc>
          <w:tcPr>
            <w:tcW w:w="0" w:type="auto"/>
            <w:shd w:val="clear" w:color="auto" w:fill="auto"/>
            <w:vAlign w:val="center"/>
          </w:tcPr>
          <w:p w14:paraId="2C11B7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Participants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4583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DFF21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Describe the flow of participants through the study.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6588C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Results - Study Cohort and Baseline Characteristics</w:t>
            </w:r>
            <w:r>
              <w:rPr>
                <w:rStyle w:val="4"/>
                <w:lang w:val="en-US" w:eastAsia="zh-CN" w:bidi="ar"/>
              </w:rPr>
              <w:t xml:space="preserve"> &amp; Supplementary Figure S1.</w:t>
            </w:r>
          </w:p>
        </w:tc>
      </w:tr>
      <w:tr w14:paraId="6B23A1F1">
        <w:trPr>
          <w:trHeight w:val="1020" w:hRule="atLeast"/>
        </w:trPr>
        <w:tc>
          <w:tcPr>
            <w:tcW w:w="0" w:type="auto"/>
            <w:shd w:val="clear" w:color="auto" w:fill="auto"/>
            <w:vAlign w:val="center"/>
          </w:tcPr>
          <w:p w14:paraId="7D16D94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FF4B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C4805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Describe the baseline characteristics of the study population.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347E2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Table 1</w:t>
            </w:r>
            <w:r>
              <w:rPr>
                <w:rStyle w:val="4"/>
                <w:lang w:val="en-US" w:eastAsia="zh-CN" w:bidi="ar"/>
              </w:rPr>
              <w:t xml:space="preserve"> (Baseline characteristics of overall, non-BCRL, and BCRL groups).</w:t>
            </w:r>
          </w:p>
        </w:tc>
      </w:tr>
      <w:tr w14:paraId="788EDCD6">
        <w:trPr>
          <w:trHeight w:val="1020" w:hRule="atLeast"/>
        </w:trPr>
        <w:tc>
          <w:tcPr>
            <w:tcW w:w="0" w:type="auto"/>
            <w:shd w:val="clear" w:color="auto" w:fill="auto"/>
            <w:vAlign w:val="center"/>
          </w:tcPr>
          <w:p w14:paraId="003EFC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Model development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1BE7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BF0F4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Specify the number of participants and outcome events in each analysis.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85CD4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Results</w:t>
            </w:r>
            <w:r>
              <w:rPr>
                <w:rStyle w:val="4"/>
                <w:lang w:val="en-US" w:eastAsia="zh-CN" w:bidi="ar"/>
              </w:rPr>
              <w:t>: Training cohort n=525 (148 events); validation cohort n=226 (64 events).</w:t>
            </w:r>
          </w:p>
        </w:tc>
      </w:tr>
      <w:tr w14:paraId="2A0CF23B">
        <w:trPr>
          <w:trHeight w:val="1020" w:hRule="atLeast"/>
        </w:trPr>
        <w:tc>
          <w:tcPr>
            <w:tcW w:w="0" w:type="auto"/>
            <w:shd w:val="clear" w:color="auto" w:fill="auto"/>
            <w:vAlign w:val="center"/>
          </w:tcPr>
          <w:p w14:paraId="39E9B0A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C592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6C087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Report the unadjusted association or a selected set of multivariable associations.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E67D2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Table 2</w:t>
            </w:r>
            <w:r>
              <w:rPr>
                <w:rStyle w:val="4"/>
                <w:lang w:val="en-US" w:eastAsia="zh-CN" w:bidi="ar"/>
              </w:rPr>
              <w:t xml:space="preserve"> (Multivariable logistic regression analysis in training set).</w:t>
            </w:r>
          </w:p>
        </w:tc>
      </w:tr>
      <w:tr w14:paraId="2600A8DD">
        <w:trPr>
          <w:trHeight w:val="1020" w:hRule="atLeast"/>
        </w:trPr>
        <w:tc>
          <w:tcPr>
            <w:tcW w:w="0" w:type="auto"/>
            <w:shd w:val="clear" w:color="auto" w:fill="auto"/>
            <w:vAlign w:val="center"/>
          </w:tcPr>
          <w:p w14:paraId="2C9EBEA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E93C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E9944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Present the full prediction model to allow individual calculation.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46028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Figure 2</w:t>
            </w:r>
            <w:r>
              <w:rPr>
                <w:rStyle w:val="4"/>
                <w:lang w:val="en-US" w:eastAsia="zh-CN" w:bidi="ar"/>
              </w:rPr>
              <w:t xml:space="preserve"> (Nomogram) &amp; regression coefficients (β values in Table 2).</w:t>
            </w:r>
          </w:p>
        </w:tc>
      </w:tr>
      <w:tr w14:paraId="0918E19C">
        <w:trPr>
          <w:trHeight w:val="1360" w:hRule="atLeast"/>
        </w:trPr>
        <w:tc>
          <w:tcPr>
            <w:tcW w:w="0" w:type="auto"/>
            <w:shd w:val="clear" w:color="auto" w:fill="auto"/>
            <w:vAlign w:val="center"/>
          </w:tcPr>
          <w:p w14:paraId="4C88ED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Model performance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ABCB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73980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Report measures of model performance (discrimination, calibration).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C15D9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Table 3 &amp; Figure 3</w:t>
            </w:r>
            <w:r>
              <w:rPr>
                <w:rStyle w:val="4"/>
                <w:lang w:val="en-US" w:eastAsia="zh-CN" w:bidi="ar"/>
              </w:rPr>
              <w:t>: AUC (0.936 train, 0.939 val, 0.925 bootstrap-corrected), Brier scores, calibration slopes, and DCA.</w:t>
            </w:r>
          </w:p>
        </w:tc>
      </w:tr>
      <w:tr w14:paraId="6419C0F0">
        <w:trPr>
          <w:trHeight w:val="340" w:hRule="atLeast"/>
        </w:trPr>
        <w:tc>
          <w:tcPr>
            <w:tcW w:w="0" w:type="auto"/>
            <w:shd w:val="clear" w:color="auto" w:fill="auto"/>
            <w:vAlign w:val="center"/>
          </w:tcPr>
          <w:p w14:paraId="20379D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Discussion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0FF84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7153A4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6D53F1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51522B">
        <w:trPr>
          <w:trHeight w:val="1680" w:hRule="atLeast"/>
        </w:trPr>
        <w:tc>
          <w:tcPr>
            <w:tcW w:w="0" w:type="auto"/>
            <w:shd w:val="clear" w:color="auto" w:fill="auto"/>
            <w:vAlign w:val="center"/>
          </w:tcPr>
          <w:p w14:paraId="0B6753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Limitations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08A3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4E3F3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Discuss any limitations of the study (such as retrospective design, single-center, lack of external validation).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45C06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Discussion - Strengths and Limitations</w:t>
            </w:r>
            <w:r>
              <w:rPr>
                <w:rStyle w:val="4"/>
                <w:lang w:val="en-US" w:eastAsia="zh-CN" w:bidi="ar"/>
              </w:rPr>
              <w:t xml:space="preserve"> (Single-center, retrospective, lack of bioimpedance/volumetric measurement, recall bias, etc.).</w:t>
            </w:r>
          </w:p>
        </w:tc>
      </w:tr>
      <w:tr w14:paraId="096A5E18">
        <w:trPr>
          <w:trHeight w:val="1020" w:hRule="atLeast"/>
        </w:trPr>
        <w:tc>
          <w:tcPr>
            <w:tcW w:w="0" w:type="auto"/>
            <w:shd w:val="clear" w:color="auto" w:fill="auto"/>
            <w:vAlign w:val="center"/>
          </w:tcPr>
          <w:p w14:paraId="2252BF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Interpretation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DD1D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1D04C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Give an overall interpretation of the results, considering objectives and limitations.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EDA8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Discussion</w:t>
            </w:r>
            <w:r>
              <w:rPr>
                <w:rStyle w:val="4"/>
                <w:lang w:val="en-US" w:eastAsia="zh-CN" w:bidi="ar"/>
              </w:rPr>
              <w:t xml:space="preserve"> (Paragraphs 1–6).</w:t>
            </w:r>
          </w:p>
        </w:tc>
      </w:tr>
      <w:tr w14:paraId="2FC15E91">
        <w:trPr>
          <w:trHeight w:val="1360" w:hRule="atLeast"/>
        </w:trPr>
        <w:tc>
          <w:tcPr>
            <w:tcW w:w="0" w:type="auto"/>
            <w:shd w:val="clear" w:color="auto" w:fill="auto"/>
            <w:vAlign w:val="center"/>
          </w:tcPr>
          <w:p w14:paraId="638890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Implications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25FF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59B6D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Discuss the potential clinical use of the model and how it can be implemented.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08AEA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Discussion - Clinical implications</w:t>
            </w:r>
            <w:r>
              <w:rPr>
                <w:rStyle w:val="4"/>
                <w:lang w:val="en-US" w:eastAsia="zh-CN" w:bidi="ar"/>
              </w:rPr>
              <w:t xml:space="preserve"> (Risk-adapted surveillance, early rehabilitation referral).</w:t>
            </w:r>
          </w:p>
        </w:tc>
      </w:tr>
      <w:tr w14:paraId="2C4500A2">
        <w:trPr>
          <w:trHeight w:val="680" w:hRule="atLeast"/>
        </w:trPr>
        <w:tc>
          <w:tcPr>
            <w:tcW w:w="0" w:type="auto"/>
            <w:shd w:val="clear" w:color="auto" w:fill="auto"/>
            <w:vAlign w:val="center"/>
          </w:tcPr>
          <w:p w14:paraId="544B1B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Other information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C068E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6C2050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18386D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F72D6A">
        <w:trPr>
          <w:trHeight w:val="1020" w:hRule="atLeast"/>
        </w:trPr>
        <w:tc>
          <w:tcPr>
            <w:tcW w:w="0" w:type="auto"/>
            <w:shd w:val="clear" w:color="auto" w:fill="auto"/>
            <w:vAlign w:val="center"/>
          </w:tcPr>
          <w:p w14:paraId="0C805F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Funding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DB3C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BF021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Give the source of funding and the role of the funders.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35A1D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Funding statement</w:t>
            </w:r>
            <w:r>
              <w:rPr>
                <w:rStyle w:val="4"/>
                <w:lang w:val="en-US" w:eastAsia="zh-CN" w:bidi="ar"/>
              </w:rPr>
              <w:t xml:space="preserve"> (Zhou Nursing Research Project, NSFC grant 82405113, etc.).</w:t>
            </w:r>
          </w:p>
        </w:tc>
      </w:tr>
      <w:tr w14:paraId="0232E768">
        <w:trPr>
          <w:trHeight w:val="680" w:hRule="atLeast"/>
        </w:trPr>
        <w:tc>
          <w:tcPr>
            <w:tcW w:w="0" w:type="auto"/>
            <w:shd w:val="clear" w:color="auto" w:fill="auto"/>
            <w:vAlign w:val="center"/>
          </w:tcPr>
          <w:p w14:paraId="08D406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Conflicts of interest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4CAA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52FB8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State any conflicts of interest.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FC7D6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Competing interests</w:t>
            </w:r>
            <w:r>
              <w:rPr>
                <w:rStyle w:val="4"/>
                <w:lang w:val="en-US" w:eastAsia="zh-CN" w:bidi="ar"/>
              </w:rPr>
              <w:t xml:space="preserve"> statement included.</w:t>
            </w:r>
          </w:p>
        </w:tc>
      </w:tr>
    </w:tbl>
    <w:p w14:paraId="4F12503E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Times New Roman Bold">
    <w:panose1 w:val="02020503050405090304"/>
    <w:charset w:val="00"/>
    <w:family w:val="auto"/>
    <w:pitch w:val="default"/>
    <w:sig w:usb0="E0000AFF" w:usb1="00007843" w:usb2="00000001" w:usb3="00000000" w:csb0="4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7D3FF38"/>
    <w:rsid w:val="F7D3F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01"/>
    <w:basedOn w:val="3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Office_7.4.1.8983_F1E327BC-269C-435d-A152-05C5408002CA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2026-09-15T07:55:00Z</dcterms:created>
  <dc:creator>didu</dc:creator>
  <cp:lastModifiedBy>didu</cp:lastModifiedBy>
  <dcterms:modified xsi:type="dcterms:W3CDTF">2026-09-15T07:55:57Z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2052-7.4.1.8983</vt:lpwstr>
  </property>
  <property fmtid="{D5CDD505-2E9C-101B-9397-08002B2CF9AE}" pid="3" name="ICV">
    <vt:lpwstr>AA1FC7282DFD0E677989A86A3904363A_41</vt:lpwstr>
  </property>
</Properties>
</file>