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EE045" w14:textId="5BC56D35" w:rsidR="00400E7D" w:rsidRPr="00530B26" w:rsidRDefault="004A603F">
      <w:pPr>
        <w:spacing w:line="360" w:lineRule="auto"/>
        <w:rPr>
          <w:rFonts w:ascii="Times New Roman" w:hAnsi="Times New Roman" w:cs="Times New Roman"/>
          <w:b/>
          <w:bCs/>
          <w:sz w:val="24"/>
          <w:highlight w:val="yellow"/>
        </w:rPr>
      </w:pPr>
      <w:r w:rsidRPr="002648B7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Supplementary</w:t>
      </w:r>
      <w:r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 xml:space="preserve"> Table </w:t>
      </w:r>
      <w:r>
        <w:rPr>
          <w:rFonts w:ascii="Times New Roman" w:hAnsi="Times New Roman" w:cs="Times New Roman"/>
          <w:b/>
          <w:bCs/>
          <w:sz w:val="24"/>
        </w:rPr>
        <w:t>1</w:t>
      </w:r>
      <w:r w:rsidR="005F645C"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8A221C">
        <w:rPr>
          <w:rFonts w:ascii="Times New Roman" w:hAnsi="Times New Roman" w:cs="Times New Roman"/>
          <w:b/>
          <w:bCs/>
          <w:sz w:val="24"/>
        </w:rPr>
        <w:t>Classification of reasons for prior chemotherapy and TKI comb</w:t>
      </w:r>
      <w:r w:rsidR="008A221C" w:rsidRPr="00530B26">
        <w:rPr>
          <w:rFonts w:ascii="Times New Roman" w:hAnsi="Times New Roman" w:cs="Times New Roman"/>
          <w:b/>
          <w:bCs/>
          <w:sz w:val="24"/>
        </w:rPr>
        <w:t>ined with chemotherapy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08"/>
        <w:gridCol w:w="1231"/>
        <w:gridCol w:w="3238"/>
        <w:gridCol w:w="1201"/>
      </w:tblGrid>
      <w:tr w:rsidR="00400E7D" w:rsidRPr="00530B26" w14:paraId="09316970" w14:textId="77777777">
        <w:trPr>
          <w:trHeight w:val="936"/>
        </w:trPr>
        <w:tc>
          <w:tcPr>
            <w:tcW w:w="2708" w:type="dxa"/>
          </w:tcPr>
          <w:p w14:paraId="303D24CF" w14:textId="77777777" w:rsidR="00400E7D" w:rsidRPr="00530B26" w:rsidRDefault="00000000" w:rsidP="00050399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Reason for prior chemotherapy</w:t>
            </w: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（</w:t>
            </w: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n=9</w:t>
            </w: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231" w:type="dxa"/>
          </w:tcPr>
          <w:p w14:paraId="7B39D3DE" w14:textId="77777777" w:rsidR="00400E7D" w:rsidRPr="00530B26" w:rsidRDefault="00000000" w:rsidP="00050399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3238" w:type="dxa"/>
          </w:tcPr>
          <w:p w14:paraId="58919E95" w14:textId="77777777" w:rsidR="00400E7D" w:rsidRPr="00530B26" w:rsidRDefault="00000000" w:rsidP="00050399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Reason for TKI combined with chemotherapy</w:t>
            </w: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（</w:t>
            </w: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n=14</w:t>
            </w: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201" w:type="dxa"/>
          </w:tcPr>
          <w:p w14:paraId="5C7316F3" w14:textId="77777777" w:rsidR="00400E7D" w:rsidRPr="00530B26" w:rsidRDefault="00000000" w:rsidP="00050399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</w:t>
            </w:r>
          </w:p>
        </w:tc>
      </w:tr>
      <w:tr w:rsidR="00400E7D" w14:paraId="64C879A6" w14:textId="77777777">
        <w:trPr>
          <w:trHeight w:val="1400"/>
        </w:trPr>
        <w:tc>
          <w:tcPr>
            <w:tcW w:w="2708" w:type="dxa"/>
          </w:tcPr>
          <w:p w14:paraId="61DA06FB" w14:textId="77777777" w:rsidR="00400E7D" w:rsidRPr="00530B26" w:rsidRDefault="00000000" w:rsidP="00050399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Postoperative adjuvant chemotherapy</w:t>
            </w:r>
          </w:p>
        </w:tc>
        <w:tc>
          <w:tcPr>
            <w:tcW w:w="1231" w:type="dxa"/>
          </w:tcPr>
          <w:p w14:paraId="7EDDC189" w14:textId="77777777" w:rsidR="00400E7D" w:rsidRPr="00530B26" w:rsidRDefault="00000000" w:rsidP="00050399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55.6% (5/9)</w:t>
            </w:r>
          </w:p>
        </w:tc>
        <w:tc>
          <w:tcPr>
            <w:tcW w:w="3238" w:type="dxa"/>
          </w:tcPr>
          <w:p w14:paraId="1D750519" w14:textId="77777777" w:rsidR="00400E7D" w:rsidRPr="00530B26" w:rsidRDefault="00000000" w:rsidP="00050399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Segoe UI" w:hAnsi="Times New Roman" w:cs="Times New Roman"/>
                <w:color w:val="181818"/>
                <w:sz w:val="20"/>
                <w:szCs w:val="20"/>
                <w:shd w:val="clear" w:color="auto" w:fill="FFFFFF"/>
              </w:rPr>
              <w:t>Recurrence after postoperative adjuvant chemotherapy</w:t>
            </w:r>
          </w:p>
        </w:tc>
        <w:tc>
          <w:tcPr>
            <w:tcW w:w="1201" w:type="dxa"/>
          </w:tcPr>
          <w:p w14:paraId="1F6D9587" w14:textId="77777777" w:rsidR="00400E7D" w:rsidRPr="00530B26" w:rsidRDefault="00000000" w:rsidP="00050399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21.4% (3/14)</w:t>
            </w:r>
          </w:p>
        </w:tc>
      </w:tr>
      <w:tr w:rsidR="00400E7D" w14:paraId="6BEBDCDD" w14:textId="77777777">
        <w:trPr>
          <w:trHeight w:val="1409"/>
        </w:trPr>
        <w:tc>
          <w:tcPr>
            <w:tcW w:w="2708" w:type="dxa"/>
          </w:tcPr>
          <w:p w14:paraId="367E5B56" w14:textId="77777777" w:rsidR="00400E7D" w:rsidRPr="00530B26" w:rsidRDefault="00000000" w:rsidP="00050399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Advanced-stage palliative chemotherapy</w:t>
            </w:r>
          </w:p>
        </w:tc>
        <w:tc>
          <w:tcPr>
            <w:tcW w:w="1231" w:type="dxa"/>
          </w:tcPr>
          <w:p w14:paraId="0D0ACF0F" w14:textId="77777777" w:rsidR="00400E7D" w:rsidRPr="00530B26" w:rsidRDefault="00000000" w:rsidP="00050399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44.4% (4/9)</w:t>
            </w:r>
          </w:p>
        </w:tc>
        <w:tc>
          <w:tcPr>
            <w:tcW w:w="3238" w:type="dxa"/>
          </w:tcPr>
          <w:p w14:paraId="5A1C7384" w14:textId="77777777" w:rsidR="00400E7D" w:rsidRPr="00530B26" w:rsidRDefault="00000000" w:rsidP="00050399">
            <w:pPr>
              <w:spacing w:line="360" w:lineRule="auto"/>
              <w:ind w:leftChars="100" w:left="2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Segoe UI" w:hAnsi="Times New Roman" w:cs="Times New Roman"/>
                <w:color w:val="181818"/>
                <w:sz w:val="20"/>
                <w:szCs w:val="20"/>
                <w:shd w:val="clear" w:color="auto" w:fill="FFFFFF"/>
              </w:rPr>
              <w:t>Advanced-stage palliative chemotherapy</w:t>
            </w:r>
          </w:p>
        </w:tc>
        <w:tc>
          <w:tcPr>
            <w:tcW w:w="1201" w:type="dxa"/>
          </w:tcPr>
          <w:p w14:paraId="025AC5CE" w14:textId="77777777" w:rsidR="00400E7D" w:rsidRPr="00530B26" w:rsidRDefault="00000000" w:rsidP="00050399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78.6% (11/14)</w:t>
            </w:r>
          </w:p>
        </w:tc>
      </w:tr>
    </w:tbl>
    <w:p w14:paraId="70F0DD86" w14:textId="77777777" w:rsidR="00400E7D" w:rsidRDefault="00400E7D">
      <w:pPr>
        <w:spacing w:line="360" w:lineRule="auto"/>
        <w:rPr>
          <w:rFonts w:ascii="Times New Roman" w:hAnsi="Times New Roman" w:cs="Times New Roman"/>
          <w:sz w:val="24"/>
        </w:rPr>
      </w:pPr>
    </w:p>
    <w:p w14:paraId="1A1FE88A" w14:textId="4DA0BBAA" w:rsidR="00400E7D" w:rsidRDefault="002648B7">
      <w:pPr>
        <w:spacing w:line="360" w:lineRule="auto"/>
        <w:rPr>
          <w:rFonts w:ascii="Times New Roman" w:hAnsi="Times New Roman" w:cs="Times New Roman"/>
          <w:sz w:val="24"/>
        </w:rPr>
      </w:pPr>
      <w:r w:rsidRPr="002648B7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 xml:space="preserve">Supplementary </w:t>
      </w:r>
      <w:r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 xml:space="preserve">Table </w:t>
      </w:r>
      <w:r>
        <w:rPr>
          <w:rFonts w:ascii="Times New Roman" w:hAnsi="Times New Roman" w:cs="Times New Roman"/>
          <w:b/>
          <w:bCs/>
          <w:sz w:val="24"/>
        </w:rPr>
        <w:t>2</w:t>
      </w:r>
      <w:r w:rsidR="005F645C"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C93D83" w:rsidRPr="00C93D83">
        <w:rPr>
          <w:rFonts w:ascii="Times New Roman" w:hAnsi="Times New Roman" w:cs="Times New Roman"/>
          <w:b/>
          <w:bCs/>
          <w:sz w:val="24"/>
        </w:rPr>
        <w:t>Details of systemic anticancer regimens (with or without bevacizumab) involved in this study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1559"/>
      </w:tblGrid>
      <w:tr w:rsidR="00BC0491" w14:paraId="1E9A0C6D" w14:textId="3F147067" w:rsidTr="00BC0491">
        <w:tc>
          <w:tcPr>
            <w:tcW w:w="5920" w:type="dxa"/>
            <w:tcBorders>
              <w:top w:val="single" w:sz="4" w:space="0" w:color="auto"/>
              <w:bottom w:val="single" w:sz="4" w:space="0" w:color="auto"/>
            </w:tcBorders>
          </w:tcPr>
          <w:p w14:paraId="55526C08" w14:textId="77777777" w:rsidR="00BC0491" w:rsidRPr="00530B26" w:rsidRDefault="00BC049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Prior chemotherapy regimen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9503292" w14:textId="77777777" w:rsidR="00BC0491" w:rsidRPr="00530B26" w:rsidRDefault="00BC049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</w:t>
            </w:r>
          </w:p>
        </w:tc>
      </w:tr>
      <w:tr w:rsidR="00BC0491" w14:paraId="1FA4C1AA" w14:textId="54FAAA21" w:rsidTr="00BC0491">
        <w:tc>
          <w:tcPr>
            <w:tcW w:w="5920" w:type="dxa"/>
            <w:tcBorders>
              <w:top w:val="single" w:sz="4" w:space="0" w:color="auto"/>
            </w:tcBorders>
            <w:vAlign w:val="center"/>
          </w:tcPr>
          <w:p w14:paraId="694954BA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>Pemetrexed + carboplatin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397AA4B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BC0491" w14:paraId="27D2538B" w14:textId="364CEAB4" w:rsidTr="00BC0491">
        <w:tc>
          <w:tcPr>
            <w:tcW w:w="5920" w:type="dxa"/>
            <w:tcBorders>
              <w:bottom w:val="single" w:sz="4" w:space="0" w:color="auto"/>
            </w:tcBorders>
            <w:vAlign w:val="center"/>
          </w:tcPr>
          <w:p w14:paraId="680FC255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 xml:space="preserve">Pemetrexed + </w:t>
            </w:r>
            <w:r w:rsidRPr="00BC0491">
              <w:rPr>
                <w:rFonts w:ascii="Times New Roman" w:eastAsia="Segoe UI" w:hAnsi="Times New Roman" w:cs="Times New Roman"/>
                <w:b/>
                <w:bCs/>
                <w:color w:val="181818"/>
                <w:sz w:val="22"/>
                <w:szCs w:val="22"/>
                <w:shd w:val="clear" w:color="auto" w:fill="FFFFFF"/>
              </w:rPr>
              <w:t>bevacizumab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549333A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C0491" w14:paraId="4B500B23" w14:textId="5ECC3ABB" w:rsidTr="00BC0491">
        <w:tc>
          <w:tcPr>
            <w:tcW w:w="5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87160" w14:textId="77777777" w:rsidR="00BC0491" w:rsidRPr="00530B26" w:rsidRDefault="00BC04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highlight w:val="yellow"/>
                <w:lang w:bidi="ar"/>
              </w:rPr>
            </w:pPr>
            <w:r w:rsidRPr="00530B26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Chemotherapy regimen combined with TKI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9EBFF2" w14:textId="4EFC7549" w:rsidR="00BC0491" w:rsidRPr="00530B26" w:rsidRDefault="00BC049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N</w:t>
            </w:r>
          </w:p>
        </w:tc>
      </w:tr>
      <w:tr w:rsidR="00BC0491" w14:paraId="740233DD" w14:textId="0776B184" w:rsidTr="00BC0491">
        <w:trPr>
          <w:trHeight w:val="90"/>
        </w:trPr>
        <w:tc>
          <w:tcPr>
            <w:tcW w:w="5920" w:type="dxa"/>
            <w:tcBorders>
              <w:top w:val="single" w:sz="4" w:space="0" w:color="auto"/>
            </w:tcBorders>
            <w:vAlign w:val="bottom"/>
          </w:tcPr>
          <w:p w14:paraId="259C42EF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>Pemetrexed + carboplatin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DFC6BB5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BC0491" w14:paraId="69C64391" w14:textId="54E46BCE" w:rsidTr="00BC0491">
        <w:tc>
          <w:tcPr>
            <w:tcW w:w="5920" w:type="dxa"/>
            <w:vAlign w:val="bottom"/>
          </w:tcPr>
          <w:p w14:paraId="2B7B57C4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 xml:space="preserve">Pemetrexed + carboplatin + </w:t>
            </w:r>
            <w:r w:rsidRPr="00BC0491">
              <w:rPr>
                <w:rFonts w:ascii="Times New Roman" w:eastAsia="Segoe UI" w:hAnsi="Times New Roman" w:cs="Times New Roman"/>
                <w:b/>
                <w:bCs/>
                <w:color w:val="181818"/>
                <w:sz w:val="22"/>
                <w:szCs w:val="22"/>
                <w:shd w:val="clear" w:color="auto" w:fill="FFFFFF"/>
              </w:rPr>
              <w:t>bevacizumab</w:t>
            </w:r>
          </w:p>
        </w:tc>
        <w:tc>
          <w:tcPr>
            <w:tcW w:w="1559" w:type="dxa"/>
          </w:tcPr>
          <w:p w14:paraId="716CD20C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BC0491" w14:paraId="3AC38AF6" w14:textId="15B2A4E7" w:rsidTr="00BC0491">
        <w:tc>
          <w:tcPr>
            <w:tcW w:w="5920" w:type="dxa"/>
            <w:vAlign w:val="bottom"/>
          </w:tcPr>
          <w:p w14:paraId="4B4275F6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宋体" w:hAnsi="Times New Roman" w:cs="Times New Roman"/>
                <w:color w:val="181818"/>
                <w:sz w:val="22"/>
                <w:szCs w:val="22"/>
                <w:shd w:val="clear" w:color="auto" w:fill="FFFFFF"/>
              </w:rPr>
              <w:t>P</w:t>
            </w: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>aclitaxel + nedaplatin</w:t>
            </w:r>
          </w:p>
        </w:tc>
        <w:tc>
          <w:tcPr>
            <w:tcW w:w="1559" w:type="dxa"/>
          </w:tcPr>
          <w:p w14:paraId="22D0F087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BC0491" w14:paraId="6D19DCCD" w14:textId="4C32C823" w:rsidTr="00BC0491">
        <w:tc>
          <w:tcPr>
            <w:tcW w:w="5920" w:type="dxa"/>
            <w:vAlign w:val="bottom"/>
          </w:tcPr>
          <w:p w14:paraId="19DF10D2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 xml:space="preserve">Pemetrexed + </w:t>
            </w:r>
            <w:r w:rsidRPr="00BC0491">
              <w:rPr>
                <w:rFonts w:ascii="Times New Roman" w:eastAsia="Segoe UI" w:hAnsi="Times New Roman" w:cs="Times New Roman"/>
                <w:b/>
                <w:bCs/>
                <w:color w:val="181818"/>
                <w:sz w:val="22"/>
                <w:szCs w:val="22"/>
                <w:shd w:val="clear" w:color="auto" w:fill="FFFFFF"/>
              </w:rPr>
              <w:t>bevacizumab</w:t>
            </w:r>
          </w:p>
        </w:tc>
        <w:tc>
          <w:tcPr>
            <w:tcW w:w="1559" w:type="dxa"/>
          </w:tcPr>
          <w:p w14:paraId="424FC227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BC0491" w14:paraId="79A25A7D" w14:textId="282277DD" w:rsidTr="00BC0491">
        <w:tc>
          <w:tcPr>
            <w:tcW w:w="5920" w:type="dxa"/>
            <w:vAlign w:val="center"/>
          </w:tcPr>
          <w:p w14:paraId="71485727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>Pemetrexed + lobaplatin</w:t>
            </w:r>
          </w:p>
        </w:tc>
        <w:tc>
          <w:tcPr>
            <w:tcW w:w="1559" w:type="dxa"/>
          </w:tcPr>
          <w:p w14:paraId="4F524B43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BC0491" w14:paraId="74517E36" w14:textId="09A4D9A4" w:rsidTr="00BC0491">
        <w:tc>
          <w:tcPr>
            <w:tcW w:w="5920" w:type="dxa"/>
            <w:vAlign w:val="center"/>
          </w:tcPr>
          <w:p w14:paraId="6572B595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 xml:space="preserve">Pemetrexed + nedaplatin + </w:t>
            </w:r>
            <w:r w:rsidRPr="00BC0491">
              <w:rPr>
                <w:rFonts w:ascii="Times New Roman" w:eastAsia="Segoe UI" w:hAnsi="Times New Roman" w:cs="Times New Roman"/>
                <w:b/>
                <w:bCs/>
                <w:color w:val="181818"/>
                <w:sz w:val="22"/>
                <w:szCs w:val="22"/>
                <w:shd w:val="clear" w:color="auto" w:fill="FFFFFF"/>
              </w:rPr>
              <w:t>bevacizumab</w:t>
            </w:r>
          </w:p>
        </w:tc>
        <w:tc>
          <w:tcPr>
            <w:tcW w:w="1559" w:type="dxa"/>
          </w:tcPr>
          <w:p w14:paraId="4A6DCBD0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BC0491" w14:paraId="6395392F" w14:textId="2C2089C5" w:rsidTr="00BC0491">
        <w:trPr>
          <w:trHeight w:val="90"/>
        </w:trPr>
        <w:tc>
          <w:tcPr>
            <w:tcW w:w="5920" w:type="dxa"/>
            <w:vAlign w:val="center"/>
          </w:tcPr>
          <w:p w14:paraId="72319331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 xml:space="preserve">Cisplatin + </w:t>
            </w:r>
            <w:r w:rsidRPr="00BC0491">
              <w:rPr>
                <w:rFonts w:ascii="Times New Roman" w:eastAsia="Segoe UI" w:hAnsi="Times New Roman" w:cs="Times New Roman"/>
                <w:b/>
                <w:bCs/>
                <w:color w:val="181818"/>
                <w:sz w:val="22"/>
                <w:szCs w:val="22"/>
                <w:shd w:val="clear" w:color="auto" w:fill="FFFFFF"/>
              </w:rPr>
              <w:t>bevacizumab</w:t>
            </w:r>
          </w:p>
        </w:tc>
        <w:tc>
          <w:tcPr>
            <w:tcW w:w="1559" w:type="dxa"/>
          </w:tcPr>
          <w:p w14:paraId="6DADDAE2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BC0491" w14:paraId="6E4FBC96" w14:textId="2406AA12" w:rsidTr="00BC0491">
        <w:tc>
          <w:tcPr>
            <w:tcW w:w="5920" w:type="dxa"/>
            <w:tcBorders>
              <w:bottom w:val="single" w:sz="4" w:space="0" w:color="auto"/>
            </w:tcBorders>
            <w:vAlign w:val="center"/>
          </w:tcPr>
          <w:p w14:paraId="29584EFF" w14:textId="77777777" w:rsidR="00BC0491" w:rsidRPr="002648B7" w:rsidRDefault="00BC0491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eastAsia="Segoe UI" w:hAnsi="Times New Roman" w:cs="Times New Roman"/>
                <w:color w:val="181818"/>
                <w:sz w:val="22"/>
                <w:szCs w:val="22"/>
                <w:shd w:val="clear" w:color="auto" w:fill="FFFFFF"/>
              </w:rPr>
              <w:t xml:space="preserve">Paclitaxel + </w:t>
            </w:r>
            <w:r w:rsidRPr="00BC0491">
              <w:rPr>
                <w:rFonts w:ascii="Times New Roman" w:eastAsia="Segoe UI" w:hAnsi="Times New Roman" w:cs="Times New Roman"/>
                <w:b/>
                <w:bCs/>
                <w:color w:val="181818"/>
                <w:sz w:val="22"/>
                <w:szCs w:val="22"/>
                <w:shd w:val="clear" w:color="auto" w:fill="FFFFFF"/>
              </w:rPr>
              <w:t>bevacizumab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331C80C" w14:textId="77777777" w:rsidR="00BC0491" w:rsidRPr="002648B7" w:rsidRDefault="00BC04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648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</w:tbl>
    <w:p w14:paraId="7613B7AF" w14:textId="67E8C5A8" w:rsidR="005F645C" w:rsidRPr="0046628F" w:rsidRDefault="0046628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6628F">
        <w:rPr>
          <w:rFonts w:ascii="Times New Roman" w:hAnsi="Times New Roman" w:cs="Times New Roman"/>
          <w:sz w:val="20"/>
          <w:szCs w:val="20"/>
        </w:rPr>
        <w:t>Regimens containing bevacizumab are indicated in bold.</w:t>
      </w:r>
    </w:p>
    <w:p w14:paraId="75B42876" w14:textId="77777777" w:rsidR="00530B26" w:rsidRDefault="00530B26">
      <w:pPr>
        <w:spacing w:line="360" w:lineRule="auto"/>
        <w:rPr>
          <w:rFonts w:ascii="Times New Roman" w:hAnsi="Times New Roman" w:cs="Times New Roman"/>
          <w:sz w:val="24"/>
        </w:rPr>
      </w:pPr>
    </w:p>
    <w:p w14:paraId="462D8AAB" w14:textId="77777777" w:rsidR="00530B26" w:rsidRDefault="00530B26">
      <w:pPr>
        <w:spacing w:line="360" w:lineRule="auto"/>
        <w:rPr>
          <w:rFonts w:ascii="Times New Roman" w:hAnsi="Times New Roman" w:cs="Times New Roman"/>
          <w:sz w:val="24"/>
        </w:rPr>
      </w:pPr>
    </w:p>
    <w:p w14:paraId="5A9A36FF" w14:textId="77777777" w:rsidR="00530B26" w:rsidRDefault="00530B26">
      <w:pPr>
        <w:spacing w:line="360" w:lineRule="auto"/>
        <w:rPr>
          <w:rFonts w:ascii="Times New Roman" w:hAnsi="Times New Roman" w:cs="Times New Roman"/>
          <w:sz w:val="24"/>
        </w:rPr>
      </w:pPr>
    </w:p>
    <w:p w14:paraId="5C230045" w14:textId="77777777" w:rsidR="00530B26" w:rsidRDefault="00530B26">
      <w:pPr>
        <w:spacing w:line="360" w:lineRule="auto"/>
        <w:rPr>
          <w:rFonts w:ascii="Times New Roman" w:hAnsi="Times New Roman" w:cs="Times New Roman"/>
          <w:sz w:val="24"/>
        </w:rPr>
      </w:pPr>
    </w:p>
    <w:p w14:paraId="0C9BB092" w14:textId="71BCA602" w:rsidR="00400E7D" w:rsidRDefault="004A603F">
      <w:pPr>
        <w:spacing w:line="360" w:lineRule="auto"/>
        <w:rPr>
          <w:rFonts w:ascii="Times New Roman" w:hAnsi="Times New Roman" w:cs="Times New Roman"/>
          <w:sz w:val="24"/>
        </w:rPr>
      </w:pPr>
      <w:r w:rsidRPr="002648B7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Supplementary</w:t>
      </w:r>
      <w:r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 xml:space="preserve"> Table </w:t>
      </w:r>
      <w:r>
        <w:rPr>
          <w:rFonts w:ascii="Times New Roman" w:hAnsi="Times New Roman" w:cs="Times New Roman"/>
          <w:b/>
          <w:bCs/>
          <w:sz w:val="24"/>
        </w:rPr>
        <w:t>3</w:t>
      </w:r>
      <w:r w:rsidR="005F645C"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CTR-CVT incidence by TKI monotherapy and TKI combined with chemotherapy</w:t>
      </w:r>
    </w:p>
    <w:tbl>
      <w:tblPr>
        <w:tblStyle w:val="a4"/>
        <w:tblpPr w:leftFromText="180" w:rightFromText="180" w:vertAnchor="text" w:horzAnchor="page" w:tblpX="1851" w:tblpY="12"/>
        <w:tblOverlap w:val="never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835"/>
        <w:gridCol w:w="3635"/>
        <w:gridCol w:w="618"/>
      </w:tblGrid>
      <w:tr w:rsidR="00400E7D" w14:paraId="34B22EAA" w14:textId="77777777" w:rsidTr="00530B26">
        <w:trPr>
          <w:trHeight w:val="91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FD5EC8C" w14:textId="77777777" w:rsidR="00400E7D" w:rsidRDefault="00400E7D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2B2B9" w14:textId="77777777" w:rsidR="00400E7D" w:rsidRPr="00530B2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TKI monotherapy, %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DC168" w14:textId="4E3BA196" w:rsidR="00400E7D" w:rsidRPr="00530B2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TKI combined with</w:t>
            </w:r>
            <w:r w:rsidR="00530B26" w:rsidRPr="00530B26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</w:t>
            </w: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chemotherapy, %</w:t>
            </w:r>
          </w:p>
        </w:tc>
      </w:tr>
      <w:tr w:rsidR="00400E7D" w14:paraId="78116E48" w14:textId="77777777" w:rsidTr="00530B26">
        <w:trPr>
          <w:gridAfter w:val="1"/>
          <w:wAfter w:w="618" w:type="dxa"/>
          <w:trHeight w:val="463"/>
        </w:trPr>
        <w:tc>
          <w:tcPr>
            <w:tcW w:w="1809" w:type="dxa"/>
            <w:tcBorders>
              <w:top w:val="single" w:sz="4" w:space="0" w:color="auto"/>
            </w:tcBorders>
          </w:tcPr>
          <w:p w14:paraId="56033A23" w14:textId="77777777" w:rsidR="00400E7D" w:rsidRPr="00530B2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CTR-CVT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52B376A" w14:textId="77777777" w:rsidR="00400E7D" w:rsidRPr="00530B2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25.0% (3/12)</w:t>
            </w:r>
          </w:p>
        </w:tc>
        <w:tc>
          <w:tcPr>
            <w:tcW w:w="3635" w:type="dxa"/>
            <w:tcBorders>
              <w:top w:val="single" w:sz="4" w:space="0" w:color="auto"/>
            </w:tcBorders>
          </w:tcPr>
          <w:p w14:paraId="1C7CF936" w14:textId="77777777" w:rsidR="00400E7D" w:rsidRPr="00530B2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35.7% (5/14)</w:t>
            </w:r>
          </w:p>
        </w:tc>
      </w:tr>
      <w:tr w:rsidR="00400E7D" w14:paraId="3143B09C" w14:textId="77777777" w:rsidTr="00530B26">
        <w:trPr>
          <w:gridAfter w:val="1"/>
          <w:wAfter w:w="618" w:type="dxa"/>
          <w:trHeight w:val="473"/>
        </w:trPr>
        <w:tc>
          <w:tcPr>
            <w:tcW w:w="1809" w:type="dxa"/>
            <w:tcBorders>
              <w:bottom w:val="single" w:sz="4" w:space="0" w:color="auto"/>
            </w:tcBorders>
          </w:tcPr>
          <w:p w14:paraId="56D94DA7" w14:textId="77777777" w:rsidR="00400E7D" w:rsidRPr="00530B2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Non-CTR-CVT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442856" w14:textId="77777777" w:rsidR="00400E7D" w:rsidRPr="00530B2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75.0% (9/12)</w:t>
            </w:r>
          </w:p>
        </w:tc>
        <w:tc>
          <w:tcPr>
            <w:tcW w:w="3635" w:type="dxa"/>
            <w:tcBorders>
              <w:bottom w:val="single" w:sz="4" w:space="0" w:color="auto"/>
            </w:tcBorders>
          </w:tcPr>
          <w:p w14:paraId="2AF63C8D" w14:textId="77777777" w:rsidR="00400E7D" w:rsidRPr="00530B2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64.3% (9/14)</w:t>
            </w:r>
          </w:p>
        </w:tc>
      </w:tr>
    </w:tbl>
    <w:p w14:paraId="7404416C" w14:textId="77777777" w:rsidR="00400E7D" w:rsidRDefault="00400E7D">
      <w:pPr>
        <w:spacing w:line="360" w:lineRule="auto"/>
        <w:rPr>
          <w:rFonts w:ascii="Times New Roman" w:hAnsi="Times New Roman" w:cs="Times New Roman"/>
          <w:sz w:val="24"/>
        </w:rPr>
      </w:pPr>
    </w:p>
    <w:p w14:paraId="290C3760" w14:textId="77777777" w:rsidR="00400E7D" w:rsidRDefault="00400E7D">
      <w:pPr>
        <w:spacing w:line="360" w:lineRule="auto"/>
        <w:rPr>
          <w:rFonts w:ascii="Times New Roman" w:hAnsi="Times New Roman" w:cs="Times New Roman"/>
          <w:sz w:val="24"/>
        </w:rPr>
        <w:sectPr w:rsidR="00400E7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91AE8ED" w14:textId="77777777" w:rsidR="00400E7D" w:rsidRDefault="00400E7D">
      <w:pPr>
        <w:spacing w:line="360" w:lineRule="auto"/>
        <w:rPr>
          <w:rFonts w:ascii="Times New Roman" w:hAnsi="Times New Roman" w:cs="Times New Roman"/>
          <w:sz w:val="24"/>
        </w:rPr>
      </w:pPr>
    </w:p>
    <w:p w14:paraId="22590D75" w14:textId="54AAE8ED" w:rsidR="00400E7D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 xml:space="preserve">Supplementary Table </w:t>
      </w:r>
      <w:r>
        <w:rPr>
          <w:rFonts w:ascii="Times New Roman" w:hAnsi="Times New Roman" w:cs="Times New Roman"/>
          <w:b/>
          <w:sz w:val="24"/>
        </w:rPr>
        <w:t>4</w:t>
      </w:r>
      <w:r w:rsidR="00BB612D">
        <w:rPr>
          <w:rFonts w:ascii="Times New Roman" w:hAnsi="Times New Roman" w:cs="Times New Roman" w:hint="eastAsia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CTCAE criteria for QTc prolongation and heart failure-related adverse events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2"/>
        <w:gridCol w:w="2175"/>
      </w:tblGrid>
      <w:tr w:rsidR="00400E7D" w14:paraId="3C4967BE" w14:textId="77777777" w:rsidTr="00530B26">
        <w:trPr>
          <w:trHeight w:val="938"/>
        </w:trPr>
        <w:tc>
          <w:tcPr>
            <w:tcW w:w="2362" w:type="dxa"/>
            <w:vAlign w:val="center"/>
          </w:tcPr>
          <w:p w14:paraId="07FC178D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CTCAE Terms</w:t>
            </w:r>
          </w:p>
        </w:tc>
        <w:tc>
          <w:tcPr>
            <w:tcW w:w="2362" w:type="dxa"/>
            <w:vAlign w:val="center"/>
          </w:tcPr>
          <w:p w14:paraId="68EA61D0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Grade 1</w:t>
            </w:r>
          </w:p>
        </w:tc>
        <w:tc>
          <w:tcPr>
            <w:tcW w:w="2362" w:type="dxa"/>
            <w:vAlign w:val="center"/>
          </w:tcPr>
          <w:p w14:paraId="4A6C2086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Grade 2</w:t>
            </w:r>
          </w:p>
        </w:tc>
        <w:tc>
          <w:tcPr>
            <w:tcW w:w="2362" w:type="dxa"/>
            <w:vAlign w:val="center"/>
          </w:tcPr>
          <w:p w14:paraId="575B162C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Grade 3</w:t>
            </w:r>
          </w:p>
        </w:tc>
        <w:tc>
          <w:tcPr>
            <w:tcW w:w="2362" w:type="dxa"/>
            <w:vAlign w:val="center"/>
          </w:tcPr>
          <w:p w14:paraId="4E2D11B3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Grade 4</w:t>
            </w:r>
          </w:p>
        </w:tc>
        <w:tc>
          <w:tcPr>
            <w:tcW w:w="2175" w:type="dxa"/>
            <w:vAlign w:val="center"/>
          </w:tcPr>
          <w:p w14:paraId="211ECF56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Grade 5</w:t>
            </w:r>
          </w:p>
        </w:tc>
      </w:tr>
      <w:tr w:rsidR="00400E7D" w14:paraId="490A3C0D" w14:textId="77777777">
        <w:trPr>
          <w:trHeight w:val="2156"/>
        </w:trPr>
        <w:tc>
          <w:tcPr>
            <w:tcW w:w="2362" w:type="dxa"/>
          </w:tcPr>
          <w:p w14:paraId="70FA2470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 xml:space="preserve">Electrocardiogram QT </w:t>
            </w:r>
          </w:p>
          <w:p w14:paraId="010B0D69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corrected interval prolonged</w:t>
            </w:r>
          </w:p>
        </w:tc>
        <w:tc>
          <w:tcPr>
            <w:tcW w:w="2362" w:type="dxa"/>
          </w:tcPr>
          <w:p w14:paraId="09F0A693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 xml:space="preserve">Average QTc 450 - 480 </w:t>
            </w:r>
            <w:proofErr w:type="spellStart"/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2362" w:type="dxa"/>
          </w:tcPr>
          <w:p w14:paraId="5B2B83F0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 xml:space="preserve">Average QTc 481 - 500 </w:t>
            </w:r>
            <w:proofErr w:type="spellStart"/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2362" w:type="dxa"/>
          </w:tcPr>
          <w:p w14:paraId="62225DAF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 xml:space="preserve">Average QTc &gt;= 501 </w:t>
            </w:r>
            <w:proofErr w:type="spellStart"/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ms</w:t>
            </w:r>
            <w:proofErr w:type="spellEnd"/>
            <w:r w:rsidRPr="00530B26">
              <w:rPr>
                <w:rFonts w:ascii="Times New Roman" w:hAnsi="Times New Roman" w:cs="Times New Roman"/>
                <w:sz w:val="20"/>
                <w:szCs w:val="20"/>
              </w:rPr>
              <w:t xml:space="preserve">; &gt;60 </w:t>
            </w:r>
            <w:proofErr w:type="spellStart"/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ms</w:t>
            </w:r>
            <w:proofErr w:type="spellEnd"/>
            <w:r w:rsidRPr="00530B26">
              <w:rPr>
                <w:rFonts w:ascii="Times New Roman" w:hAnsi="Times New Roman" w:cs="Times New Roman"/>
                <w:sz w:val="20"/>
                <w:szCs w:val="20"/>
              </w:rPr>
              <w:t xml:space="preserve"> change from baseline</w:t>
            </w:r>
          </w:p>
        </w:tc>
        <w:tc>
          <w:tcPr>
            <w:tcW w:w="2362" w:type="dxa"/>
          </w:tcPr>
          <w:p w14:paraId="6F45D058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Torsade de pointes; polymorphic ventricular tachycardia; signs/symptoms of serious arrhythmia</w:t>
            </w:r>
          </w:p>
        </w:tc>
        <w:tc>
          <w:tcPr>
            <w:tcW w:w="2175" w:type="dxa"/>
          </w:tcPr>
          <w:p w14:paraId="4F3F0015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00E7D" w14:paraId="3A30EDD1" w14:textId="77777777">
        <w:trPr>
          <w:trHeight w:val="2328"/>
        </w:trPr>
        <w:tc>
          <w:tcPr>
            <w:tcW w:w="2362" w:type="dxa"/>
          </w:tcPr>
          <w:p w14:paraId="68D8D5FA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 failure</w:t>
            </w:r>
          </w:p>
        </w:tc>
        <w:tc>
          <w:tcPr>
            <w:tcW w:w="2362" w:type="dxa"/>
          </w:tcPr>
          <w:p w14:paraId="23EEB816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 xml:space="preserve">Asymptomatic with laboratory (e.g., BNP [B-Natriuretic </w:t>
            </w:r>
            <w:proofErr w:type="gramStart"/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Peptide ]</w:t>
            </w:r>
            <w:proofErr w:type="gramEnd"/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) or cardiac imaging abnormalities</w:t>
            </w:r>
          </w:p>
        </w:tc>
        <w:tc>
          <w:tcPr>
            <w:tcW w:w="2362" w:type="dxa"/>
          </w:tcPr>
          <w:p w14:paraId="7EA3DA24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Symptoms with moderate activity or exertion</w:t>
            </w:r>
          </w:p>
        </w:tc>
        <w:tc>
          <w:tcPr>
            <w:tcW w:w="2362" w:type="dxa"/>
          </w:tcPr>
          <w:p w14:paraId="45145829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Symptoms at rest or with minimal activity or exertion; hospitalization; new onset of symptoms</w:t>
            </w:r>
          </w:p>
        </w:tc>
        <w:tc>
          <w:tcPr>
            <w:tcW w:w="2362" w:type="dxa"/>
          </w:tcPr>
          <w:p w14:paraId="6665B22F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Life-threatening consequences; urgent intervention indicated (e.g., continuous IV therapy or mechanical hemodynamic support)</w:t>
            </w:r>
          </w:p>
        </w:tc>
        <w:tc>
          <w:tcPr>
            <w:tcW w:w="2175" w:type="dxa"/>
          </w:tcPr>
          <w:p w14:paraId="6BEE4F85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</w:t>
            </w:r>
          </w:p>
        </w:tc>
      </w:tr>
      <w:tr w:rsidR="00400E7D" w14:paraId="12A207F7" w14:textId="77777777">
        <w:trPr>
          <w:trHeight w:val="2820"/>
        </w:trPr>
        <w:tc>
          <w:tcPr>
            <w:tcW w:w="2362" w:type="dxa"/>
          </w:tcPr>
          <w:p w14:paraId="5150E7A3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Left ventricular systolic dysfunction</w:t>
            </w:r>
          </w:p>
        </w:tc>
        <w:tc>
          <w:tcPr>
            <w:tcW w:w="2362" w:type="dxa"/>
          </w:tcPr>
          <w:p w14:paraId="67E3D4FE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62" w:type="dxa"/>
          </w:tcPr>
          <w:p w14:paraId="61BCB13A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62" w:type="dxa"/>
          </w:tcPr>
          <w:p w14:paraId="21D232EE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Symptomatic due to drop in ejection fraction responsive to intervention</w:t>
            </w:r>
          </w:p>
        </w:tc>
        <w:tc>
          <w:tcPr>
            <w:tcW w:w="2362" w:type="dxa"/>
          </w:tcPr>
          <w:p w14:paraId="0FC9DF14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Refractory or poorly controlled heart failure due to drop in ejection fraction; intervention such as ventricular assist device, intravenous vasopressor support, or heart transplant indicated</w:t>
            </w:r>
          </w:p>
        </w:tc>
        <w:tc>
          <w:tcPr>
            <w:tcW w:w="2175" w:type="dxa"/>
          </w:tcPr>
          <w:p w14:paraId="030A8639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</w:t>
            </w:r>
          </w:p>
        </w:tc>
      </w:tr>
      <w:tr w:rsidR="00400E7D" w14:paraId="5850B2F1" w14:textId="77777777">
        <w:trPr>
          <w:trHeight w:val="2382"/>
        </w:trPr>
        <w:tc>
          <w:tcPr>
            <w:tcW w:w="2362" w:type="dxa"/>
          </w:tcPr>
          <w:p w14:paraId="479B39EB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Ejection fraction decreased</w:t>
            </w:r>
          </w:p>
        </w:tc>
        <w:tc>
          <w:tcPr>
            <w:tcW w:w="2362" w:type="dxa"/>
          </w:tcPr>
          <w:p w14:paraId="1A8575DE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62" w:type="dxa"/>
          </w:tcPr>
          <w:p w14:paraId="33725D4E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Resting ejection fraction (EF) 50 - 40%; 10 - 19% drop from baseline</w:t>
            </w:r>
          </w:p>
        </w:tc>
        <w:tc>
          <w:tcPr>
            <w:tcW w:w="2362" w:type="dxa"/>
          </w:tcPr>
          <w:p w14:paraId="0E318A26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Resting ejection fraction (EF) 39 - 20%; &gt;=20% drop from baseline</w:t>
            </w:r>
          </w:p>
        </w:tc>
        <w:tc>
          <w:tcPr>
            <w:tcW w:w="2362" w:type="dxa"/>
          </w:tcPr>
          <w:p w14:paraId="51A709DC" w14:textId="77777777" w:rsidR="00400E7D" w:rsidRPr="00530B26" w:rsidRDefault="00000000" w:rsidP="00530B26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0B26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Resting ejection fraction (EF) &lt;20%</w:t>
            </w:r>
          </w:p>
        </w:tc>
        <w:tc>
          <w:tcPr>
            <w:tcW w:w="2175" w:type="dxa"/>
          </w:tcPr>
          <w:p w14:paraId="0AC9A9D0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3771C95F" w14:textId="77777777" w:rsidR="00400E7D" w:rsidRDefault="00000000" w:rsidP="00530B26">
      <w:pPr>
        <w:spacing w:line="360" w:lineRule="auto"/>
        <w:jc w:val="left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br w:type="page"/>
      </w:r>
    </w:p>
    <w:p w14:paraId="12B6EC72" w14:textId="70CADAC4" w:rsidR="00400E7D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lastRenderedPageBreak/>
        <w:t xml:space="preserve">Supplementary Table </w:t>
      </w:r>
      <w:r>
        <w:rPr>
          <w:rFonts w:ascii="Times New Roman" w:eastAsia="宋体" w:hAnsi="Times New Roman" w:cs="Times New Roman"/>
          <w:b/>
          <w:sz w:val="24"/>
        </w:rPr>
        <w:t>5</w:t>
      </w:r>
      <w:r w:rsidR="0087658E">
        <w:rPr>
          <w:rFonts w:ascii="Times New Roman" w:eastAsia="宋体" w:hAnsi="Times New Roman" w:cs="Times New Roman" w:hint="eastAsia"/>
          <w:b/>
          <w:sz w:val="24"/>
        </w:rPr>
        <w:t>.</w:t>
      </w:r>
      <w:r>
        <w:rPr>
          <w:rFonts w:ascii="Times New Roman" w:eastAsia="宋体" w:hAnsi="Times New Roman" w:cs="Times New Roman"/>
          <w:b/>
          <w:sz w:val="24"/>
        </w:rPr>
        <w:t xml:space="preserve"> Electrolytes, heart rate, and concomitant QT-prolonging drugs at peak QTc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5"/>
        <w:gridCol w:w="1985"/>
        <w:gridCol w:w="1986"/>
      </w:tblGrid>
      <w:tr w:rsidR="00400E7D" w14:paraId="7E788635" w14:textId="77777777" w:rsidTr="00530B26">
        <w:trPr>
          <w:trHeight w:val="2104"/>
        </w:trPr>
        <w:tc>
          <w:tcPr>
            <w:tcW w:w="1985" w:type="dxa"/>
            <w:vAlign w:val="center"/>
          </w:tcPr>
          <w:p w14:paraId="6F15F733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>Patient ID</w:t>
            </w:r>
          </w:p>
        </w:tc>
        <w:tc>
          <w:tcPr>
            <w:tcW w:w="1985" w:type="dxa"/>
            <w:vAlign w:val="center"/>
          </w:tcPr>
          <w:p w14:paraId="509EDE10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>Peak QTc (</w:t>
            </w:r>
            <w:proofErr w:type="spellStart"/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>ms</w:t>
            </w:r>
            <w:proofErr w:type="spellEnd"/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</w:tcPr>
          <w:p w14:paraId="1B602FBE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>Serum K</w:t>
            </w:r>
            <w:r w:rsidRPr="00530B26">
              <w:rPr>
                <w:rFonts w:ascii="Times New Roman" w:eastAsia="宋体" w:hAnsi="Times New Roman" w:cs="Times New Roman" w:hint="eastAsia"/>
                <w:b/>
                <w:bCs/>
                <w:sz w:val="22"/>
                <w:szCs w:val="22"/>
                <w:vertAlign w:val="superscript"/>
              </w:rPr>
              <w:t>+</w:t>
            </w: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 xml:space="preserve"> at peak QTc (mmol/L)</w:t>
            </w:r>
          </w:p>
        </w:tc>
        <w:tc>
          <w:tcPr>
            <w:tcW w:w="1985" w:type="dxa"/>
            <w:vAlign w:val="center"/>
          </w:tcPr>
          <w:p w14:paraId="58EF8E92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>Serum Mg</w:t>
            </w: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  <w:vertAlign w:val="superscript"/>
              </w:rPr>
              <w:t>2+</w:t>
            </w: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 xml:space="preserve"> at peak QTc (mmol/L)</w:t>
            </w:r>
          </w:p>
        </w:tc>
        <w:tc>
          <w:tcPr>
            <w:tcW w:w="1985" w:type="dxa"/>
            <w:vAlign w:val="center"/>
          </w:tcPr>
          <w:p w14:paraId="192823CF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>Serum Ca</w:t>
            </w:r>
            <w:r w:rsidRPr="00530B26">
              <w:rPr>
                <w:rFonts w:ascii="Times New Roman" w:eastAsia="宋体" w:hAnsi="Times New Roman" w:cs="Times New Roman" w:hint="eastAsia"/>
                <w:b/>
                <w:bCs/>
                <w:sz w:val="22"/>
                <w:szCs w:val="22"/>
                <w:vertAlign w:val="superscript"/>
              </w:rPr>
              <w:t>2+</w:t>
            </w: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 xml:space="preserve"> at peak QTc (mmol/L)</w:t>
            </w:r>
          </w:p>
        </w:tc>
        <w:tc>
          <w:tcPr>
            <w:tcW w:w="1985" w:type="dxa"/>
            <w:vAlign w:val="center"/>
          </w:tcPr>
          <w:p w14:paraId="34F7845D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>Heart rate at peak QTc (bpm)</w:t>
            </w:r>
          </w:p>
        </w:tc>
        <w:tc>
          <w:tcPr>
            <w:tcW w:w="1986" w:type="dxa"/>
            <w:vAlign w:val="center"/>
          </w:tcPr>
          <w:p w14:paraId="5DD4112C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</w:pPr>
            <w:r w:rsidRPr="00530B26"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</w:rPr>
              <w:t>Concomitant QT-prolonging drugs</w:t>
            </w:r>
          </w:p>
        </w:tc>
      </w:tr>
      <w:tr w:rsidR="00400E7D" w14:paraId="245B39DB" w14:textId="77777777">
        <w:trPr>
          <w:trHeight w:val="929"/>
        </w:trPr>
        <w:tc>
          <w:tcPr>
            <w:tcW w:w="1985" w:type="dxa"/>
          </w:tcPr>
          <w:p w14:paraId="2434EC87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Case 2</w:t>
            </w:r>
          </w:p>
        </w:tc>
        <w:tc>
          <w:tcPr>
            <w:tcW w:w="1985" w:type="dxa"/>
          </w:tcPr>
          <w:p w14:paraId="6962A741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503</w:t>
            </w:r>
          </w:p>
        </w:tc>
        <w:tc>
          <w:tcPr>
            <w:tcW w:w="1985" w:type="dxa"/>
          </w:tcPr>
          <w:p w14:paraId="7D762317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3.83</w:t>
            </w:r>
          </w:p>
        </w:tc>
        <w:tc>
          <w:tcPr>
            <w:tcW w:w="1985" w:type="dxa"/>
          </w:tcPr>
          <w:p w14:paraId="3E15148A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985" w:type="dxa"/>
          </w:tcPr>
          <w:p w14:paraId="38652479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2.20</w:t>
            </w:r>
          </w:p>
        </w:tc>
        <w:tc>
          <w:tcPr>
            <w:tcW w:w="1985" w:type="dxa"/>
          </w:tcPr>
          <w:p w14:paraId="3F3A817A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986" w:type="dxa"/>
          </w:tcPr>
          <w:p w14:paraId="65BDC0E0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Flupentixol and Melitracen Tablets</w:t>
            </w:r>
          </w:p>
        </w:tc>
      </w:tr>
      <w:tr w:rsidR="00400E7D" w14:paraId="41825BEC" w14:textId="77777777">
        <w:trPr>
          <w:trHeight w:val="929"/>
        </w:trPr>
        <w:tc>
          <w:tcPr>
            <w:tcW w:w="1985" w:type="dxa"/>
          </w:tcPr>
          <w:p w14:paraId="7B1FA1BD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Case 4</w:t>
            </w:r>
          </w:p>
        </w:tc>
        <w:tc>
          <w:tcPr>
            <w:tcW w:w="1985" w:type="dxa"/>
          </w:tcPr>
          <w:p w14:paraId="41DE6D60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1985" w:type="dxa"/>
          </w:tcPr>
          <w:p w14:paraId="4D8EBC44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1985" w:type="dxa"/>
          </w:tcPr>
          <w:p w14:paraId="5E2B9779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985" w:type="dxa"/>
          </w:tcPr>
          <w:p w14:paraId="1117CA11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2.15</w:t>
            </w:r>
          </w:p>
        </w:tc>
        <w:tc>
          <w:tcPr>
            <w:tcW w:w="1985" w:type="dxa"/>
          </w:tcPr>
          <w:p w14:paraId="5FE643FC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986" w:type="dxa"/>
          </w:tcPr>
          <w:p w14:paraId="26C18D17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Hydroxychloroquine Sulfate Tablets</w:t>
            </w:r>
          </w:p>
        </w:tc>
      </w:tr>
      <w:tr w:rsidR="00400E7D" w14:paraId="7760B4E3" w14:textId="77777777">
        <w:trPr>
          <w:trHeight w:val="470"/>
        </w:trPr>
        <w:tc>
          <w:tcPr>
            <w:tcW w:w="1985" w:type="dxa"/>
          </w:tcPr>
          <w:p w14:paraId="2B530AE2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Case 5</w:t>
            </w:r>
          </w:p>
        </w:tc>
        <w:tc>
          <w:tcPr>
            <w:tcW w:w="1985" w:type="dxa"/>
          </w:tcPr>
          <w:p w14:paraId="7A11818A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1985" w:type="dxa"/>
          </w:tcPr>
          <w:p w14:paraId="64CE9D8A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4.09</w:t>
            </w:r>
          </w:p>
        </w:tc>
        <w:tc>
          <w:tcPr>
            <w:tcW w:w="1985" w:type="dxa"/>
          </w:tcPr>
          <w:p w14:paraId="5747206C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985" w:type="dxa"/>
          </w:tcPr>
          <w:p w14:paraId="7A1D5D7E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985" w:type="dxa"/>
          </w:tcPr>
          <w:p w14:paraId="385C06A4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86" w:type="dxa"/>
          </w:tcPr>
          <w:p w14:paraId="2C6CD815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None</w:t>
            </w:r>
          </w:p>
        </w:tc>
      </w:tr>
      <w:tr w:rsidR="00400E7D" w14:paraId="1F035C70" w14:textId="77777777">
        <w:trPr>
          <w:trHeight w:val="470"/>
        </w:trPr>
        <w:tc>
          <w:tcPr>
            <w:tcW w:w="1985" w:type="dxa"/>
          </w:tcPr>
          <w:p w14:paraId="1A440723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Case 7</w:t>
            </w:r>
          </w:p>
        </w:tc>
        <w:tc>
          <w:tcPr>
            <w:tcW w:w="1985" w:type="dxa"/>
          </w:tcPr>
          <w:p w14:paraId="0B132F62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517</w:t>
            </w:r>
          </w:p>
        </w:tc>
        <w:tc>
          <w:tcPr>
            <w:tcW w:w="1985" w:type="dxa"/>
          </w:tcPr>
          <w:p w14:paraId="28C73F44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4.55</w:t>
            </w:r>
          </w:p>
        </w:tc>
        <w:tc>
          <w:tcPr>
            <w:tcW w:w="1985" w:type="dxa"/>
          </w:tcPr>
          <w:p w14:paraId="563FA7EE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985" w:type="dxa"/>
          </w:tcPr>
          <w:p w14:paraId="7ADA0699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2.45</w:t>
            </w:r>
          </w:p>
        </w:tc>
        <w:tc>
          <w:tcPr>
            <w:tcW w:w="1985" w:type="dxa"/>
          </w:tcPr>
          <w:p w14:paraId="771FBFCE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986" w:type="dxa"/>
          </w:tcPr>
          <w:p w14:paraId="7F13DAC8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None</w:t>
            </w:r>
          </w:p>
        </w:tc>
      </w:tr>
      <w:tr w:rsidR="00400E7D" w14:paraId="1E0F435F" w14:textId="77777777">
        <w:trPr>
          <w:trHeight w:val="480"/>
        </w:trPr>
        <w:tc>
          <w:tcPr>
            <w:tcW w:w="1985" w:type="dxa"/>
          </w:tcPr>
          <w:p w14:paraId="11EB7898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Case 8</w:t>
            </w:r>
          </w:p>
        </w:tc>
        <w:tc>
          <w:tcPr>
            <w:tcW w:w="1985" w:type="dxa"/>
          </w:tcPr>
          <w:p w14:paraId="6BBFC99D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1985" w:type="dxa"/>
          </w:tcPr>
          <w:p w14:paraId="44747017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5.55</w:t>
            </w:r>
          </w:p>
        </w:tc>
        <w:tc>
          <w:tcPr>
            <w:tcW w:w="1985" w:type="dxa"/>
          </w:tcPr>
          <w:p w14:paraId="3E2C10AB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985" w:type="dxa"/>
          </w:tcPr>
          <w:p w14:paraId="49E06BCE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985" w:type="dxa"/>
          </w:tcPr>
          <w:p w14:paraId="4BB7DB93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986" w:type="dxa"/>
          </w:tcPr>
          <w:p w14:paraId="6DE02DB3" w14:textId="77777777" w:rsidR="00400E7D" w:rsidRPr="00530B26" w:rsidRDefault="00000000" w:rsidP="00530B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30B26">
              <w:rPr>
                <w:rFonts w:ascii="Times New Roman" w:eastAsia="宋体" w:hAnsi="Times New Roman" w:cs="Times New Roman"/>
                <w:sz w:val="20"/>
                <w:szCs w:val="20"/>
              </w:rPr>
              <w:t>None</w:t>
            </w:r>
          </w:p>
        </w:tc>
      </w:tr>
    </w:tbl>
    <w:p w14:paraId="75607B73" w14:textId="77777777" w:rsidR="00400E7D" w:rsidRPr="00530B26" w:rsidRDefault="00000000" w:rsidP="00530B26">
      <w:pPr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530B26">
        <w:rPr>
          <w:rFonts w:ascii="Times New Roman" w:hAnsi="Times New Roman" w:cs="Times New Roman"/>
          <w:sz w:val="20"/>
          <w:szCs w:val="20"/>
        </w:rPr>
        <w:t xml:space="preserve">NA, </w:t>
      </w:r>
      <w:proofErr w:type="gramStart"/>
      <w:r w:rsidRPr="00530B26">
        <w:rPr>
          <w:rFonts w:ascii="Times New Roman" w:hAnsi="Times New Roman" w:cs="Times New Roman"/>
          <w:sz w:val="20"/>
          <w:szCs w:val="20"/>
        </w:rPr>
        <w:t>Not</w:t>
      </w:r>
      <w:proofErr w:type="gramEnd"/>
      <w:r w:rsidRPr="00530B26">
        <w:rPr>
          <w:rFonts w:ascii="Times New Roman" w:hAnsi="Times New Roman" w:cs="Times New Roman"/>
          <w:sz w:val="20"/>
          <w:szCs w:val="20"/>
        </w:rPr>
        <w:t xml:space="preserve"> available</w:t>
      </w:r>
    </w:p>
    <w:p w14:paraId="78AFCBE4" w14:textId="77777777" w:rsidR="00400E7D" w:rsidRDefault="00400E7D">
      <w:pPr>
        <w:spacing w:line="360" w:lineRule="auto"/>
        <w:rPr>
          <w:rFonts w:ascii="Times New Roman" w:hAnsi="Times New Roman" w:cs="Times New Roman"/>
          <w:sz w:val="24"/>
        </w:rPr>
      </w:pPr>
    </w:p>
    <w:sectPr w:rsidR="00400E7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D0977" w14:textId="77777777" w:rsidR="007D7330" w:rsidRDefault="007D7330" w:rsidP="005F645C">
      <w:r>
        <w:separator/>
      </w:r>
    </w:p>
  </w:endnote>
  <w:endnote w:type="continuationSeparator" w:id="0">
    <w:p w14:paraId="09EEA6DA" w14:textId="77777777" w:rsidR="007D7330" w:rsidRDefault="007D7330" w:rsidP="005F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6A2AB" w14:textId="77777777" w:rsidR="007D7330" w:rsidRDefault="007D7330" w:rsidP="005F645C">
      <w:r>
        <w:separator/>
      </w:r>
    </w:p>
  </w:footnote>
  <w:footnote w:type="continuationSeparator" w:id="0">
    <w:p w14:paraId="622059A9" w14:textId="77777777" w:rsidR="007D7330" w:rsidRDefault="007D7330" w:rsidP="005F6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85267AE"/>
    <w:rsid w:val="00025033"/>
    <w:rsid w:val="000320AA"/>
    <w:rsid w:val="00050399"/>
    <w:rsid w:val="002022F8"/>
    <w:rsid w:val="002648B7"/>
    <w:rsid w:val="003059E6"/>
    <w:rsid w:val="003F61E6"/>
    <w:rsid w:val="00400E7D"/>
    <w:rsid w:val="0046628F"/>
    <w:rsid w:val="004A603F"/>
    <w:rsid w:val="00530B26"/>
    <w:rsid w:val="005F645C"/>
    <w:rsid w:val="007D7330"/>
    <w:rsid w:val="00874AE8"/>
    <w:rsid w:val="0087658E"/>
    <w:rsid w:val="008A221C"/>
    <w:rsid w:val="00AF6636"/>
    <w:rsid w:val="00BB612D"/>
    <w:rsid w:val="00BC0491"/>
    <w:rsid w:val="00C46066"/>
    <w:rsid w:val="00C71D1B"/>
    <w:rsid w:val="00C93D83"/>
    <w:rsid w:val="00DE7ED3"/>
    <w:rsid w:val="00F9630A"/>
    <w:rsid w:val="00FE52D2"/>
    <w:rsid w:val="07197672"/>
    <w:rsid w:val="161A6DC6"/>
    <w:rsid w:val="1712795E"/>
    <w:rsid w:val="25AB7A3A"/>
    <w:rsid w:val="2B717030"/>
    <w:rsid w:val="34BA37F6"/>
    <w:rsid w:val="34C174CD"/>
    <w:rsid w:val="35643762"/>
    <w:rsid w:val="3B9F3746"/>
    <w:rsid w:val="47644DAE"/>
    <w:rsid w:val="485267AE"/>
    <w:rsid w:val="525E180D"/>
    <w:rsid w:val="5BC052E6"/>
    <w:rsid w:val="781E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9C7BA3"/>
  <w15:docId w15:val="{65DE6B01-DD10-4B97-8532-2788C020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rPr>
      <w:sz w:val="21"/>
      <w:szCs w:val="21"/>
    </w:rPr>
  </w:style>
  <w:style w:type="paragraph" w:styleId="a6">
    <w:name w:val="header"/>
    <w:basedOn w:val="a"/>
    <w:link w:val="a7"/>
    <w:rsid w:val="005F64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5F645C"/>
    <w:rPr>
      <w:kern w:val="2"/>
      <w:sz w:val="18"/>
      <w:szCs w:val="18"/>
    </w:rPr>
  </w:style>
  <w:style w:type="paragraph" w:styleId="a8">
    <w:name w:val="footer"/>
    <w:basedOn w:val="a"/>
    <w:link w:val="a9"/>
    <w:rsid w:val="005F64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5F645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430</Words>
  <Characters>2590</Characters>
  <Application>Microsoft Office Word</Application>
  <DocSecurity>0</DocSecurity>
  <Lines>78</Lines>
  <Paragraphs>41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开心果</dc:creator>
  <cp:lastModifiedBy>小娇 崔</cp:lastModifiedBy>
  <cp:revision>18</cp:revision>
  <dcterms:created xsi:type="dcterms:W3CDTF">2026-08-17T00:34:00Z</dcterms:created>
  <dcterms:modified xsi:type="dcterms:W3CDTF">2026-08-22T09:29:00Z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C430604F6CA34C18BDED0C236357051D_11</vt:lpwstr>
  </property>
  <property fmtid="{D5CDD505-2E9C-101B-9397-08002B2CF9AE}" pid="4" name="KSOTemplateDocerSaveRecord">
    <vt:lpwstr>eyJoZGlkIjoiMWJmYmVhMGQ2YWQwOTc0ZDFkYmVkZTE0NzFkNThlYzIiLCJ1c2VySWQiOiI3OTQ3MjY3NzEifQ==</vt:lpwstr>
  </property>
</Properties>
</file>