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E00BB">
      <w:pPr>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32"/>
        </w:rPr>
        <w:t>Supplementary Protocol</w:t>
      </w:r>
    </w:p>
    <w:p w14:paraId="2826C3AA">
      <w:pPr>
        <w:rPr>
          <w:rFonts w:hint="default" w:ascii="Times New Roman Regular" w:hAnsi="Times New Roman Regular" w:cs="Times New Roman Regular"/>
          <w:color w:val="auto"/>
        </w:rPr>
      </w:pPr>
      <w:r>
        <w:rPr>
          <w:rFonts w:hint="default" w:ascii="Times New Roman Regular" w:hAnsi="Times New Roman Regular" w:cs="Times New Roman Regular"/>
          <w:color w:val="auto"/>
        </w:rPr>
        <w:t>Risk Prediction Models for Radiation Proctitis and Related Lower Gastrointestinal Radiation Toxicity in Cervical Cancer Radiotherapy: A Systematic Review and PROBAST-Based Methodological Assessment</w:t>
      </w:r>
      <w:bookmarkStart w:id="0" w:name="_GoBack"/>
      <w:bookmarkEnd w:id="0"/>
    </w:p>
    <w:p w14:paraId="0485F4EC">
      <w:pPr>
        <w:pStyle w:val="3"/>
        <w:rPr>
          <w:rFonts w:hint="default" w:ascii="Times New Roman Regular" w:hAnsi="Times New Roman Regular" w:cs="Times New Roman Regular"/>
          <w:color w:val="auto"/>
        </w:rPr>
      </w:pPr>
      <w:r>
        <w:rPr>
          <w:rFonts w:hint="default" w:ascii="Times New Roman Regular" w:hAnsi="Times New Roman Regular" w:cs="Times New Roman Regular"/>
          <w:color w:val="auto"/>
        </w:rPr>
        <w:t>Objective</w:t>
      </w:r>
    </w:p>
    <w:p w14:paraId="384778CC">
      <w:pPr>
        <w:rPr>
          <w:rFonts w:hint="default" w:ascii="Times New Roman Regular" w:hAnsi="Times New Roman Regular" w:cs="Times New Roman Regular"/>
          <w:color w:val="auto"/>
        </w:rPr>
      </w:pPr>
      <w:r>
        <w:rPr>
          <w:rFonts w:hint="default" w:ascii="Times New Roman Regular" w:hAnsi="Times New Roman Regular" w:cs="Times New Roman Regular"/>
          <w:color w:val="auto"/>
        </w:rPr>
        <w:t>To systematically identify, summarize, and critically appraise multivariable prediction models for radiation proctitis and related lower gastrointestinal radiation toxicity in patients with cervical cancer receiving radiotherapy.</w:t>
      </w:r>
    </w:p>
    <w:p w14:paraId="19DFF84D">
      <w:pPr>
        <w:pStyle w:val="3"/>
        <w:rPr>
          <w:rFonts w:hint="default" w:ascii="Times New Roman Regular" w:hAnsi="Times New Roman Regular" w:cs="Times New Roman Regular"/>
          <w:color w:val="auto"/>
        </w:rPr>
      </w:pPr>
      <w:r>
        <w:rPr>
          <w:rFonts w:hint="default" w:ascii="Times New Roman Regular" w:hAnsi="Times New Roman Regular" w:cs="Times New Roman Regular"/>
          <w:color w:val="auto"/>
        </w:rPr>
        <w:t>Eligibility Criteria</w:t>
      </w:r>
    </w:p>
    <w:p w14:paraId="68BF314B">
      <w:pPr>
        <w:rPr>
          <w:rFonts w:hint="default" w:ascii="Times New Roman Regular" w:hAnsi="Times New Roman Regular" w:cs="Times New Roman Regular"/>
          <w:color w:val="auto"/>
        </w:rPr>
      </w:pPr>
      <w:r>
        <w:rPr>
          <w:rFonts w:hint="default" w:ascii="Times New Roman Regular" w:hAnsi="Times New Roman Regular" w:cs="Times New Roman Regular"/>
          <w:color w:val="auto"/>
        </w:rPr>
        <w:t>Eligible studies included adult patients with cervical cancer and developed or validated a multivariable prediction model for one of the prespecified outcome groups: rectal toxicity, bowel or intestinal toxicity, or broader gastrointestinal toxicity. Eligible designs included cohort, case-control, cross-sectional, trial-derived, and dissertation-based studies with extractable model information. Studies reporting only risk-factor associations without model development, fewer than two predictors, unavailable full text, insufficient extractable data, reviews, editorials, conference abstracts, and case reports were excluded.</w:t>
      </w:r>
    </w:p>
    <w:p w14:paraId="7D6A9B1D">
      <w:pPr>
        <w:pStyle w:val="3"/>
        <w:rPr>
          <w:rFonts w:hint="default" w:ascii="Times New Roman Regular" w:hAnsi="Times New Roman Regular" w:cs="Times New Roman Regular"/>
          <w:color w:val="auto"/>
        </w:rPr>
      </w:pPr>
      <w:r>
        <w:rPr>
          <w:rFonts w:hint="default" w:ascii="Times New Roman Regular" w:hAnsi="Times New Roman Regular" w:cs="Times New Roman Regular"/>
          <w:color w:val="auto"/>
        </w:rPr>
        <w:t>Information Sources and Search Date</w:t>
      </w:r>
    </w:p>
    <w:p w14:paraId="3E730A92">
      <w:pPr>
        <w:rPr>
          <w:rFonts w:hint="default" w:ascii="Times New Roman Regular" w:hAnsi="Times New Roman Regular" w:cs="Times New Roman Regular"/>
          <w:color w:val="auto"/>
        </w:rPr>
      </w:pPr>
      <w:r>
        <w:rPr>
          <w:rFonts w:hint="default" w:ascii="Times New Roman Regular" w:hAnsi="Times New Roman Regular" w:cs="Times New Roman Regular"/>
          <w:color w:val="auto"/>
        </w:rPr>
        <w:t>CNKI, Wanfang, VIP, CBM, PubMed, Web of Science, Embase, and the Cochrane Library were searched from database inception to June 29, 2026. Reference lists were screened. Supplementary source checking using open-index or citation-metadata sources, including CrossRef metadata when needed, was used only to identify potentially missed records and was not treated as a primary bibliographic database search.</w:t>
      </w:r>
    </w:p>
    <w:p w14:paraId="5BB56B3A">
      <w:pPr>
        <w:pStyle w:val="3"/>
        <w:rPr>
          <w:rFonts w:hint="default" w:ascii="Times New Roman Regular" w:hAnsi="Times New Roman Regular" w:cs="Times New Roman Regular"/>
          <w:color w:val="auto"/>
        </w:rPr>
      </w:pPr>
      <w:r>
        <w:rPr>
          <w:rFonts w:hint="default" w:ascii="Times New Roman Regular" w:hAnsi="Times New Roman Regular" w:cs="Times New Roman Regular"/>
          <w:color w:val="auto"/>
        </w:rPr>
        <w:t>Outcome Hierarchy</w:t>
      </w:r>
    </w:p>
    <w:p w14:paraId="67A7856F">
      <w:pPr>
        <w:rPr>
          <w:rFonts w:hint="default" w:ascii="Times New Roman Regular" w:hAnsi="Times New Roman Regular" w:cs="Times New Roman Regular"/>
          <w:color w:val="auto"/>
        </w:rPr>
      </w:pPr>
      <w:r>
        <w:rPr>
          <w:rFonts w:hint="default" w:ascii="Times New Roman Regular" w:hAnsi="Times New Roman Regular" w:cs="Times New Roman Regular"/>
          <w:color w:val="auto"/>
        </w:rPr>
        <w:t>Outcomes were stratified into rectal toxicity, bowel or intestinal toxicity, and broader gastrointestinal toxicity. Acute versus late timing and grading systems, including CTCAE, RTOG, VRS, SARE-SS, C-MOSES, and study-specific composite scores, were extracted separately and considered during synthesis.</w:t>
      </w:r>
    </w:p>
    <w:p w14:paraId="2FBF2DC2">
      <w:pPr>
        <w:pStyle w:val="3"/>
        <w:rPr>
          <w:rFonts w:hint="default" w:ascii="Times New Roman Regular" w:hAnsi="Times New Roman Regular" w:cs="Times New Roman Regular"/>
          <w:color w:val="auto"/>
        </w:rPr>
      </w:pPr>
      <w:r>
        <w:rPr>
          <w:rFonts w:hint="default" w:ascii="Times New Roman Regular" w:hAnsi="Times New Roman Regular" w:cs="Times New Roman Regular"/>
          <w:color w:val="auto"/>
        </w:rPr>
        <w:t>Data Items</w:t>
      </w:r>
    </w:p>
    <w:p w14:paraId="55CAF197">
      <w:pPr>
        <w:rPr>
          <w:rFonts w:hint="default" w:ascii="Times New Roman Regular" w:hAnsi="Times New Roman Regular" w:cs="Times New Roman Regular"/>
          <w:color w:val="auto"/>
        </w:rPr>
      </w:pPr>
      <w:r>
        <w:rPr>
          <w:rFonts w:hint="default" w:ascii="Times New Roman Regular" w:hAnsi="Times New Roman Regular" w:cs="Times New Roman Regular"/>
          <w:color w:val="auto"/>
        </w:rPr>
        <w:t>Data extraction followed the CHARMS framework and included study design, population, source of data, outcome group, acute or late timing, grading system, outcome definition, outcome assessment, candidate predictors, handling of continuous and high-dimensional predictors, sample size, event rate, missing-data handling, modeling method, validation approach, discrimination, calibration, decision-curve analysis, and final predictors.</w:t>
      </w:r>
    </w:p>
    <w:p w14:paraId="40686324">
      <w:pPr>
        <w:pStyle w:val="3"/>
        <w:rPr>
          <w:rFonts w:hint="default" w:ascii="Times New Roman Regular" w:hAnsi="Times New Roman Regular" w:cs="Times New Roman Regular"/>
          <w:color w:val="auto"/>
        </w:rPr>
      </w:pPr>
      <w:r>
        <w:rPr>
          <w:rFonts w:hint="default" w:ascii="Times New Roman Regular" w:hAnsi="Times New Roman Regular" w:cs="Times New Roman Regular"/>
          <w:color w:val="auto"/>
        </w:rPr>
        <w:t>Study, Model, and Algorithm-Variant Definitions</w:t>
      </w:r>
    </w:p>
    <w:p w14:paraId="31C0AA65">
      <w:pPr>
        <w:rPr>
          <w:rFonts w:hint="default" w:ascii="Times New Roman Regular" w:hAnsi="Times New Roman Regular" w:cs="Times New Roman Regular"/>
          <w:color w:val="auto"/>
        </w:rPr>
      </w:pPr>
      <w:r>
        <w:rPr>
          <w:rFonts w:hint="default" w:ascii="Times New Roman Regular" w:hAnsi="Times New Roman Regular" w:cs="Times New Roman Regular"/>
          <w:color w:val="auto"/>
        </w:rPr>
        <w:t>A study was defined as one eligible publication, thesis, or trial-derived report. A prediction model was defined as a unique combination of source dataset or cohort, predicted endpoint, and modelling algorithm that yielded a distinct prediction equation, risk score, nomogram, or reported performance estimate. Multiple algorithms fitted to the same dataset and endpoint were treated as algorithm variants and were not interpreted as independent studies; they were counted as separate models only when the original authors presented separate final predictive models or separate model-level performance estimates. For this reason, model counts were reported conservatively as at least 25 models.</w:t>
      </w:r>
    </w:p>
    <w:p w14:paraId="41F9D565">
      <w:pPr>
        <w:pStyle w:val="3"/>
        <w:rPr>
          <w:rFonts w:hint="default" w:ascii="Times New Roman Regular" w:hAnsi="Times New Roman Regular" w:cs="Times New Roman Regular"/>
          <w:color w:val="auto"/>
        </w:rPr>
      </w:pPr>
      <w:r>
        <w:rPr>
          <w:rFonts w:hint="default" w:ascii="Times New Roman Regular" w:hAnsi="Times New Roman Regular" w:cs="Times New Roman Regular"/>
          <w:color w:val="auto"/>
        </w:rPr>
        <w:t>Duplicate or Overlapping Cohort Screening</w:t>
      </w:r>
    </w:p>
    <w:p w14:paraId="1891AAE4">
      <w:pPr>
        <w:rPr>
          <w:rFonts w:hint="default" w:ascii="Times New Roman Regular" w:hAnsi="Times New Roman Regular" w:cs="Times New Roman Regular"/>
          <w:color w:val="auto"/>
        </w:rPr>
      </w:pPr>
      <w:r>
        <w:rPr>
          <w:rFonts w:hint="default" w:ascii="Times New Roman Regular" w:hAnsi="Times New Roman Regular" w:cs="Times New Roman Regular"/>
          <w:color w:val="auto"/>
        </w:rPr>
        <w:t>Potential duplicate or overlapping cohorts were screened by cross-checking author names, author groups, institution or hospital, recruitment period, sample size, treatment setting, endpoint, predictor set, and modelling approach. When overlap was suspected, the more complete or peer-reviewed record was prioritized for interpretation unless separate endpoints or model outputs justified retaining both records descriptively.</w:t>
      </w:r>
    </w:p>
    <w:p w14:paraId="3D195B0B">
      <w:pPr>
        <w:pStyle w:val="3"/>
        <w:rPr>
          <w:rFonts w:hint="default" w:ascii="Times New Roman Regular" w:hAnsi="Times New Roman Regular" w:cs="Times New Roman Regular"/>
          <w:color w:val="auto"/>
        </w:rPr>
      </w:pPr>
      <w:r>
        <w:rPr>
          <w:rFonts w:hint="default" w:ascii="Times New Roman Regular" w:hAnsi="Times New Roman Regular" w:cs="Times New Roman Regular"/>
          <w:color w:val="auto"/>
        </w:rPr>
        <w:t>Risk-of-Bias Assessment</w:t>
      </w:r>
    </w:p>
    <w:p w14:paraId="68E84829">
      <w:pPr>
        <w:rPr>
          <w:rFonts w:hint="default" w:ascii="Times New Roman Regular" w:hAnsi="Times New Roman Regular" w:cs="Times New Roman Regular"/>
          <w:color w:val="auto"/>
        </w:rPr>
      </w:pPr>
      <w:r>
        <w:rPr>
          <w:rFonts w:hint="default" w:ascii="Times New Roman Regular" w:hAnsi="Times New Roman Regular" w:cs="Times New Roman Regular"/>
          <w:color w:val="auto"/>
        </w:rPr>
        <w:t>Risk of bias and applicability were assessed with PROBAST across participant, predictor, outcome, and analysis domains. Overall judgments followed PROBAST guidance.</w:t>
      </w:r>
    </w:p>
    <w:p w14:paraId="1C76988A">
      <w:pPr>
        <w:pStyle w:val="3"/>
        <w:rPr>
          <w:rFonts w:hint="default" w:ascii="Times New Roman Regular" w:hAnsi="Times New Roman Regular" w:cs="Times New Roman Regular"/>
          <w:color w:val="auto"/>
        </w:rPr>
      </w:pPr>
      <w:r>
        <w:rPr>
          <w:rFonts w:hint="default" w:ascii="Times New Roman Regular" w:hAnsi="Times New Roman Regular" w:cs="Times New Roman Regular"/>
          <w:color w:val="auto"/>
        </w:rPr>
        <w:t>Synthesis Plan</w:t>
      </w:r>
    </w:p>
    <w:p w14:paraId="23F870DC">
      <w:pPr>
        <w:rPr>
          <w:rFonts w:hint="default" w:ascii="Times New Roman Regular" w:hAnsi="Times New Roman Regular" w:cs="Times New Roman Regular"/>
          <w:color w:val="auto"/>
        </w:rPr>
      </w:pPr>
      <w:r>
        <w:rPr>
          <w:rFonts w:hint="default" w:ascii="Times New Roman Regular" w:hAnsi="Times New Roman Regular" w:cs="Times New Roman Regular"/>
          <w:color w:val="auto"/>
        </w:rPr>
        <w:t>Because outcomes, timing, predictors, modeling methods, validation strategies, and performance metrics were expected to be heterogeneous, meta-analysis was not planned. Evidence was synthesized descriptively at study and model level.</w:t>
      </w:r>
    </w:p>
    <w:p w14:paraId="48536733">
      <w:pPr>
        <w:pStyle w:val="3"/>
        <w:rPr>
          <w:rFonts w:hint="default" w:ascii="Times New Roman Regular" w:hAnsi="Times New Roman Regular" w:cs="Times New Roman Regular"/>
          <w:color w:val="auto"/>
        </w:rPr>
      </w:pPr>
      <w:r>
        <w:rPr>
          <w:rFonts w:hint="default" w:ascii="Times New Roman Regular" w:hAnsi="Times New Roman Regular" w:cs="Times New Roman Regular"/>
          <w:color w:val="auto"/>
        </w:rPr>
        <w:t>Registration</w:t>
      </w:r>
    </w:p>
    <w:p w14:paraId="03F2B049">
      <w:pPr>
        <w:rPr>
          <w:rFonts w:hint="default" w:ascii="Times New Roman Regular" w:hAnsi="Times New Roman Regular" w:cs="Times New Roman Regular"/>
          <w:color w:val="auto"/>
        </w:rPr>
      </w:pPr>
      <w:r>
        <w:rPr>
          <w:rFonts w:hint="default" w:ascii="Times New Roman Regular" w:hAnsi="Times New Roman Regular" w:cs="Times New Roman Regular"/>
          <w:color w:val="auto"/>
        </w:rPr>
        <w:t>The review was not prospectively registered in PROSPERO. The protocol was used as an internal predefined protocol for the final search, screening, extraction, synthesis, and methodological appraisal steps.</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ＭＳ ゴシック">
    <w:altName w:val="苹方-简"/>
    <w:panose1 w:val="00000000000000000000"/>
    <w:charset w:val="00"/>
    <w:family w:val="auto"/>
    <w:pitch w:val="default"/>
    <w:sig w:usb0="00000000" w:usb1="00000000" w:usb2="00000000" w:usb3="00000000" w:csb0="00000000" w:csb1="00000000"/>
  </w:font>
  <w:font w:name="Times New Roman Regular">
    <w:panose1 w:val="02020503050405090304"/>
    <w:charset w:val="00"/>
    <w:family w:val="auto"/>
    <w:pitch w:val="default"/>
    <w:sig w:usb0="E0000AFF" w:usb1="00007843"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3BE29A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30"/>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4"/>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X</cp:lastModifiedBy>
  <dcterms:modified xsi:type="dcterms:W3CDTF">2026-07-04T20:49:03Z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1341AE9A5E2E3CD33F01496A26552D84_42</vt:lpwstr>
  </property>
</Properties>
</file>