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EFF09F6">
      <w:pPr>
        <w:rPr>
          <w:rFonts w:hint="default" w:ascii="Arial" w:hAnsi="Arial" w:cs="Arial" w:eastAsiaTheme="minorEastAsia"/>
          <w:sz w:val="24"/>
          <w:highlight w:val="none"/>
          <w:lang w:val="en-US" w:eastAsia="zh-CN"/>
        </w:rPr>
      </w:pPr>
      <w:r>
        <w:rPr>
          <w:rFonts w:hint="eastAsia" w:ascii="Arial" w:hAnsi="Arial" w:cs="Arial"/>
          <w:b/>
          <w:bCs/>
          <w:sz w:val="24"/>
          <w:highlight w:val="none"/>
        </w:rPr>
        <w:t>Supplementary Figures</w:t>
      </w:r>
      <w:r>
        <w:rPr>
          <w:rFonts w:hint="eastAsia" w:ascii="Arial" w:hAnsi="Arial" w:cs="Arial"/>
          <w:b/>
          <w:bCs/>
          <w:sz w:val="24"/>
          <w:highlight w:val="none"/>
          <w:lang w:val="en-US" w:eastAsia="zh-CN"/>
        </w:rPr>
        <w:t xml:space="preserve"> and Tables</w:t>
      </w:r>
    </w:p>
    <w:p w14:paraId="2EFF09F7">
      <w:pPr>
        <w:jc w:val="both"/>
        <w:rPr>
          <w:rFonts w:ascii="Arial" w:hAnsi="Arial" w:cs="Arial"/>
          <w:b/>
          <w:bCs/>
          <w:sz w:val="24"/>
          <w:highlight w:val="none"/>
        </w:rPr>
      </w:pPr>
      <w:r>
        <w:rPr>
          <w:rFonts w:ascii="Arial" w:hAnsi="Arial" w:cs="Arial"/>
          <w:b/>
          <w:bCs/>
          <w:sz w:val="24"/>
          <w:highlight w:val="none"/>
        </w:rPr>
        <w:drawing>
          <wp:inline distT="0" distB="0" distL="114300" distR="114300">
            <wp:extent cx="4356100" cy="4290060"/>
            <wp:effectExtent l="0" t="0" r="6350" b="15240"/>
            <wp:docPr id="37" name="图片 37" descr="Supplementary 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descr="Supplementary Figure S1"/>
                    <pic:cNvPicPr>
                      <a:picLocks noChangeAspect="1"/>
                    </pic:cNvPicPr>
                  </pic:nvPicPr>
                  <pic:blipFill>
                    <a:blip r:embed="rId4"/>
                    <a:stretch>
                      <a:fillRect/>
                    </a:stretch>
                  </pic:blipFill>
                  <pic:spPr>
                    <a:xfrm>
                      <a:off x="0" y="0"/>
                      <a:ext cx="4356100" cy="4290060"/>
                    </a:xfrm>
                    <a:prstGeom prst="rect">
                      <a:avLst/>
                    </a:prstGeom>
                  </pic:spPr>
                </pic:pic>
              </a:graphicData>
            </a:graphic>
          </wp:inline>
        </w:drawing>
      </w:r>
    </w:p>
    <w:p w14:paraId="2EFF09F8">
      <w:pPr>
        <w:rPr>
          <w:rFonts w:ascii="Arial" w:hAnsi="Arial" w:cs="Arial"/>
          <w:b/>
          <w:bCs/>
          <w:sz w:val="24"/>
          <w:highlight w:val="none"/>
        </w:rPr>
      </w:pPr>
      <w:r>
        <w:rPr>
          <w:rFonts w:hint="eastAsia" w:ascii="Arial" w:hAnsi="Arial" w:cs="Arial"/>
          <w:b/>
          <w:bCs/>
          <w:sz w:val="24"/>
          <w:highlight w:val="none"/>
        </w:rPr>
        <w:t xml:space="preserve">Supplementary Figure S1. </w:t>
      </w:r>
    </w:p>
    <w:p w14:paraId="2EFF09F9">
      <w:pPr>
        <w:rPr>
          <w:rFonts w:ascii="Arial" w:hAnsi="Arial" w:cs="Arial"/>
          <w:sz w:val="24"/>
          <w:highlight w:val="none"/>
        </w:rPr>
      </w:pPr>
      <w:r>
        <w:rPr>
          <w:rFonts w:hint="eastAsia" w:ascii="Arial" w:hAnsi="Arial" w:cs="Arial"/>
          <w:sz w:val="24"/>
          <w:highlight w:val="none"/>
        </w:rPr>
        <w:t>Flow chart. Identified marker genes of CRC using systematic bioinformatic analysis. Identified the potential therapeutic drugs via CMap analysis.</w:t>
      </w:r>
    </w:p>
    <w:p w14:paraId="2EFF0A06">
      <w:pPr>
        <w:jc w:val="both"/>
        <w:rPr>
          <w:rFonts w:ascii="Arial" w:hAnsi="Arial" w:cs="Arial"/>
          <w:b/>
          <w:bCs/>
          <w:sz w:val="24"/>
          <w:highlight w:val="none"/>
        </w:rPr>
      </w:pPr>
      <w:r>
        <w:rPr>
          <w:rFonts w:ascii="Arial" w:hAnsi="Arial" w:cs="Arial"/>
          <w:b/>
          <w:bCs/>
          <w:sz w:val="24"/>
          <w:highlight w:val="none"/>
        </w:rPr>
        <w:drawing>
          <wp:inline distT="0" distB="0" distL="114300" distR="114300">
            <wp:extent cx="5261610" cy="2457450"/>
            <wp:effectExtent l="0" t="0" r="15240" b="0"/>
            <wp:docPr id="38" name="图片 38" descr="Supplementary 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Supplementary Figure S2"/>
                    <pic:cNvPicPr>
                      <a:picLocks noChangeAspect="1"/>
                    </pic:cNvPicPr>
                  </pic:nvPicPr>
                  <pic:blipFill>
                    <a:blip r:embed="rId5"/>
                    <a:stretch>
                      <a:fillRect/>
                    </a:stretch>
                  </pic:blipFill>
                  <pic:spPr>
                    <a:xfrm>
                      <a:off x="0" y="0"/>
                      <a:ext cx="5261610" cy="2457450"/>
                    </a:xfrm>
                    <a:prstGeom prst="rect">
                      <a:avLst/>
                    </a:prstGeom>
                  </pic:spPr>
                </pic:pic>
              </a:graphicData>
            </a:graphic>
          </wp:inline>
        </w:drawing>
      </w:r>
    </w:p>
    <w:p w14:paraId="2EFF0A07">
      <w:pPr>
        <w:rPr>
          <w:rFonts w:ascii="Arial" w:hAnsi="Arial" w:cs="Arial"/>
          <w:b/>
          <w:bCs/>
          <w:sz w:val="24"/>
          <w:highlight w:val="none"/>
        </w:rPr>
      </w:pPr>
      <w:r>
        <w:rPr>
          <w:rFonts w:hint="eastAsia" w:ascii="Arial" w:hAnsi="Arial" w:cs="Arial"/>
          <w:b/>
          <w:bCs/>
          <w:sz w:val="24"/>
          <w:highlight w:val="none"/>
        </w:rPr>
        <w:t xml:space="preserve">Supplementary Figure S2. </w:t>
      </w:r>
    </w:p>
    <w:p w14:paraId="2EFF0A08">
      <w:pPr>
        <w:rPr>
          <w:rFonts w:ascii="Arial" w:hAnsi="Arial" w:cs="Arial"/>
          <w:sz w:val="24"/>
          <w:highlight w:val="none"/>
        </w:rPr>
      </w:pPr>
      <w:r>
        <w:rPr>
          <w:rFonts w:hint="eastAsia" w:ascii="Arial" w:hAnsi="Arial" w:cs="Arial"/>
          <w:sz w:val="24"/>
          <w:highlight w:val="none"/>
        </w:rPr>
        <w:t xml:space="preserve">Quantification of cell cycle changes induced by mefloquine on HCT116 and RKO. Each experiment was repeated at least three times, and the data were presented as mean values with SD. </w:t>
      </w:r>
    </w:p>
    <w:p w14:paraId="2EFF0A09">
      <w:pPr>
        <w:rPr>
          <w:rFonts w:ascii="Arial" w:hAnsi="Arial" w:cs="Arial"/>
          <w:b/>
          <w:bCs/>
          <w:sz w:val="24"/>
          <w:highlight w:val="none"/>
        </w:rPr>
      </w:pPr>
    </w:p>
    <w:p w14:paraId="2EFF0A0A">
      <w:pPr>
        <w:rPr>
          <w:rFonts w:ascii="Arial" w:hAnsi="Arial" w:cs="Arial"/>
          <w:b/>
          <w:bCs/>
          <w:sz w:val="24"/>
          <w:highlight w:val="none"/>
        </w:rPr>
      </w:pPr>
      <w:r>
        <w:rPr>
          <w:rFonts w:ascii="Arial" w:hAnsi="Arial" w:cs="Arial"/>
          <w:b/>
          <w:bCs/>
          <w:sz w:val="24"/>
          <w:highlight w:val="none"/>
        </w:rPr>
        <w:drawing>
          <wp:inline distT="0" distB="0" distL="114300" distR="114300">
            <wp:extent cx="5261610" cy="2879090"/>
            <wp:effectExtent l="0" t="0" r="15240" b="16510"/>
            <wp:docPr id="39" name="图片 39" descr="Supplementary Figure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9" descr="Supplementary Figure S3"/>
                    <pic:cNvPicPr>
                      <a:picLocks noChangeAspect="1"/>
                    </pic:cNvPicPr>
                  </pic:nvPicPr>
                  <pic:blipFill>
                    <a:blip r:embed="rId6"/>
                    <a:stretch>
                      <a:fillRect/>
                    </a:stretch>
                  </pic:blipFill>
                  <pic:spPr>
                    <a:xfrm>
                      <a:off x="0" y="0"/>
                      <a:ext cx="5261610" cy="2879090"/>
                    </a:xfrm>
                    <a:prstGeom prst="rect">
                      <a:avLst/>
                    </a:prstGeom>
                  </pic:spPr>
                </pic:pic>
              </a:graphicData>
            </a:graphic>
          </wp:inline>
        </w:drawing>
      </w:r>
    </w:p>
    <w:p w14:paraId="2EFF0A0B">
      <w:pPr>
        <w:rPr>
          <w:rFonts w:ascii="Arial" w:hAnsi="Arial" w:cs="Arial"/>
          <w:b/>
          <w:bCs/>
          <w:sz w:val="24"/>
          <w:highlight w:val="none"/>
        </w:rPr>
      </w:pPr>
      <w:r>
        <w:rPr>
          <w:rFonts w:hint="eastAsia" w:ascii="Arial" w:hAnsi="Arial" w:cs="Arial"/>
          <w:b/>
          <w:bCs/>
          <w:sz w:val="24"/>
          <w:highlight w:val="none"/>
        </w:rPr>
        <w:t xml:space="preserve">Supplementary Figure S3. </w:t>
      </w:r>
    </w:p>
    <w:p w14:paraId="2EFF0A0C">
      <w:pPr>
        <w:rPr>
          <w:rFonts w:ascii="Arial" w:hAnsi="Arial" w:cs="Arial"/>
          <w:sz w:val="24"/>
          <w:highlight w:val="none"/>
        </w:rPr>
      </w:pPr>
      <w:r>
        <w:rPr>
          <w:rFonts w:hint="eastAsia" w:ascii="Arial" w:hAnsi="Arial" w:cs="Arial"/>
          <w:sz w:val="24"/>
          <w:highlight w:val="none"/>
        </w:rPr>
        <w:t>Quantification of apoptosis rate induced by mefloquine on HCT116 and RKO. Each experiment was repeated at least three times, and the data were presented as mean values with SD, and *P &lt; 0.05, **P &lt; 0.01.</w:t>
      </w:r>
    </w:p>
    <w:p w14:paraId="2EFF0A0D">
      <w:pPr>
        <w:rPr>
          <w:rFonts w:ascii="Arial" w:hAnsi="Arial" w:cs="Arial"/>
          <w:b/>
          <w:bCs/>
          <w:sz w:val="24"/>
          <w:highlight w:val="none"/>
        </w:rPr>
      </w:pPr>
    </w:p>
    <w:p w14:paraId="2EFF0A0E">
      <w:pPr>
        <w:rPr>
          <w:rFonts w:ascii="Arial" w:hAnsi="Arial" w:cs="Arial"/>
          <w:b/>
          <w:bCs/>
          <w:sz w:val="24"/>
          <w:highlight w:val="none"/>
        </w:rPr>
      </w:pPr>
    </w:p>
    <w:p w14:paraId="2EFF0A0F">
      <w:pPr>
        <w:rPr>
          <w:rFonts w:ascii="Arial" w:hAnsi="Arial" w:cs="Arial"/>
          <w:b/>
          <w:bCs/>
          <w:sz w:val="24"/>
          <w:highlight w:val="none"/>
        </w:rPr>
      </w:pPr>
    </w:p>
    <w:p w14:paraId="2EFF0A10">
      <w:pPr>
        <w:rPr>
          <w:rFonts w:ascii="Arial" w:hAnsi="Arial" w:cs="Arial"/>
          <w:b/>
          <w:bCs/>
          <w:sz w:val="24"/>
          <w:highlight w:val="none"/>
        </w:rPr>
      </w:pPr>
    </w:p>
    <w:p w14:paraId="2EFF0A11">
      <w:pPr>
        <w:rPr>
          <w:rFonts w:ascii="Arial" w:hAnsi="Arial" w:cs="Arial"/>
          <w:b/>
          <w:bCs/>
          <w:sz w:val="24"/>
          <w:highlight w:val="none"/>
        </w:rPr>
      </w:pPr>
    </w:p>
    <w:p w14:paraId="2EFF0A12">
      <w:pPr>
        <w:rPr>
          <w:rFonts w:ascii="Arial" w:hAnsi="Arial" w:cs="Arial"/>
          <w:b/>
          <w:bCs/>
          <w:sz w:val="24"/>
          <w:highlight w:val="none"/>
        </w:rPr>
      </w:pPr>
      <w:r>
        <w:rPr>
          <w:highlight w:val="none"/>
        </w:rPr>
        <w:drawing>
          <wp:inline distT="0" distB="0" distL="114300" distR="114300">
            <wp:extent cx="5261610" cy="2849245"/>
            <wp:effectExtent l="0" t="0" r="15240" b="8255"/>
            <wp:docPr id="40" name="图片 40" descr="Supplementary Figure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Supplementary Figure S4"/>
                    <pic:cNvPicPr>
                      <a:picLocks noChangeAspect="1"/>
                    </pic:cNvPicPr>
                  </pic:nvPicPr>
                  <pic:blipFill>
                    <a:blip r:embed="rId7"/>
                    <a:stretch>
                      <a:fillRect/>
                    </a:stretch>
                  </pic:blipFill>
                  <pic:spPr>
                    <a:xfrm>
                      <a:off x="0" y="0"/>
                      <a:ext cx="5261610" cy="2849245"/>
                    </a:xfrm>
                    <a:prstGeom prst="rect">
                      <a:avLst/>
                    </a:prstGeom>
                  </pic:spPr>
                </pic:pic>
              </a:graphicData>
            </a:graphic>
          </wp:inline>
        </w:drawing>
      </w:r>
    </w:p>
    <w:p w14:paraId="2EFF0A13">
      <w:pPr>
        <w:rPr>
          <w:rFonts w:ascii="Arial" w:hAnsi="Arial" w:cs="Arial"/>
          <w:b/>
          <w:bCs/>
          <w:sz w:val="24"/>
          <w:highlight w:val="none"/>
        </w:rPr>
      </w:pPr>
      <w:r>
        <w:rPr>
          <w:rFonts w:hint="eastAsia" w:ascii="Arial" w:hAnsi="Arial" w:cs="Arial"/>
          <w:b/>
          <w:bCs/>
          <w:sz w:val="24"/>
          <w:highlight w:val="none"/>
        </w:rPr>
        <w:t xml:space="preserve">Supplementary Figure S4. </w:t>
      </w:r>
    </w:p>
    <w:p w14:paraId="2EFF0A14">
      <w:pPr>
        <w:rPr>
          <w:rFonts w:ascii="Arial" w:hAnsi="Arial" w:cs="Arial"/>
          <w:sz w:val="24"/>
          <w:highlight w:val="none"/>
        </w:rPr>
      </w:pPr>
      <w:r>
        <w:rPr>
          <w:rFonts w:hint="eastAsia" w:ascii="Arial" w:hAnsi="Arial" w:cs="Arial"/>
          <w:sz w:val="24"/>
          <w:highlight w:val="none"/>
        </w:rPr>
        <w:t>The body weights of mice with xenograft tumors was monitored. "Ctrl" indicated the control group. The data were presented as mean values with SD.</w:t>
      </w:r>
    </w:p>
    <w:p w14:paraId="2EFF0A15">
      <w:pPr>
        <w:rPr>
          <w:rFonts w:ascii="Arial" w:hAnsi="Arial" w:cs="Arial"/>
          <w:b/>
          <w:bCs/>
          <w:sz w:val="24"/>
          <w:highlight w:val="none"/>
        </w:rPr>
      </w:pPr>
    </w:p>
    <w:p w14:paraId="2EFF0A16">
      <w:pPr>
        <w:rPr>
          <w:rFonts w:ascii="Arial" w:hAnsi="Arial" w:cs="Arial"/>
          <w:b/>
          <w:bCs/>
          <w:sz w:val="24"/>
          <w:highlight w:val="none"/>
        </w:rPr>
      </w:pPr>
      <w:r>
        <w:rPr>
          <w:rFonts w:ascii="Arial" w:hAnsi="Arial" w:cs="Arial"/>
          <w:b/>
          <w:bCs/>
          <w:sz w:val="24"/>
          <w:highlight w:val="none"/>
        </w:rPr>
        <w:drawing>
          <wp:inline distT="0" distB="0" distL="114300" distR="114300">
            <wp:extent cx="5261610" cy="2678430"/>
            <wp:effectExtent l="0" t="0" r="15240" b="7620"/>
            <wp:docPr id="41" name="图片 41" descr="Supplementary Figure 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Supplementary Figure S5"/>
                    <pic:cNvPicPr>
                      <a:picLocks noChangeAspect="1"/>
                    </pic:cNvPicPr>
                  </pic:nvPicPr>
                  <pic:blipFill>
                    <a:blip r:embed="rId8"/>
                    <a:stretch>
                      <a:fillRect/>
                    </a:stretch>
                  </pic:blipFill>
                  <pic:spPr>
                    <a:xfrm>
                      <a:off x="0" y="0"/>
                      <a:ext cx="5261610" cy="2678430"/>
                    </a:xfrm>
                    <a:prstGeom prst="rect">
                      <a:avLst/>
                    </a:prstGeom>
                  </pic:spPr>
                </pic:pic>
              </a:graphicData>
            </a:graphic>
          </wp:inline>
        </w:drawing>
      </w:r>
    </w:p>
    <w:p w14:paraId="2EFF0A17">
      <w:pPr>
        <w:rPr>
          <w:rFonts w:ascii="Arial" w:hAnsi="Arial" w:cs="Arial"/>
          <w:b/>
          <w:bCs/>
          <w:sz w:val="24"/>
          <w:highlight w:val="none"/>
        </w:rPr>
      </w:pPr>
      <w:r>
        <w:rPr>
          <w:rFonts w:hint="eastAsia" w:ascii="Arial" w:hAnsi="Arial" w:cs="Arial"/>
          <w:b/>
          <w:bCs/>
          <w:sz w:val="24"/>
          <w:highlight w:val="none"/>
        </w:rPr>
        <w:t xml:space="preserve">Supplementary Figure S5. </w:t>
      </w:r>
    </w:p>
    <w:p w14:paraId="2EFF0A18">
      <w:pPr>
        <w:rPr>
          <w:rFonts w:ascii="Arial" w:hAnsi="Arial" w:cs="Arial"/>
          <w:b/>
          <w:bCs/>
          <w:sz w:val="24"/>
          <w:highlight w:val="none"/>
        </w:rPr>
      </w:pPr>
      <w:r>
        <w:rPr>
          <w:rFonts w:hint="eastAsia" w:ascii="Arial" w:hAnsi="Arial" w:cs="Arial"/>
          <w:sz w:val="24"/>
          <w:highlight w:val="none"/>
        </w:rPr>
        <w:t>After treated by mefloquine, the expression of CRC</w:t>
      </w:r>
      <w:r>
        <w:rPr>
          <w:rFonts w:ascii="Arial" w:hAnsi="Arial" w:cs="Arial"/>
          <w:sz w:val="24"/>
          <w:highlight w:val="none"/>
        </w:rPr>
        <w:t>’</w:t>
      </w:r>
      <w:r>
        <w:rPr>
          <w:rFonts w:hint="eastAsia" w:ascii="Arial" w:hAnsi="Arial" w:cs="Arial"/>
          <w:sz w:val="24"/>
          <w:highlight w:val="none"/>
        </w:rPr>
        <w:t>s marker genes in DLD1 and SW620 were analyzed. The data were presented as mean values with SD, and *P &lt; 0.05, **P &lt; 0.01.</w:t>
      </w:r>
    </w:p>
    <w:p w14:paraId="419C45F3">
      <w:pPr>
        <w:keepNext w:val="0"/>
        <w:keepLines w:val="0"/>
        <w:pageBreakBefore w:val="0"/>
        <w:widowControl w:val="0"/>
        <w:kinsoku/>
        <w:wordWrap/>
        <w:overflowPunct/>
        <w:topLinePunct w:val="0"/>
        <w:autoSpaceDE/>
        <w:autoSpaceDN/>
        <w:bidi w:val="0"/>
        <w:adjustRightInd/>
        <w:snapToGrid/>
        <w:ind w:left="0" w:firstLine="0" w:firstLineChars="0"/>
        <w:jc w:val="both"/>
        <w:textAlignment w:val="auto"/>
        <w:rPr>
          <w:rFonts w:hint="default" w:ascii="Arial" w:hAnsi="Arial" w:cs="Arial"/>
          <w:color w:val="auto"/>
          <w:sz w:val="24"/>
          <w:szCs w:val="24"/>
          <w:highlight w:val="none"/>
          <w:lang w:val="en-US" w:eastAsia="zh-CN"/>
        </w:rPr>
      </w:pPr>
    </w:p>
    <w:p w14:paraId="38AF2D3F">
      <w:pPr>
        <w:keepNext w:val="0"/>
        <w:keepLines w:val="0"/>
        <w:pageBreakBefore w:val="0"/>
        <w:widowControl w:val="0"/>
        <w:kinsoku/>
        <w:wordWrap/>
        <w:overflowPunct/>
        <w:topLinePunct w:val="0"/>
        <w:autoSpaceDE/>
        <w:autoSpaceDN/>
        <w:bidi w:val="0"/>
        <w:adjustRightInd/>
        <w:snapToGrid/>
        <w:ind w:left="0" w:firstLine="0" w:firstLineChars="0"/>
        <w:jc w:val="both"/>
        <w:textAlignment w:val="auto"/>
        <w:rPr>
          <w:rFonts w:hint="default" w:ascii="Arial" w:hAnsi="Arial" w:cs="Arial"/>
          <w:color w:val="auto"/>
          <w:sz w:val="24"/>
          <w:szCs w:val="24"/>
          <w:highlight w:val="none"/>
          <w:lang w:val="en-US" w:eastAsia="zh-CN"/>
        </w:rPr>
      </w:pPr>
    </w:p>
    <w:p w14:paraId="0A11D47E">
      <w:pPr>
        <w:keepNext w:val="0"/>
        <w:keepLines w:val="0"/>
        <w:pageBreakBefore w:val="0"/>
        <w:widowControl w:val="0"/>
        <w:kinsoku/>
        <w:wordWrap/>
        <w:overflowPunct/>
        <w:topLinePunct w:val="0"/>
        <w:autoSpaceDE/>
        <w:autoSpaceDN/>
        <w:bidi w:val="0"/>
        <w:adjustRightInd/>
        <w:snapToGrid/>
        <w:ind w:left="0" w:firstLine="0" w:firstLineChars="0"/>
        <w:jc w:val="both"/>
        <w:textAlignment w:val="auto"/>
        <w:rPr>
          <w:rFonts w:hint="default" w:ascii="Arial" w:hAnsi="Arial" w:cs="Arial"/>
          <w:color w:val="auto"/>
          <w:sz w:val="24"/>
          <w:szCs w:val="24"/>
          <w:highlight w:val="none"/>
          <w:lang w:val="en-US" w:eastAsia="zh-CN"/>
        </w:rPr>
      </w:pPr>
    </w:p>
    <w:p w14:paraId="793E6C7E">
      <w:pPr>
        <w:keepNext w:val="0"/>
        <w:keepLines w:val="0"/>
        <w:pageBreakBefore w:val="0"/>
        <w:widowControl w:val="0"/>
        <w:kinsoku/>
        <w:wordWrap/>
        <w:overflowPunct/>
        <w:topLinePunct w:val="0"/>
        <w:autoSpaceDE/>
        <w:autoSpaceDN/>
        <w:bidi w:val="0"/>
        <w:adjustRightInd/>
        <w:snapToGrid/>
        <w:ind w:left="0" w:firstLine="0" w:firstLineChars="0"/>
        <w:jc w:val="both"/>
        <w:textAlignment w:val="auto"/>
        <w:rPr>
          <w:rFonts w:hint="default" w:ascii="Arial" w:hAnsi="Arial" w:cs="Arial"/>
          <w:color w:val="auto"/>
          <w:sz w:val="24"/>
          <w:szCs w:val="24"/>
          <w:highlight w:val="none"/>
          <w:lang w:val="en-US" w:eastAsia="zh-CN"/>
        </w:rPr>
      </w:pPr>
    </w:p>
    <w:p w14:paraId="2F170EF0">
      <w:pPr>
        <w:keepNext w:val="0"/>
        <w:keepLines w:val="0"/>
        <w:pageBreakBefore w:val="0"/>
        <w:widowControl w:val="0"/>
        <w:kinsoku/>
        <w:wordWrap/>
        <w:overflowPunct/>
        <w:topLinePunct w:val="0"/>
        <w:autoSpaceDE/>
        <w:autoSpaceDN/>
        <w:bidi w:val="0"/>
        <w:adjustRightInd/>
        <w:snapToGrid/>
        <w:ind w:left="0" w:firstLine="0" w:firstLineChars="0"/>
        <w:jc w:val="both"/>
        <w:textAlignment w:val="auto"/>
        <w:rPr>
          <w:rFonts w:hint="default" w:ascii="Arial" w:hAnsi="Arial" w:cs="Arial"/>
          <w:color w:val="auto"/>
          <w:sz w:val="24"/>
          <w:szCs w:val="24"/>
          <w:highlight w:val="none"/>
          <w:lang w:val="en-US" w:eastAsia="zh-CN"/>
        </w:rPr>
      </w:pPr>
    </w:p>
    <w:p w14:paraId="4EDE7CDB">
      <w:pPr>
        <w:keepNext w:val="0"/>
        <w:keepLines w:val="0"/>
        <w:pageBreakBefore w:val="0"/>
        <w:widowControl w:val="0"/>
        <w:kinsoku/>
        <w:wordWrap/>
        <w:overflowPunct/>
        <w:topLinePunct w:val="0"/>
        <w:autoSpaceDE/>
        <w:autoSpaceDN/>
        <w:bidi w:val="0"/>
        <w:adjustRightInd/>
        <w:snapToGrid/>
        <w:ind w:left="0" w:firstLine="0" w:firstLineChars="0"/>
        <w:jc w:val="both"/>
        <w:textAlignment w:val="auto"/>
        <w:rPr>
          <w:rFonts w:hint="default" w:ascii="Arial" w:hAnsi="Arial" w:cs="Arial"/>
          <w:color w:val="auto"/>
          <w:sz w:val="24"/>
          <w:szCs w:val="24"/>
          <w:highlight w:val="none"/>
          <w:lang w:val="en-US" w:eastAsia="zh-CN"/>
        </w:rPr>
      </w:pPr>
    </w:p>
    <w:p w14:paraId="45725322">
      <w:pPr>
        <w:keepNext w:val="0"/>
        <w:keepLines w:val="0"/>
        <w:pageBreakBefore w:val="0"/>
        <w:widowControl w:val="0"/>
        <w:kinsoku/>
        <w:wordWrap/>
        <w:overflowPunct/>
        <w:topLinePunct w:val="0"/>
        <w:autoSpaceDE/>
        <w:autoSpaceDN/>
        <w:bidi w:val="0"/>
        <w:adjustRightInd/>
        <w:snapToGrid/>
        <w:ind w:left="0" w:firstLine="0" w:firstLineChars="0"/>
        <w:jc w:val="both"/>
        <w:textAlignment w:val="auto"/>
        <w:rPr>
          <w:rFonts w:hint="default" w:ascii="Arial" w:hAnsi="Arial" w:cs="Arial"/>
          <w:color w:val="auto"/>
          <w:sz w:val="24"/>
          <w:szCs w:val="24"/>
          <w:highlight w:val="none"/>
          <w:lang w:val="en-US" w:eastAsia="zh-CN"/>
        </w:rPr>
      </w:pPr>
    </w:p>
    <w:p w14:paraId="39B6A3E2">
      <w:pPr>
        <w:keepNext w:val="0"/>
        <w:keepLines w:val="0"/>
        <w:pageBreakBefore w:val="0"/>
        <w:widowControl w:val="0"/>
        <w:kinsoku/>
        <w:wordWrap/>
        <w:overflowPunct/>
        <w:topLinePunct w:val="0"/>
        <w:autoSpaceDE/>
        <w:autoSpaceDN/>
        <w:bidi w:val="0"/>
        <w:adjustRightInd/>
        <w:snapToGrid/>
        <w:ind w:left="0" w:firstLine="0" w:firstLineChars="0"/>
        <w:jc w:val="both"/>
        <w:textAlignment w:val="auto"/>
        <w:rPr>
          <w:rFonts w:hint="default" w:ascii="Arial" w:hAnsi="Arial" w:cs="Arial"/>
          <w:color w:val="auto"/>
          <w:sz w:val="24"/>
          <w:szCs w:val="24"/>
          <w:highlight w:val="none"/>
          <w:lang w:val="en-US" w:eastAsia="zh-CN"/>
        </w:rPr>
      </w:pPr>
    </w:p>
    <w:p w14:paraId="074FF280">
      <w:pPr>
        <w:keepNext w:val="0"/>
        <w:keepLines w:val="0"/>
        <w:pageBreakBefore w:val="0"/>
        <w:widowControl w:val="0"/>
        <w:kinsoku/>
        <w:wordWrap/>
        <w:overflowPunct/>
        <w:topLinePunct w:val="0"/>
        <w:autoSpaceDE/>
        <w:autoSpaceDN/>
        <w:bidi w:val="0"/>
        <w:adjustRightInd/>
        <w:snapToGrid/>
        <w:ind w:left="0" w:firstLine="0" w:firstLineChars="0"/>
        <w:jc w:val="both"/>
        <w:textAlignment w:val="auto"/>
        <w:rPr>
          <w:rFonts w:hint="default" w:ascii="Arial" w:hAnsi="Arial" w:cs="Arial"/>
          <w:color w:val="auto"/>
          <w:sz w:val="24"/>
          <w:szCs w:val="24"/>
          <w:highlight w:val="none"/>
          <w:lang w:val="en-US" w:eastAsia="zh-CN"/>
        </w:rPr>
      </w:pPr>
    </w:p>
    <w:tbl>
      <w:tblPr>
        <w:tblStyle w:val="6"/>
        <w:tblW w:w="1388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886"/>
      </w:tblGrid>
      <w:tr w14:paraId="5EFDF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0" w:hRule="atLeast"/>
        </w:trPr>
        <w:tc>
          <w:tcPr>
            <w:tcW w:w="13886" w:type="dxa"/>
            <w:tcBorders>
              <w:top w:val="nil"/>
              <w:left w:val="nil"/>
              <w:bottom w:val="nil"/>
              <w:right w:val="nil"/>
            </w:tcBorders>
            <w:shd w:val="clear" w:color="auto" w:fill="auto"/>
            <w:noWrap/>
            <w:vAlign w:val="center"/>
          </w:tcPr>
          <w:p w14:paraId="39E83FD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Supplementary Table 1. 432 common genes over-expressed in CRC tissue.</w:t>
            </w:r>
          </w:p>
        </w:tc>
      </w:tr>
      <w:tr w14:paraId="2C019E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886" w:type="dxa"/>
            <w:tcBorders>
              <w:top w:val="nil"/>
              <w:left w:val="nil"/>
              <w:bottom w:val="nil"/>
              <w:right w:val="nil"/>
            </w:tcBorders>
            <w:shd w:val="clear" w:color="auto" w:fill="auto"/>
            <w:noWrap/>
            <w:vAlign w:val="center"/>
          </w:tcPr>
          <w:p w14:paraId="14751B88">
            <w:pPr>
              <w:rPr>
                <w:rFonts w:hint="eastAsia" w:ascii="宋体" w:hAnsi="宋体" w:eastAsia="宋体" w:cs="宋体"/>
                <w:i w:val="0"/>
                <w:iCs w:val="0"/>
                <w:color w:val="000000"/>
                <w:sz w:val="22"/>
                <w:szCs w:val="22"/>
                <w:u w:val="none"/>
              </w:rPr>
            </w:pPr>
          </w:p>
        </w:tc>
      </w:tr>
      <w:tr w14:paraId="49E03F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40" w:hRule="atLeast"/>
        </w:trPr>
        <w:tc>
          <w:tcPr>
            <w:tcW w:w="13886" w:type="dxa"/>
            <w:tcBorders>
              <w:top w:val="single" w:color="000000" w:sz="4" w:space="0"/>
              <w:left w:val="nil"/>
              <w:bottom w:val="single" w:color="000000" w:sz="4" w:space="0"/>
              <w:right w:val="nil"/>
            </w:tcBorders>
            <w:shd w:val="clear" w:color="auto" w:fill="auto"/>
            <w:vAlign w:val="center"/>
          </w:tcPr>
          <w:p w14:paraId="36C08B98">
            <w:pPr>
              <w:keepNext w:val="0"/>
              <w:keepLines w:val="0"/>
              <w:widowControl/>
              <w:suppressLineNumbers w:val="0"/>
              <w:jc w:val="center"/>
              <w:textAlignment w:val="center"/>
              <w:rPr>
                <w:rFonts w:hint="eastAsia" w:ascii="宋体" w:hAnsi="宋体" w:eastAsia="宋体" w:cs="宋体"/>
                <w:i/>
                <w:iCs/>
                <w:color w:val="000000"/>
                <w:sz w:val="22"/>
                <w:szCs w:val="22"/>
                <w:u w:val="none"/>
              </w:rPr>
            </w:pPr>
            <w:r>
              <w:rPr>
                <w:rFonts w:hint="eastAsia" w:ascii="宋体" w:hAnsi="宋体" w:eastAsia="宋体" w:cs="宋体"/>
                <w:i/>
                <w:iCs/>
                <w:color w:val="000000"/>
                <w:kern w:val="0"/>
                <w:sz w:val="22"/>
                <w:szCs w:val="22"/>
                <w:u w:val="none"/>
                <w:lang w:val="en-US" w:eastAsia="zh-CN" w:bidi="ar"/>
              </w:rPr>
              <w:t>ABHD2 ABL2 ACD ACSL6 ADCY3 ADRM1 AGFG1 AGO2 AGRN AHCY AKAP11 ALDH1B1 ANXA3 APBB2 API5 APTX AREG ASB9 ASCC3 ASPH ASPM ATAD2 ATF7IP ATIC ATP11A ATP6V1F AURKA AZGP1 B3GNTL1 BACE2 BBS9 BCL2L1 BGN BID BMP4 BMP7 BORA C11orf95 C19orf53 C2CD2 C4BPB CACNA1D CAMKMT CAND1 CBLL1 CBX4 CCDC86 CCDC93 CCL20 CCL24 CCNO CCT2 CD46 CDCA4 CDH6 CDR2L CDV3 CELF1 CEMIP CFB CHEK2 CHTOP CIAO1 CKMT2 CLDN1 CLPB CNN2 COBLL1 COL11A1 COL4A1 COMP COMT CORIN CPSF6 CUL4A CUL7 CXCL1 CXCL2 CXCL3 CXCL8 CYHR1 DAP3 DCLRE1B DDX19A DDX31 DDX46 DEF8 DESI1 DHRS2 DHX9 DIDO1 DKC1 DKK2 DLGAP4 DNAAF5 DNAJA3 DNAJC15 DOCK6 DOCK9 DPEP1 DPY19L1 DPY19L4 DSN1 DUOX2 ECM1 ECT2 EDAR EEF1D EEF1E1 EIF2AK2 EIF2S2 EIF3M ELAVL1 ELOVL5 ENC1 ENOPH1 EPHB2 EPHB3 EPRS EREG ETS2 ETV4 EVPL EXOSC4 FABP6 FAM60A FANCI FASN FAT1 FNTA FTSJ1 FXYD5 GABRE GAD1 GALNT11 GALNT6 GAPVD1 GARS GATC GID8 GINS4 GLCE GLO1 GNL3L GPC4 GPR143 GPSM2 GRB7 GTF2E1 GTF2F2 GTF2I GTF2IRD1 GTF3A GTPBP4 GYG2 GZMB HILPDA HMGB1 HMMR HN1L HOMER1 HSPE1 HYAL2 IDE IFI6 IFITM1 IKBKB IL15RA IL24 IL33 ILF3 IMPDH1 INHBA INTS7 INVS IPO4 IRAK1 ITGA6 ITGB8 JAG2 KANK1 KANSL1L KCTD20 KIAA0895 KIF20B KIF23 KLK10 KLK7 KPNA1 L3MBTL1 LGR5 LPGAT1 LRP8 LRRC6 MAD2L1 MCCC2 MCFD2 MCM4 MCTS1 MELK MEMO1 MET METTL22 METTL5 METTL9 MFAP2 MGAT5 MINA MKI67 MKLN1 MLLT10 MLXIPL MMP14 MORC4 MRE11A MRM2 MRPL17 MRPL57 MRTO4 MSR1 MTHFD1 MYC NAA10 NAA15 NAT9 NCL NEBL NEK3 NENF NF1 NFAT5 NFE2L3 NFYA NLE1 NOL8 NONO NOX4 NPEPL1 NPM1 NSDHL NT5DC2 NUDT21 NUP107 NUP62CL NUTF2 ODAM OLA1 ORC2 ORC3 OSBPL10 OSMR PAFAH1B3 PALB2 PAM16 PAQR4 PDCD2 PDCD5 PDZK1IP1 PERP PFKM PHC2 PHF20 PHLDA1 PIBF1 PITRM1 PITX1 PLA2G16 PLEKHA8 PLOD3 PLXNA1 PLXNA3 PMEPA1 POFUT1 POLB POLR1D POP1 PPA1 PPP1R13L PPP1R3D PPP2R3B PRAF2 PRKDC PROSER1 PROX1 PRPF4 PRSS22 PSMA1 PTBP3 PTK2 PTP4A3 PTPN12 PTPN4 PTPRO PUS1 R3HDM1 RAB11FIP3 RAB22A RAD50 RAD51B RANBP9 RASAL2 RBCK1 RBM28 RCBTB1 RCN1 REG3A RFC2 RFC5 RGS16 RHBDF2 RNASEH1 RNF114 RNF39 RNF43 RRM1 RRM2 RTEL1 S100A11 SCD SEPHS1 SERPINB5 SH3BP4 SH3TC2 SHB SHMT2 SKIL SKP2 SLC11A2 SLC12A2 SLC22A3 SLC25A37 SLC41A3 SLC4A2 SLC5A1 SLC6A6 SLC7A1 SLC7A6 SLCO4A1 SMARCC1 SMC4 SND1 SNHG17 SNRPE SNRPF SNTB1 SOD2 SORD SOX4 SOX9 SPIDR SRPX2 SSB SSBP1 SSSCA1 STAM STX16 STX6 SULT2B1 SUPT20H SYNCRIP TAF2 TAF4B TARBP1 TBC1D16 TBC1D4 TBX3 TBXAS1 TCF3 TFDP1 TGFBI TGIF1 TGM2 THEM6 THUMPD2 TIMELESS TIMP1 TIPIN TKT TM7SF2 TM9SF4 TMCC1 TMEM123 TMEM165 TMEM39A TMEM63A TMEM8B TMEM97 TNFSF15 TNNI3 TOP2A TPM4 TRAF5 TRAP1 TRIM16L TSN TTC17 TTF2 TTI1 TTLL4 TTPAL TWISTNB TXLNG UBD UBE2H UBE2I UBFD1 UNC93A UPF3A UQCC1 URB2 USP10 USPL1 UTP11 VEGFA VSNL1 WDR33 WDR59 WWC1 WWC3 XPO4 YAP1 YEATS2 ZBTB18 ZC3H15 ZFP64 ZMYM2 ZMYND8 ZNF107 ZNF146 ZNF337 ZNF593 ZNF84</w:t>
            </w:r>
          </w:p>
        </w:tc>
      </w:tr>
    </w:tbl>
    <w:p w14:paraId="0397C3D1">
      <w:pPr>
        <w:jc w:val="both"/>
        <w:rPr>
          <w:rFonts w:hint="default"/>
          <w:color w:val="auto"/>
          <w:highlight w:val="none"/>
          <w:lang w:val="en-US" w:eastAsia="zh-CN"/>
        </w:rPr>
      </w:pPr>
    </w:p>
    <w:p w14:paraId="65C8C99C">
      <w:pPr>
        <w:widowControl w:val="0"/>
        <w:numPr>
          <w:ilvl w:val="0"/>
          <w:numId w:val="0"/>
        </w:numPr>
        <w:jc w:val="both"/>
        <w:rPr>
          <w:rFonts w:hint="default" w:ascii="Arial" w:hAnsi="Arial" w:cs="Arial"/>
          <w:color w:val="auto"/>
          <w:sz w:val="24"/>
          <w:szCs w:val="24"/>
          <w:highlight w:val="none"/>
          <w:lang w:val="en-US" w:eastAsia="zh-CN"/>
        </w:rPr>
      </w:pPr>
    </w:p>
    <w:p w14:paraId="4ED3B83D">
      <w:pPr>
        <w:widowControl w:val="0"/>
        <w:numPr>
          <w:ilvl w:val="0"/>
          <w:numId w:val="0"/>
        </w:numPr>
        <w:jc w:val="both"/>
        <w:rPr>
          <w:rFonts w:hint="default" w:ascii="Arial" w:hAnsi="Arial" w:cs="Arial"/>
          <w:color w:val="auto"/>
          <w:sz w:val="24"/>
          <w:szCs w:val="24"/>
          <w:highlight w:val="none"/>
          <w:lang w:val="en-US" w:eastAsia="zh-CN"/>
        </w:rPr>
      </w:pPr>
    </w:p>
    <w:tbl>
      <w:tblPr>
        <w:tblStyle w:val="6"/>
        <w:tblW w:w="13942"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942"/>
      </w:tblGrid>
      <w:tr w14:paraId="765822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942" w:type="dxa"/>
            <w:tcBorders>
              <w:top w:val="nil"/>
              <w:left w:val="nil"/>
              <w:bottom w:val="nil"/>
              <w:right w:val="nil"/>
            </w:tcBorders>
            <w:shd w:val="clear" w:color="auto" w:fill="auto"/>
            <w:noWrap/>
            <w:vAlign w:val="center"/>
          </w:tcPr>
          <w:p w14:paraId="7FD0A724">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Supplementary Table 2. 438 common genes under-expressed in CRC tissue.</w:t>
            </w:r>
          </w:p>
        </w:tc>
      </w:tr>
      <w:tr w14:paraId="4CA549F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3942" w:type="dxa"/>
            <w:tcBorders>
              <w:top w:val="nil"/>
              <w:left w:val="nil"/>
              <w:bottom w:val="nil"/>
              <w:right w:val="nil"/>
            </w:tcBorders>
            <w:shd w:val="clear" w:color="auto" w:fill="auto"/>
            <w:noWrap/>
            <w:vAlign w:val="center"/>
          </w:tcPr>
          <w:p w14:paraId="53940B24">
            <w:pPr>
              <w:rPr>
                <w:rFonts w:hint="eastAsia" w:ascii="宋体" w:hAnsi="宋体" w:eastAsia="宋体" w:cs="宋体"/>
                <w:i w:val="0"/>
                <w:iCs w:val="0"/>
                <w:color w:val="000000"/>
                <w:sz w:val="22"/>
                <w:szCs w:val="22"/>
                <w:u w:val="none"/>
              </w:rPr>
            </w:pPr>
          </w:p>
        </w:tc>
      </w:tr>
      <w:tr w14:paraId="10E7B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3942" w:type="dxa"/>
            <w:tcBorders>
              <w:top w:val="single" w:color="000000" w:sz="4" w:space="0"/>
              <w:left w:val="nil"/>
              <w:bottom w:val="single" w:color="000000" w:sz="4" w:space="0"/>
              <w:right w:val="nil"/>
            </w:tcBorders>
            <w:shd w:val="clear" w:color="auto" w:fill="auto"/>
            <w:vAlign w:val="center"/>
          </w:tcPr>
          <w:p w14:paraId="6C0EA488">
            <w:pPr>
              <w:keepNext w:val="0"/>
              <w:keepLines w:val="0"/>
              <w:widowControl/>
              <w:suppressLineNumbers w:val="0"/>
              <w:jc w:val="center"/>
              <w:textAlignment w:val="center"/>
              <w:rPr>
                <w:rFonts w:hint="eastAsia" w:ascii="宋体" w:hAnsi="宋体" w:eastAsia="宋体" w:cs="宋体"/>
                <w:i/>
                <w:iCs/>
                <w:color w:val="000000"/>
                <w:sz w:val="22"/>
                <w:szCs w:val="22"/>
                <w:u w:val="none"/>
              </w:rPr>
            </w:pPr>
            <w:r>
              <w:rPr>
                <w:rFonts w:hint="eastAsia" w:ascii="宋体" w:hAnsi="宋体" w:eastAsia="宋体" w:cs="宋体"/>
                <w:i/>
                <w:iCs/>
                <w:color w:val="000000"/>
                <w:kern w:val="0"/>
                <w:sz w:val="22"/>
                <w:szCs w:val="22"/>
                <w:u w:val="none"/>
                <w:lang w:val="en-US" w:eastAsia="zh-CN" w:bidi="ar"/>
              </w:rPr>
              <w:t>A2M ABCA5 ABCD3 ABCG2 ACAA2 ACADVL ACVR2A ADAMDEC1 ADCY9 ADD1 ADGRL3 ADH6 ADTRP AGFG2 AHNAK AKAP13 AKAP9 AKR1B10 AKR1C1 AKR7A2 ANK3 ANKRD12 APPBP2 AQP8 ARF6 ARHGAP44 ARHGEF18 ARID3B ARL14 ARPIN ARRB1 ASAP3 ASPA ATP1B3 ATP2A3 ATP2B1 ATP5A1 ATP5F1 ATP5J ATP5L ATP5O ATP6V0D1 ATP6V1D AVPI1 B2M BAG1 BCAR3 BCAT2 BEST2 BEX1 BHLHE41 BIN2 BLOC1S1 BMP2K BMP3 BTBD3 BTG1 BTK BTNL8 C2CD2L C2orf72 C9orf40 CA1 CA12 CA2 CA4 CA7 CAB39 CACNA2D2 CALCOCO2 CALM1 CAMK2N1 CANT1 CAP1 CCDC25 CCDC68 CCL23 CD160 CD177 CD244 CD3G CD48 CD96 CDC14A CDH19 CDK20 CDKN1A CEACAM1 CEACAM7 CEP70 CES2 CFD CHFR CHGA CHMP2A CHP1 CHRNA1 CITED2 CLCA4 CLDN8 CLU CNDP2 CNNM2 COL4A5 COX11 COX5B COX6A1 COX7A2 CPT2 CPVL CRADD CROT CSDE1 CTAGE5 CTSD CTSW CXCL12 CYCS CYP4F12 DAZAP2 DCTN2 DEFB1 DHRS11 DMXL1 DMXL2 DNAJC28 DNASE1L3 DPP8 DPT EAPP ECE1 ECH1 EDF1 EIF2AK3 ELAC1 ELAVL4 EMP1 ENSA ENTPD5 ERBIN ETFDH ETHE1 EVI2B FABP1 FABP2 FAM107A FAM117A FAM134A FAM162A FAM174B FAM46C FAM53B FCGBP FCMR FGF9 FH FKBP1B FMO4 FNBP1 FOXF2 FOXN3 FTH1 FUCA1 FZD5 GAREM1 GAS7 GBA3 GCNT2 GCNT3 GFI1 GGNBP2 GHR GIMAP5 GLRX5 GMFB GNG7 GOT1 GPBP1L1 GPD1L GPM6B GPR107 GPR15 GREM2 GSN GSTM4 GUCA2A GUCA2B GUSB HADH HADHB HCLS1 HECTD3 HGD HHLA2 HIGD1A HRASLS2 HSD17B11 HSD17B2 ID3 IGLL1 IKZF1 IL1R2 IL6R IMPA1 INSL5 IQGAP2 IRF4 IST1 ITGB7 ITM2A ITM2C ITPKA JOSD1 KAT2B KAT5 KCTD12 KCTD9 KIAA0232 KIAA1109 KIF1C KLF6 KLF9 KRAS KTN1 LETM1 LGALS3 LGR4 LITAF LPAR1 LPP LRRC1 LRRC19 LY9 LYST MAF MAN2B1 MAPK6 MAPK7 MARCKS MAST2 MATN2 MAZ MBD2 MED8 MEP1A METTL7A MFSD9 MGAT4A MGLL MPC1 MS4A12 MT1E MTMR9 MTUS1 MUT MXD4 MXI1 MYH11 MYL6 MZB1 NAAA NAALADL1 NAP1L2 NARS NCOA4 NDN NDUFA13 NDUFA6 NDUFB1 NDUFB8 NDUFC1 NDUFS2 NDUFS3 NIT1 NR3C1 OGN OPN3 P2RY1 PADI2 PANK3 PAQR5 PARM1 PBX1 PCK1 PCSK5 PCSK6 PCSK7 PDCD4 PDE6A PDE9A PDLIM1 PER1 PEX26 PHKB PHYH PIK3CG PINK1 PIP4K2C PLAC8 PLCD1 PLCE1 PLCG2 PLD1 PLLP PLP1 PLPP1 PLPP3 PLS1 PNLIPRP2 PPARD PPARGC1A PPP1R12B PPP2R3A PRDX6 PRKACB PRKAR2B PRKCB PRSS16 PSEN1 PTP4A1 PTPRR PURA PYY RAB1A RAB4B RABGAP1L RALBP1 RALGAPA1 RBM38 RDH5 RETSAT RGS13 RGS9 RHOF RNF138 RNF167 RPS6KA5 RRAS2 RTCB RYBP SARAF SCAMP2 SCGB2A1 SCGN SCNN1B SDHA SEC14L5 SECISBP2L SEMA6A SEPP1 SFRP1 SGK1 SIRT6 SLC17A4 SLC25A20 SLC25A5 SLC26A2 SLC26A3 SLC30A10 SLC30A4 SLC35D1 SLC4A4 SLC6A8 SLCO4C1 SMCHD1 SMIM14 SMPD1 SMPDL3A SNRK SNX24 SOCS2 SOX10 SPAG7 SPECC1L SPIB SPN SPON1 SRI SRPX SRSF5 SSBP2 STBD1 STMN2 SUGCT SULT1B1 SVIL SYNE1 SYNM SYT17 SYTL2 TAOK3 TARP TCF21 TCL1A TDP2 TEX11 TLE4 TLR3 TMBIM4 TMEM100 TMEM140 TNFRSF13B TNFSF12 TOX4 TRAK2 TRANK1 TRAPPC8 TRIM10 TRIM36 TSPAN1 TSPAN7 UGDH UGP2 UGT1A6 UNC13B UNC5B UNC5C UQCR10 UQCRFS1 UQCRH VAPA VDAC2 VPS45 VPS4B VTI1B VWA5A WSB2 WSCD1 XK XYLT1 YES1 ZAP70 ZBTB16 ZFAND6 ZNF211 ZNF350 ZNF415 ZNF821</w:t>
            </w:r>
          </w:p>
        </w:tc>
      </w:tr>
    </w:tbl>
    <w:p w14:paraId="7C7A3548">
      <w:pPr>
        <w:widowControl w:val="0"/>
        <w:numPr>
          <w:ilvl w:val="0"/>
          <w:numId w:val="0"/>
        </w:numPr>
        <w:jc w:val="both"/>
        <w:rPr>
          <w:rFonts w:hint="default" w:ascii="Arial" w:hAnsi="Arial" w:cs="Arial"/>
          <w:color w:val="auto"/>
          <w:sz w:val="24"/>
          <w:szCs w:val="24"/>
          <w:highlight w:val="none"/>
          <w:lang w:val="en-US" w:eastAsia="zh-CN"/>
        </w:rPr>
      </w:pPr>
    </w:p>
    <w:p w14:paraId="66FDBF28">
      <w:pPr>
        <w:widowControl w:val="0"/>
        <w:numPr>
          <w:ilvl w:val="0"/>
          <w:numId w:val="0"/>
        </w:numPr>
        <w:jc w:val="both"/>
        <w:rPr>
          <w:rFonts w:hint="default" w:ascii="Arial" w:hAnsi="Arial" w:cs="Arial"/>
          <w:color w:val="auto"/>
          <w:sz w:val="24"/>
          <w:szCs w:val="24"/>
          <w:highlight w:val="none"/>
          <w:lang w:val="en-US" w:eastAsia="zh-CN"/>
        </w:rPr>
      </w:pPr>
    </w:p>
    <w:tbl>
      <w:tblPr>
        <w:tblStyle w:val="6"/>
        <w:tblW w:w="799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777"/>
        <w:gridCol w:w="1421"/>
        <w:gridCol w:w="1421"/>
        <w:gridCol w:w="1955"/>
        <w:gridCol w:w="1421"/>
      </w:tblGrid>
      <w:tr w14:paraId="30BD8A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7995" w:type="dxa"/>
            <w:gridSpan w:val="5"/>
            <w:tcBorders>
              <w:top w:val="nil"/>
              <w:left w:val="nil"/>
              <w:bottom w:val="nil"/>
              <w:right w:val="nil"/>
            </w:tcBorders>
            <w:shd w:val="clear" w:color="auto" w:fill="auto"/>
            <w:vAlign w:val="center"/>
          </w:tcPr>
          <w:p w14:paraId="0B76C5F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Supplementary Table 3. Hub genes for common over-expressed in CRC tissue by different CytoHubba methods.</w:t>
            </w:r>
          </w:p>
        </w:tc>
      </w:tr>
      <w:tr w14:paraId="2F4920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restart"/>
            <w:tcBorders>
              <w:top w:val="single" w:color="000000" w:sz="4" w:space="0"/>
              <w:left w:val="nil"/>
              <w:bottom w:val="single" w:color="000000" w:sz="4" w:space="0"/>
              <w:right w:val="nil"/>
            </w:tcBorders>
            <w:shd w:val="clear" w:color="auto" w:fill="auto"/>
            <w:noWrap/>
            <w:vAlign w:val="center"/>
          </w:tcPr>
          <w:p w14:paraId="3D2583D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Category</w:t>
            </w:r>
          </w:p>
        </w:tc>
        <w:tc>
          <w:tcPr>
            <w:tcW w:w="0" w:type="auto"/>
            <w:gridSpan w:val="4"/>
            <w:tcBorders>
              <w:top w:val="single" w:color="000000" w:sz="4" w:space="0"/>
              <w:left w:val="nil"/>
              <w:bottom w:val="single" w:color="000000" w:sz="4" w:space="0"/>
              <w:right w:val="nil"/>
            </w:tcBorders>
            <w:shd w:val="clear" w:color="auto" w:fill="auto"/>
            <w:noWrap/>
            <w:vAlign w:val="center"/>
          </w:tcPr>
          <w:p w14:paraId="0A1677F9">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Rank methods in CytoHubba</w:t>
            </w:r>
          </w:p>
        </w:tc>
      </w:tr>
      <w:tr w14:paraId="5B46AA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nil"/>
              <w:bottom w:val="single" w:color="000000" w:sz="4" w:space="0"/>
              <w:right w:val="nil"/>
            </w:tcBorders>
            <w:shd w:val="clear" w:color="auto" w:fill="auto"/>
            <w:noWrap/>
            <w:vAlign w:val="center"/>
          </w:tcPr>
          <w:p w14:paraId="69B5FDAD">
            <w:pPr>
              <w:jc w:val="center"/>
              <w:rPr>
                <w:rFonts w:hint="eastAsia" w:ascii="宋体" w:hAnsi="宋体" w:eastAsia="宋体" w:cs="宋体"/>
                <w:b/>
                <w:bCs/>
                <w:i w:val="0"/>
                <w:iCs w:val="0"/>
                <w:color w:val="000000"/>
                <w:sz w:val="22"/>
                <w:szCs w:val="22"/>
                <w:u w:val="none"/>
              </w:rPr>
            </w:pPr>
          </w:p>
        </w:tc>
        <w:tc>
          <w:tcPr>
            <w:tcW w:w="0" w:type="auto"/>
            <w:tcBorders>
              <w:top w:val="single" w:color="000000" w:sz="4" w:space="0"/>
              <w:left w:val="nil"/>
              <w:bottom w:val="single" w:color="000000" w:sz="4" w:space="0"/>
              <w:right w:val="nil"/>
            </w:tcBorders>
            <w:shd w:val="clear" w:color="auto" w:fill="auto"/>
            <w:noWrap/>
            <w:vAlign w:val="center"/>
          </w:tcPr>
          <w:p w14:paraId="03059D1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EPC</w:t>
            </w:r>
          </w:p>
        </w:tc>
        <w:tc>
          <w:tcPr>
            <w:tcW w:w="0" w:type="auto"/>
            <w:tcBorders>
              <w:top w:val="single" w:color="000000" w:sz="4" w:space="0"/>
              <w:left w:val="nil"/>
              <w:bottom w:val="single" w:color="000000" w:sz="4" w:space="0"/>
              <w:right w:val="nil"/>
            </w:tcBorders>
            <w:shd w:val="clear" w:color="auto" w:fill="auto"/>
            <w:noWrap/>
            <w:vAlign w:val="center"/>
          </w:tcPr>
          <w:p w14:paraId="67FDD3B0">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MNC</w:t>
            </w:r>
          </w:p>
        </w:tc>
        <w:tc>
          <w:tcPr>
            <w:tcW w:w="0" w:type="auto"/>
            <w:tcBorders>
              <w:top w:val="single" w:color="000000" w:sz="4" w:space="0"/>
              <w:left w:val="nil"/>
              <w:bottom w:val="single" w:color="000000" w:sz="4" w:space="0"/>
              <w:right w:val="nil"/>
            </w:tcBorders>
            <w:shd w:val="clear" w:color="auto" w:fill="auto"/>
            <w:noWrap/>
            <w:vAlign w:val="center"/>
          </w:tcPr>
          <w:p w14:paraId="5D4D9E1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Closeness</w:t>
            </w:r>
          </w:p>
        </w:tc>
        <w:tc>
          <w:tcPr>
            <w:tcW w:w="0" w:type="auto"/>
            <w:tcBorders>
              <w:top w:val="single" w:color="000000" w:sz="4" w:space="0"/>
              <w:left w:val="nil"/>
              <w:bottom w:val="single" w:color="000000" w:sz="4" w:space="0"/>
              <w:right w:val="nil"/>
            </w:tcBorders>
            <w:shd w:val="clear" w:color="auto" w:fill="auto"/>
            <w:noWrap/>
            <w:vAlign w:val="center"/>
          </w:tcPr>
          <w:p w14:paraId="14AB5C1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Degree</w:t>
            </w:r>
          </w:p>
        </w:tc>
      </w:tr>
      <w:tr w14:paraId="5FF53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024B42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0" w:type="auto"/>
            <w:tcBorders>
              <w:top w:val="nil"/>
              <w:left w:val="nil"/>
              <w:bottom w:val="nil"/>
              <w:right w:val="nil"/>
            </w:tcBorders>
            <w:shd w:val="clear" w:color="auto" w:fill="auto"/>
            <w:noWrap/>
            <w:vAlign w:val="center"/>
          </w:tcPr>
          <w:p w14:paraId="62CDE42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MYC</w:t>
            </w:r>
          </w:p>
        </w:tc>
        <w:tc>
          <w:tcPr>
            <w:tcW w:w="0" w:type="auto"/>
            <w:tcBorders>
              <w:top w:val="nil"/>
              <w:left w:val="nil"/>
              <w:bottom w:val="nil"/>
              <w:right w:val="nil"/>
            </w:tcBorders>
            <w:shd w:val="clear" w:color="auto" w:fill="auto"/>
            <w:noWrap/>
            <w:vAlign w:val="center"/>
          </w:tcPr>
          <w:p w14:paraId="2099F31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MYC</w:t>
            </w:r>
          </w:p>
        </w:tc>
        <w:tc>
          <w:tcPr>
            <w:tcW w:w="0" w:type="auto"/>
            <w:tcBorders>
              <w:top w:val="nil"/>
              <w:left w:val="nil"/>
              <w:bottom w:val="nil"/>
              <w:right w:val="nil"/>
            </w:tcBorders>
            <w:shd w:val="clear" w:color="auto" w:fill="auto"/>
            <w:noWrap/>
            <w:vAlign w:val="center"/>
          </w:tcPr>
          <w:p w14:paraId="1A88FDC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MYC</w:t>
            </w:r>
          </w:p>
        </w:tc>
        <w:tc>
          <w:tcPr>
            <w:tcW w:w="0" w:type="auto"/>
            <w:tcBorders>
              <w:top w:val="nil"/>
              <w:left w:val="nil"/>
              <w:bottom w:val="nil"/>
              <w:right w:val="nil"/>
            </w:tcBorders>
            <w:shd w:val="clear" w:color="auto" w:fill="auto"/>
            <w:noWrap/>
            <w:vAlign w:val="center"/>
          </w:tcPr>
          <w:p w14:paraId="4439DC4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MYC</w:t>
            </w:r>
          </w:p>
        </w:tc>
      </w:tr>
      <w:tr w14:paraId="3D84AB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4B0A0A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0" w:type="auto"/>
            <w:tcBorders>
              <w:top w:val="nil"/>
              <w:left w:val="nil"/>
              <w:bottom w:val="nil"/>
              <w:right w:val="nil"/>
            </w:tcBorders>
            <w:shd w:val="clear" w:color="auto" w:fill="auto"/>
            <w:noWrap/>
            <w:vAlign w:val="center"/>
          </w:tcPr>
          <w:p w14:paraId="3D75A57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TOP2A</w:t>
            </w:r>
          </w:p>
        </w:tc>
        <w:tc>
          <w:tcPr>
            <w:tcW w:w="0" w:type="auto"/>
            <w:tcBorders>
              <w:top w:val="nil"/>
              <w:left w:val="nil"/>
              <w:bottom w:val="nil"/>
              <w:right w:val="nil"/>
            </w:tcBorders>
            <w:shd w:val="clear" w:color="auto" w:fill="auto"/>
            <w:noWrap/>
            <w:vAlign w:val="center"/>
          </w:tcPr>
          <w:p w14:paraId="5A47B79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TOP2A</w:t>
            </w:r>
          </w:p>
        </w:tc>
        <w:tc>
          <w:tcPr>
            <w:tcW w:w="0" w:type="auto"/>
            <w:tcBorders>
              <w:top w:val="nil"/>
              <w:left w:val="nil"/>
              <w:bottom w:val="nil"/>
              <w:right w:val="nil"/>
            </w:tcBorders>
            <w:shd w:val="clear" w:color="auto" w:fill="auto"/>
            <w:noWrap/>
            <w:vAlign w:val="center"/>
          </w:tcPr>
          <w:p w14:paraId="078B17F5">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NPM1</w:t>
            </w:r>
          </w:p>
        </w:tc>
        <w:tc>
          <w:tcPr>
            <w:tcW w:w="0" w:type="auto"/>
            <w:tcBorders>
              <w:top w:val="nil"/>
              <w:left w:val="nil"/>
              <w:bottom w:val="nil"/>
              <w:right w:val="nil"/>
            </w:tcBorders>
            <w:shd w:val="clear" w:color="auto" w:fill="auto"/>
            <w:noWrap/>
            <w:vAlign w:val="center"/>
          </w:tcPr>
          <w:p w14:paraId="28CC5D5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TOP2A</w:t>
            </w:r>
          </w:p>
        </w:tc>
      </w:tr>
      <w:tr w14:paraId="6EB1BF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178B01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0" w:type="auto"/>
            <w:tcBorders>
              <w:top w:val="nil"/>
              <w:left w:val="nil"/>
              <w:bottom w:val="nil"/>
              <w:right w:val="nil"/>
            </w:tcBorders>
            <w:shd w:val="clear" w:color="auto" w:fill="auto"/>
            <w:noWrap/>
            <w:vAlign w:val="center"/>
          </w:tcPr>
          <w:p w14:paraId="28891F9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RRM1</w:t>
            </w:r>
          </w:p>
        </w:tc>
        <w:tc>
          <w:tcPr>
            <w:tcW w:w="0" w:type="auto"/>
            <w:tcBorders>
              <w:top w:val="nil"/>
              <w:left w:val="nil"/>
              <w:bottom w:val="nil"/>
              <w:right w:val="nil"/>
            </w:tcBorders>
            <w:shd w:val="clear" w:color="auto" w:fill="auto"/>
            <w:noWrap/>
            <w:vAlign w:val="center"/>
          </w:tcPr>
          <w:p w14:paraId="3F409C5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NPM1</w:t>
            </w:r>
          </w:p>
        </w:tc>
        <w:tc>
          <w:tcPr>
            <w:tcW w:w="0" w:type="auto"/>
            <w:tcBorders>
              <w:top w:val="nil"/>
              <w:left w:val="nil"/>
              <w:bottom w:val="nil"/>
              <w:right w:val="nil"/>
            </w:tcBorders>
            <w:shd w:val="clear" w:color="auto" w:fill="auto"/>
            <w:noWrap/>
            <w:vAlign w:val="center"/>
          </w:tcPr>
          <w:p w14:paraId="6941C0C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TOP2A</w:t>
            </w:r>
          </w:p>
        </w:tc>
        <w:tc>
          <w:tcPr>
            <w:tcW w:w="0" w:type="auto"/>
            <w:tcBorders>
              <w:top w:val="nil"/>
              <w:left w:val="nil"/>
              <w:bottom w:val="nil"/>
              <w:right w:val="nil"/>
            </w:tcBorders>
            <w:shd w:val="clear" w:color="auto" w:fill="auto"/>
            <w:noWrap/>
            <w:vAlign w:val="center"/>
          </w:tcPr>
          <w:p w14:paraId="14217B1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NPM1</w:t>
            </w:r>
          </w:p>
        </w:tc>
      </w:tr>
      <w:tr w14:paraId="5D08C1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157B3D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0" w:type="auto"/>
            <w:tcBorders>
              <w:top w:val="nil"/>
              <w:left w:val="nil"/>
              <w:bottom w:val="nil"/>
              <w:right w:val="nil"/>
            </w:tcBorders>
            <w:shd w:val="clear" w:color="auto" w:fill="auto"/>
            <w:noWrap/>
            <w:vAlign w:val="center"/>
          </w:tcPr>
          <w:p w14:paraId="1B15EDC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NPM1</w:t>
            </w:r>
          </w:p>
        </w:tc>
        <w:tc>
          <w:tcPr>
            <w:tcW w:w="0" w:type="auto"/>
            <w:tcBorders>
              <w:top w:val="nil"/>
              <w:left w:val="nil"/>
              <w:bottom w:val="nil"/>
              <w:right w:val="nil"/>
            </w:tcBorders>
            <w:shd w:val="clear" w:color="auto" w:fill="auto"/>
            <w:noWrap/>
            <w:vAlign w:val="center"/>
          </w:tcPr>
          <w:p w14:paraId="7CBA800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RRM1</w:t>
            </w:r>
          </w:p>
        </w:tc>
        <w:tc>
          <w:tcPr>
            <w:tcW w:w="0" w:type="auto"/>
            <w:tcBorders>
              <w:top w:val="nil"/>
              <w:left w:val="nil"/>
              <w:bottom w:val="nil"/>
              <w:right w:val="nil"/>
            </w:tcBorders>
            <w:shd w:val="clear" w:color="auto" w:fill="auto"/>
            <w:noWrap/>
            <w:vAlign w:val="center"/>
          </w:tcPr>
          <w:p w14:paraId="7BEF4B77">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RRM1</w:t>
            </w:r>
          </w:p>
        </w:tc>
        <w:tc>
          <w:tcPr>
            <w:tcW w:w="0" w:type="auto"/>
            <w:tcBorders>
              <w:top w:val="nil"/>
              <w:left w:val="nil"/>
              <w:bottom w:val="nil"/>
              <w:right w:val="nil"/>
            </w:tcBorders>
            <w:shd w:val="clear" w:color="auto" w:fill="auto"/>
            <w:noWrap/>
            <w:vAlign w:val="center"/>
          </w:tcPr>
          <w:p w14:paraId="060CBD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EPRS1</w:t>
            </w:r>
          </w:p>
        </w:tc>
      </w:tr>
      <w:tr w14:paraId="1A36A1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3AFB7F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0" w:type="auto"/>
            <w:tcBorders>
              <w:top w:val="nil"/>
              <w:left w:val="nil"/>
              <w:bottom w:val="nil"/>
              <w:right w:val="nil"/>
            </w:tcBorders>
            <w:shd w:val="clear" w:color="auto" w:fill="auto"/>
            <w:noWrap/>
            <w:vAlign w:val="center"/>
          </w:tcPr>
          <w:p w14:paraId="0DD28E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MCM4</w:t>
            </w:r>
          </w:p>
        </w:tc>
        <w:tc>
          <w:tcPr>
            <w:tcW w:w="0" w:type="auto"/>
            <w:tcBorders>
              <w:top w:val="nil"/>
              <w:left w:val="nil"/>
              <w:bottom w:val="nil"/>
              <w:right w:val="nil"/>
            </w:tcBorders>
            <w:shd w:val="clear" w:color="auto" w:fill="auto"/>
            <w:noWrap/>
            <w:vAlign w:val="center"/>
          </w:tcPr>
          <w:p w14:paraId="295CBF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MRTO4</w:t>
            </w:r>
          </w:p>
        </w:tc>
        <w:tc>
          <w:tcPr>
            <w:tcW w:w="0" w:type="auto"/>
            <w:tcBorders>
              <w:top w:val="nil"/>
              <w:left w:val="nil"/>
              <w:bottom w:val="nil"/>
              <w:right w:val="nil"/>
            </w:tcBorders>
            <w:shd w:val="clear" w:color="auto" w:fill="auto"/>
            <w:noWrap/>
            <w:vAlign w:val="center"/>
          </w:tcPr>
          <w:p w14:paraId="69A511AC">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ELAVL1</w:t>
            </w:r>
          </w:p>
        </w:tc>
        <w:tc>
          <w:tcPr>
            <w:tcW w:w="0" w:type="auto"/>
            <w:tcBorders>
              <w:top w:val="nil"/>
              <w:left w:val="nil"/>
              <w:bottom w:val="nil"/>
              <w:right w:val="nil"/>
            </w:tcBorders>
            <w:shd w:val="clear" w:color="auto" w:fill="auto"/>
            <w:noWrap/>
            <w:vAlign w:val="center"/>
          </w:tcPr>
          <w:p w14:paraId="50B2430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RRM1</w:t>
            </w:r>
          </w:p>
        </w:tc>
      </w:tr>
      <w:tr w14:paraId="2ABB3CE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5F444D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0" w:type="auto"/>
            <w:tcBorders>
              <w:top w:val="nil"/>
              <w:left w:val="nil"/>
              <w:bottom w:val="nil"/>
              <w:right w:val="nil"/>
            </w:tcBorders>
            <w:shd w:val="clear" w:color="auto" w:fill="auto"/>
            <w:noWrap/>
            <w:vAlign w:val="center"/>
          </w:tcPr>
          <w:p w14:paraId="031974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CHEK2</w:t>
            </w:r>
          </w:p>
        </w:tc>
        <w:tc>
          <w:tcPr>
            <w:tcW w:w="0" w:type="auto"/>
            <w:tcBorders>
              <w:top w:val="nil"/>
              <w:left w:val="nil"/>
              <w:bottom w:val="nil"/>
              <w:right w:val="nil"/>
            </w:tcBorders>
            <w:shd w:val="clear" w:color="auto" w:fill="auto"/>
            <w:noWrap/>
            <w:vAlign w:val="center"/>
          </w:tcPr>
          <w:p w14:paraId="42EE4F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MCM4</w:t>
            </w:r>
          </w:p>
        </w:tc>
        <w:tc>
          <w:tcPr>
            <w:tcW w:w="0" w:type="auto"/>
            <w:tcBorders>
              <w:top w:val="nil"/>
              <w:left w:val="nil"/>
              <w:bottom w:val="nil"/>
              <w:right w:val="nil"/>
            </w:tcBorders>
            <w:shd w:val="clear" w:color="auto" w:fill="auto"/>
            <w:noWrap/>
            <w:vAlign w:val="center"/>
          </w:tcPr>
          <w:p w14:paraId="6653F6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EPRS1</w:t>
            </w:r>
          </w:p>
        </w:tc>
        <w:tc>
          <w:tcPr>
            <w:tcW w:w="0" w:type="auto"/>
            <w:tcBorders>
              <w:top w:val="nil"/>
              <w:left w:val="nil"/>
              <w:bottom w:val="nil"/>
              <w:right w:val="nil"/>
            </w:tcBorders>
            <w:shd w:val="clear" w:color="auto" w:fill="auto"/>
            <w:noWrap/>
            <w:vAlign w:val="center"/>
          </w:tcPr>
          <w:p w14:paraId="0CA5E94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ELAVL1</w:t>
            </w:r>
          </w:p>
        </w:tc>
      </w:tr>
      <w:tr w14:paraId="7CF314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60EC03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0" w:type="auto"/>
            <w:tcBorders>
              <w:top w:val="nil"/>
              <w:left w:val="nil"/>
              <w:bottom w:val="nil"/>
              <w:right w:val="nil"/>
            </w:tcBorders>
            <w:shd w:val="clear" w:color="auto" w:fill="auto"/>
            <w:noWrap/>
            <w:vAlign w:val="center"/>
          </w:tcPr>
          <w:p w14:paraId="0C042741">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MAD2L1</w:t>
            </w:r>
          </w:p>
        </w:tc>
        <w:tc>
          <w:tcPr>
            <w:tcW w:w="0" w:type="auto"/>
            <w:tcBorders>
              <w:top w:val="nil"/>
              <w:left w:val="nil"/>
              <w:bottom w:val="nil"/>
              <w:right w:val="nil"/>
            </w:tcBorders>
            <w:shd w:val="clear" w:color="auto" w:fill="auto"/>
            <w:noWrap/>
            <w:vAlign w:val="center"/>
          </w:tcPr>
          <w:p w14:paraId="612925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EPRS1</w:t>
            </w:r>
          </w:p>
        </w:tc>
        <w:tc>
          <w:tcPr>
            <w:tcW w:w="0" w:type="auto"/>
            <w:tcBorders>
              <w:top w:val="nil"/>
              <w:left w:val="nil"/>
              <w:bottom w:val="nil"/>
              <w:right w:val="nil"/>
            </w:tcBorders>
            <w:shd w:val="clear" w:color="auto" w:fill="auto"/>
            <w:noWrap/>
            <w:vAlign w:val="center"/>
          </w:tcPr>
          <w:p w14:paraId="6B3021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CXCL8</w:t>
            </w:r>
          </w:p>
        </w:tc>
        <w:tc>
          <w:tcPr>
            <w:tcW w:w="0" w:type="auto"/>
            <w:tcBorders>
              <w:top w:val="nil"/>
              <w:left w:val="nil"/>
              <w:bottom w:val="nil"/>
              <w:right w:val="nil"/>
            </w:tcBorders>
            <w:shd w:val="clear" w:color="auto" w:fill="auto"/>
            <w:noWrap/>
            <w:vAlign w:val="center"/>
          </w:tcPr>
          <w:p w14:paraId="2164A3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MRTO4</w:t>
            </w:r>
          </w:p>
        </w:tc>
      </w:tr>
      <w:tr w14:paraId="4D3C3D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6CE53E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0" w:type="auto"/>
            <w:tcBorders>
              <w:top w:val="nil"/>
              <w:left w:val="nil"/>
              <w:bottom w:val="nil"/>
              <w:right w:val="nil"/>
            </w:tcBorders>
            <w:shd w:val="clear" w:color="auto" w:fill="auto"/>
            <w:noWrap/>
            <w:vAlign w:val="center"/>
          </w:tcPr>
          <w:p w14:paraId="323990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RRM2</w:t>
            </w:r>
          </w:p>
        </w:tc>
        <w:tc>
          <w:tcPr>
            <w:tcW w:w="0" w:type="auto"/>
            <w:tcBorders>
              <w:top w:val="nil"/>
              <w:left w:val="nil"/>
              <w:bottom w:val="nil"/>
              <w:right w:val="nil"/>
            </w:tcBorders>
            <w:shd w:val="clear" w:color="auto" w:fill="auto"/>
            <w:noWrap/>
            <w:vAlign w:val="center"/>
          </w:tcPr>
          <w:p w14:paraId="7040EE9B">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DHX9</w:t>
            </w:r>
          </w:p>
        </w:tc>
        <w:tc>
          <w:tcPr>
            <w:tcW w:w="0" w:type="auto"/>
            <w:tcBorders>
              <w:top w:val="nil"/>
              <w:left w:val="nil"/>
              <w:bottom w:val="nil"/>
              <w:right w:val="nil"/>
            </w:tcBorders>
            <w:shd w:val="clear" w:color="auto" w:fill="auto"/>
            <w:noWrap/>
            <w:vAlign w:val="center"/>
          </w:tcPr>
          <w:p w14:paraId="5F9990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PALB2</w:t>
            </w:r>
          </w:p>
        </w:tc>
        <w:tc>
          <w:tcPr>
            <w:tcW w:w="0" w:type="auto"/>
            <w:tcBorders>
              <w:top w:val="nil"/>
              <w:left w:val="nil"/>
              <w:bottom w:val="nil"/>
              <w:right w:val="nil"/>
            </w:tcBorders>
            <w:shd w:val="clear" w:color="auto" w:fill="auto"/>
            <w:noWrap/>
            <w:vAlign w:val="center"/>
          </w:tcPr>
          <w:p w14:paraId="4FEC1BF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AURKA</w:t>
            </w:r>
          </w:p>
        </w:tc>
      </w:tr>
      <w:tr w14:paraId="4BB3582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1B69C4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0" w:type="auto"/>
            <w:tcBorders>
              <w:top w:val="nil"/>
              <w:left w:val="nil"/>
              <w:bottom w:val="nil"/>
              <w:right w:val="nil"/>
            </w:tcBorders>
            <w:shd w:val="clear" w:color="auto" w:fill="auto"/>
            <w:noWrap/>
            <w:vAlign w:val="center"/>
          </w:tcPr>
          <w:p w14:paraId="54C5FB9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FANCI</w:t>
            </w:r>
          </w:p>
        </w:tc>
        <w:tc>
          <w:tcPr>
            <w:tcW w:w="0" w:type="auto"/>
            <w:tcBorders>
              <w:top w:val="nil"/>
              <w:left w:val="nil"/>
              <w:bottom w:val="nil"/>
              <w:right w:val="nil"/>
            </w:tcBorders>
            <w:shd w:val="clear" w:color="auto" w:fill="auto"/>
            <w:noWrap/>
            <w:vAlign w:val="center"/>
          </w:tcPr>
          <w:p w14:paraId="0AF02F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CXCL8</w:t>
            </w:r>
          </w:p>
        </w:tc>
        <w:tc>
          <w:tcPr>
            <w:tcW w:w="0" w:type="auto"/>
            <w:tcBorders>
              <w:top w:val="nil"/>
              <w:left w:val="nil"/>
              <w:bottom w:val="nil"/>
              <w:right w:val="nil"/>
            </w:tcBorders>
            <w:shd w:val="clear" w:color="auto" w:fill="auto"/>
            <w:noWrap/>
            <w:vAlign w:val="center"/>
          </w:tcPr>
          <w:p w14:paraId="24D7C21F">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DHX9</w:t>
            </w:r>
          </w:p>
        </w:tc>
        <w:tc>
          <w:tcPr>
            <w:tcW w:w="0" w:type="auto"/>
            <w:tcBorders>
              <w:top w:val="nil"/>
              <w:left w:val="nil"/>
              <w:bottom w:val="nil"/>
              <w:right w:val="nil"/>
            </w:tcBorders>
            <w:shd w:val="clear" w:color="auto" w:fill="auto"/>
            <w:noWrap/>
            <w:vAlign w:val="center"/>
          </w:tcPr>
          <w:p w14:paraId="40D686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MCM4</w:t>
            </w:r>
          </w:p>
        </w:tc>
      </w:tr>
      <w:tr w14:paraId="02721C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360327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0" w:type="auto"/>
            <w:tcBorders>
              <w:top w:val="nil"/>
              <w:left w:val="nil"/>
              <w:bottom w:val="nil"/>
              <w:right w:val="nil"/>
            </w:tcBorders>
            <w:shd w:val="clear" w:color="auto" w:fill="auto"/>
            <w:noWrap/>
            <w:vAlign w:val="center"/>
          </w:tcPr>
          <w:p w14:paraId="65B475C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AURKA</w:t>
            </w:r>
          </w:p>
        </w:tc>
        <w:tc>
          <w:tcPr>
            <w:tcW w:w="0" w:type="auto"/>
            <w:tcBorders>
              <w:top w:val="nil"/>
              <w:left w:val="nil"/>
              <w:bottom w:val="nil"/>
              <w:right w:val="nil"/>
            </w:tcBorders>
            <w:shd w:val="clear" w:color="auto" w:fill="auto"/>
            <w:noWrap/>
            <w:vAlign w:val="center"/>
          </w:tcPr>
          <w:p w14:paraId="74B000D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ELAVL1</w:t>
            </w:r>
          </w:p>
        </w:tc>
        <w:tc>
          <w:tcPr>
            <w:tcW w:w="0" w:type="auto"/>
            <w:tcBorders>
              <w:top w:val="nil"/>
              <w:left w:val="nil"/>
              <w:bottom w:val="nil"/>
              <w:right w:val="nil"/>
            </w:tcBorders>
            <w:shd w:val="clear" w:color="auto" w:fill="auto"/>
            <w:noWrap/>
            <w:vAlign w:val="center"/>
          </w:tcPr>
          <w:p w14:paraId="325E71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DKC1</w:t>
            </w:r>
          </w:p>
        </w:tc>
        <w:tc>
          <w:tcPr>
            <w:tcW w:w="0" w:type="auto"/>
            <w:tcBorders>
              <w:top w:val="nil"/>
              <w:left w:val="nil"/>
              <w:bottom w:val="nil"/>
              <w:right w:val="nil"/>
            </w:tcBorders>
            <w:shd w:val="clear" w:color="auto" w:fill="auto"/>
            <w:noWrap/>
            <w:vAlign w:val="center"/>
          </w:tcPr>
          <w:p w14:paraId="2E12E3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CXCL8</w:t>
            </w:r>
          </w:p>
        </w:tc>
      </w:tr>
      <w:tr w14:paraId="55D492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63CEA6B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0" w:type="auto"/>
            <w:tcBorders>
              <w:top w:val="nil"/>
              <w:left w:val="nil"/>
              <w:bottom w:val="nil"/>
              <w:right w:val="nil"/>
            </w:tcBorders>
            <w:shd w:val="clear" w:color="auto" w:fill="auto"/>
            <w:noWrap/>
            <w:vAlign w:val="center"/>
          </w:tcPr>
          <w:p w14:paraId="26B27C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SMC4</w:t>
            </w:r>
          </w:p>
        </w:tc>
        <w:tc>
          <w:tcPr>
            <w:tcW w:w="0" w:type="auto"/>
            <w:tcBorders>
              <w:top w:val="nil"/>
              <w:left w:val="nil"/>
              <w:bottom w:val="nil"/>
              <w:right w:val="nil"/>
            </w:tcBorders>
            <w:shd w:val="clear" w:color="auto" w:fill="auto"/>
            <w:noWrap/>
            <w:vAlign w:val="center"/>
          </w:tcPr>
          <w:p w14:paraId="0ACE0D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PALB2</w:t>
            </w:r>
          </w:p>
        </w:tc>
        <w:tc>
          <w:tcPr>
            <w:tcW w:w="0" w:type="auto"/>
            <w:tcBorders>
              <w:top w:val="nil"/>
              <w:left w:val="nil"/>
              <w:bottom w:val="nil"/>
              <w:right w:val="nil"/>
            </w:tcBorders>
            <w:shd w:val="clear" w:color="auto" w:fill="auto"/>
            <w:noWrap/>
            <w:vAlign w:val="center"/>
          </w:tcPr>
          <w:p w14:paraId="5DE480B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AURKA</w:t>
            </w:r>
          </w:p>
        </w:tc>
        <w:tc>
          <w:tcPr>
            <w:tcW w:w="0" w:type="auto"/>
            <w:tcBorders>
              <w:top w:val="nil"/>
              <w:left w:val="nil"/>
              <w:bottom w:val="nil"/>
              <w:right w:val="nil"/>
            </w:tcBorders>
            <w:shd w:val="clear" w:color="auto" w:fill="auto"/>
            <w:noWrap/>
            <w:vAlign w:val="center"/>
          </w:tcPr>
          <w:p w14:paraId="56DE97E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MAD2L1</w:t>
            </w:r>
          </w:p>
        </w:tc>
      </w:tr>
      <w:tr w14:paraId="4617CF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39233B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0" w:type="auto"/>
            <w:tcBorders>
              <w:top w:val="nil"/>
              <w:left w:val="nil"/>
              <w:bottom w:val="nil"/>
              <w:right w:val="nil"/>
            </w:tcBorders>
            <w:shd w:val="clear" w:color="auto" w:fill="auto"/>
            <w:noWrap/>
            <w:vAlign w:val="center"/>
          </w:tcPr>
          <w:p w14:paraId="77DB5312">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DHX9</w:t>
            </w:r>
          </w:p>
        </w:tc>
        <w:tc>
          <w:tcPr>
            <w:tcW w:w="0" w:type="auto"/>
            <w:tcBorders>
              <w:top w:val="nil"/>
              <w:left w:val="nil"/>
              <w:bottom w:val="nil"/>
              <w:right w:val="nil"/>
            </w:tcBorders>
            <w:shd w:val="clear" w:color="auto" w:fill="auto"/>
            <w:noWrap/>
            <w:vAlign w:val="center"/>
          </w:tcPr>
          <w:p w14:paraId="791DC0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FANCI</w:t>
            </w:r>
          </w:p>
        </w:tc>
        <w:tc>
          <w:tcPr>
            <w:tcW w:w="0" w:type="auto"/>
            <w:tcBorders>
              <w:top w:val="nil"/>
              <w:left w:val="nil"/>
              <w:bottom w:val="nil"/>
              <w:right w:val="nil"/>
            </w:tcBorders>
            <w:shd w:val="clear" w:color="auto" w:fill="auto"/>
            <w:noWrap/>
            <w:vAlign w:val="center"/>
          </w:tcPr>
          <w:p w14:paraId="0DB3F824">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MAD2L1</w:t>
            </w:r>
          </w:p>
        </w:tc>
        <w:tc>
          <w:tcPr>
            <w:tcW w:w="0" w:type="auto"/>
            <w:tcBorders>
              <w:top w:val="nil"/>
              <w:left w:val="nil"/>
              <w:bottom w:val="nil"/>
              <w:right w:val="nil"/>
            </w:tcBorders>
            <w:shd w:val="clear" w:color="auto" w:fill="auto"/>
            <w:noWrap/>
            <w:vAlign w:val="center"/>
          </w:tcPr>
          <w:p w14:paraId="1461100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DHX9</w:t>
            </w:r>
          </w:p>
        </w:tc>
      </w:tr>
      <w:tr w14:paraId="7E0F4C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0A0D54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0" w:type="auto"/>
            <w:tcBorders>
              <w:top w:val="nil"/>
              <w:left w:val="nil"/>
              <w:bottom w:val="nil"/>
              <w:right w:val="nil"/>
            </w:tcBorders>
            <w:shd w:val="clear" w:color="auto" w:fill="auto"/>
            <w:noWrap/>
            <w:vAlign w:val="center"/>
          </w:tcPr>
          <w:p w14:paraId="4553BAB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ELAVL1</w:t>
            </w:r>
          </w:p>
        </w:tc>
        <w:tc>
          <w:tcPr>
            <w:tcW w:w="0" w:type="auto"/>
            <w:tcBorders>
              <w:top w:val="nil"/>
              <w:left w:val="nil"/>
              <w:bottom w:val="nil"/>
              <w:right w:val="nil"/>
            </w:tcBorders>
            <w:shd w:val="clear" w:color="auto" w:fill="auto"/>
            <w:noWrap/>
            <w:vAlign w:val="center"/>
          </w:tcPr>
          <w:p w14:paraId="28F7321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AURKA</w:t>
            </w:r>
          </w:p>
        </w:tc>
        <w:tc>
          <w:tcPr>
            <w:tcW w:w="0" w:type="auto"/>
            <w:tcBorders>
              <w:top w:val="nil"/>
              <w:left w:val="nil"/>
              <w:bottom w:val="nil"/>
              <w:right w:val="nil"/>
            </w:tcBorders>
            <w:shd w:val="clear" w:color="auto" w:fill="auto"/>
            <w:noWrap/>
            <w:vAlign w:val="center"/>
          </w:tcPr>
          <w:p w14:paraId="53C57E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GTPBP4</w:t>
            </w:r>
          </w:p>
        </w:tc>
        <w:tc>
          <w:tcPr>
            <w:tcW w:w="0" w:type="auto"/>
            <w:tcBorders>
              <w:top w:val="nil"/>
              <w:left w:val="nil"/>
              <w:bottom w:val="nil"/>
              <w:right w:val="nil"/>
            </w:tcBorders>
            <w:shd w:val="clear" w:color="auto" w:fill="auto"/>
            <w:noWrap/>
            <w:vAlign w:val="center"/>
          </w:tcPr>
          <w:p w14:paraId="1CDEAF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GTPBP4</w:t>
            </w:r>
          </w:p>
        </w:tc>
      </w:tr>
      <w:tr w14:paraId="0F074A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1C9779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0" w:type="auto"/>
            <w:tcBorders>
              <w:top w:val="nil"/>
              <w:left w:val="nil"/>
              <w:bottom w:val="nil"/>
              <w:right w:val="nil"/>
            </w:tcBorders>
            <w:shd w:val="clear" w:color="auto" w:fill="auto"/>
            <w:noWrap/>
            <w:vAlign w:val="center"/>
          </w:tcPr>
          <w:p w14:paraId="226DB1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RFC2</w:t>
            </w:r>
          </w:p>
        </w:tc>
        <w:tc>
          <w:tcPr>
            <w:tcW w:w="0" w:type="auto"/>
            <w:tcBorders>
              <w:top w:val="nil"/>
              <w:left w:val="nil"/>
              <w:bottom w:val="nil"/>
              <w:right w:val="nil"/>
            </w:tcBorders>
            <w:shd w:val="clear" w:color="auto" w:fill="auto"/>
            <w:noWrap/>
            <w:vAlign w:val="center"/>
          </w:tcPr>
          <w:p w14:paraId="032CF93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MAD2L1</w:t>
            </w:r>
          </w:p>
        </w:tc>
        <w:tc>
          <w:tcPr>
            <w:tcW w:w="0" w:type="auto"/>
            <w:tcBorders>
              <w:top w:val="nil"/>
              <w:left w:val="nil"/>
              <w:bottom w:val="nil"/>
              <w:right w:val="nil"/>
            </w:tcBorders>
            <w:shd w:val="clear" w:color="auto" w:fill="auto"/>
            <w:noWrap/>
            <w:vAlign w:val="center"/>
          </w:tcPr>
          <w:p w14:paraId="792697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UBE2I</w:t>
            </w:r>
          </w:p>
        </w:tc>
        <w:tc>
          <w:tcPr>
            <w:tcW w:w="0" w:type="auto"/>
            <w:tcBorders>
              <w:top w:val="nil"/>
              <w:left w:val="nil"/>
              <w:bottom w:val="nil"/>
              <w:right w:val="nil"/>
            </w:tcBorders>
            <w:shd w:val="clear" w:color="auto" w:fill="auto"/>
            <w:noWrap/>
            <w:vAlign w:val="center"/>
          </w:tcPr>
          <w:p w14:paraId="05A043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CCT2</w:t>
            </w:r>
          </w:p>
        </w:tc>
      </w:tr>
      <w:tr w14:paraId="22407B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single" w:color="000000" w:sz="4" w:space="0"/>
              <w:right w:val="nil"/>
            </w:tcBorders>
            <w:shd w:val="clear" w:color="auto" w:fill="auto"/>
            <w:noWrap/>
            <w:vAlign w:val="center"/>
          </w:tcPr>
          <w:p w14:paraId="7C57DC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0" w:type="auto"/>
            <w:tcBorders>
              <w:top w:val="nil"/>
              <w:left w:val="nil"/>
              <w:bottom w:val="single" w:color="000000" w:sz="4" w:space="0"/>
              <w:right w:val="nil"/>
            </w:tcBorders>
            <w:shd w:val="clear" w:color="auto" w:fill="auto"/>
            <w:noWrap/>
            <w:vAlign w:val="center"/>
          </w:tcPr>
          <w:p w14:paraId="01BF98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KIF23</w:t>
            </w:r>
          </w:p>
        </w:tc>
        <w:tc>
          <w:tcPr>
            <w:tcW w:w="0" w:type="auto"/>
            <w:tcBorders>
              <w:top w:val="nil"/>
              <w:left w:val="nil"/>
              <w:bottom w:val="single" w:color="000000" w:sz="4" w:space="0"/>
              <w:right w:val="nil"/>
            </w:tcBorders>
            <w:shd w:val="clear" w:color="auto" w:fill="auto"/>
            <w:noWrap/>
            <w:vAlign w:val="center"/>
          </w:tcPr>
          <w:p w14:paraId="1B9F62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GTPBP4</w:t>
            </w:r>
          </w:p>
        </w:tc>
        <w:tc>
          <w:tcPr>
            <w:tcW w:w="0" w:type="auto"/>
            <w:tcBorders>
              <w:top w:val="nil"/>
              <w:left w:val="nil"/>
              <w:bottom w:val="single" w:color="000000" w:sz="4" w:space="0"/>
              <w:right w:val="nil"/>
            </w:tcBorders>
            <w:shd w:val="clear" w:color="auto" w:fill="auto"/>
            <w:noWrap/>
            <w:vAlign w:val="center"/>
          </w:tcPr>
          <w:p w14:paraId="58FCEE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NCL</w:t>
            </w:r>
          </w:p>
        </w:tc>
        <w:tc>
          <w:tcPr>
            <w:tcW w:w="0" w:type="auto"/>
            <w:tcBorders>
              <w:top w:val="nil"/>
              <w:left w:val="nil"/>
              <w:bottom w:val="single" w:color="000000" w:sz="4" w:space="0"/>
              <w:right w:val="nil"/>
            </w:tcBorders>
            <w:shd w:val="clear" w:color="auto" w:fill="auto"/>
            <w:noWrap/>
            <w:vAlign w:val="center"/>
          </w:tcPr>
          <w:p w14:paraId="79AC98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PALB2</w:t>
            </w:r>
          </w:p>
        </w:tc>
      </w:tr>
    </w:tbl>
    <w:p w14:paraId="6B25D50B">
      <w:pPr>
        <w:widowControl w:val="0"/>
        <w:numPr>
          <w:ilvl w:val="0"/>
          <w:numId w:val="0"/>
        </w:numPr>
        <w:jc w:val="both"/>
        <w:rPr>
          <w:rFonts w:hint="default" w:ascii="Arial" w:hAnsi="Arial" w:cs="Arial"/>
          <w:color w:val="auto"/>
          <w:sz w:val="24"/>
          <w:szCs w:val="24"/>
          <w:highlight w:val="none"/>
          <w:lang w:val="en-US" w:eastAsia="zh-CN"/>
        </w:rPr>
      </w:pPr>
    </w:p>
    <w:p w14:paraId="43DDD257">
      <w:pPr>
        <w:widowControl w:val="0"/>
        <w:numPr>
          <w:ilvl w:val="0"/>
          <w:numId w:val="0"/>
        </w:numPr>
        <w:jc w:val="both"/>
        <w:rPr>
          <w:rFonts w:hint="default" w:ascii="Arial" w:hAnsi="Arial" w:cs="Arial"/>
          <w:color w:val="auto"/>
          <w:sz w:val="24"/>
          <w:szCs w:val="24"/>
          <w:highlight w:val="none"/>
          <w:lang w:val="en-US" w:eastAsia="zh-CN"/>
        </w:rPr>
      </w:pPr>
    </w:p>
    <w:p w14:paraId="1F2FC4BC">
      <w:pPr>
        <w:widowControl w:val="0"/>
        <w:numPr>
          <w:ilvl w:val="0"/>
          <w:numId w:val="0"/>
        </w:numPr>
        <w:jc w:val="both"/>
        <w:rPr>
          <w:rFonts w:hint="default" w:ascii="Arial" w:hAnsi="Arial" w:cs="Arial"/>
          <w:color w:val="auto"/>
          <w:sz w:val="24"/>
          <w:szCs w:val="24"/>
          <w:highlight w:val="none"/>
          <w:lang w:val="en-US" w:eastAsia="zh-CN"/>
        </w:rPr>
      </w:pPr>
    </w:p>
    <w:p w14:paraId="55044B34">
      <w:pPr>
        <w:widowControl w:val="0"/>
        <w:numPr>
          <w:ilvl w:val="0"/>
          <w:numId w:val="0"/>
        </w:numPr>
        <w:jc w:val="both"/>
        <w:rPr>
          <w:rFonts w:hint="default" w:ascii="Arial" w:hAnsi="Arial" w:cs="Arial"/>
          <w:color w:val="auto"/>
          <w:sz w:val="24"/>
          <w:szCs w:val="24"/>
          <w:highlight w:val="none"/>
          <w:lang w:val="en-US" w:eastAsia="zh-CN"/>
        </w:rPr>
      </w:pPr>
    </w:p>
    <w:p w14:paraId="520EB732">
      <w:pPr>
        <w:widowControl w:val="0"/>
        <w:numPr>
          <w:ilvl w:val="0"/>
          <w:numId w:val="0"/>
        </w:numPr>
        <w:jc w:val="both"/>
        <w:rPr>
          <w:rFonts w:hint="default" w:ascii="Arial" w:hAnsi="Arial" w:cs="Arial"/>
          <w:color w:val="auto"/>
          <w:sz w:val="24"/>
          <w:szCs w:val="24"/>
          <w:highlight w:val="none"/>
          <w:lang w:val="en-US" w:eastAsia="zh-CN"/>
        </w:rPr>
      </w:pPr>
    </w:p>
    <w:p w14:paraId="337FEFBF">
      <w:pPr>
        <w:widowControl w:val="0"/>
        <w:numPr>
          <w:ilvl w:val="0"/>
          <w:numId w:val="0"/>
        </w:numPr>
        <w:jc w:val="both"/>
        <w:rPr>
          <w:rFonts w:hint="default" w:ascii="Arial" w:hAnsi="Arial" w:cs="Arial"/>
          <w:color w:val="auto"/>
          <w:sz w:val="24"/>
          <w:szCs w:val="24"/>
          <w:highlight w:val="none"/>
          <w:lang w:val="en-US" w:eastAsia="zh-CN"/>
        </w:rPr>
      </w:pPr>
    </w:p>
    <w:p w14:paraId="526A9F98">
      <w:pPr>
        <w:widowControl w:val="0"/>
        <w:numPr>
          <w:ilvl w:val="0"/>
          <w:numId w:val="0"/>
        </w:numPr>
        <w:jc w:val="both"/>
        <w:rPr>
          <w:rFonts w:hint="default" w:ascii="Arial" w:hAnsi="Arial" w:cs="Arial"/>
          <w:color w:val="auto"/>
          <w:sz w:val="24"/>
          <w:szCs w:val="24"/>
          <w:highlight w:val="none"/>
          <w:lang w:val="en-US" w:eastAsia="zh-CN"/>
        </w:rPr>
      </w:pPr>
    </w:p>
    <w:tbl>
      <w:tblPr>
        <w:tblStyle w:val="6"/>
        <w:tblW w:w="1186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865"/>
      </w:tblGrid>
      <w:tr w14:paraId="166AD7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1865" w:type="dxa"/>
            <w:tcBorders>
              <w:top w:val="nil"/>
              <w:left w:val="nil"/>
              <w:bottom w:val="nil"/>
              <w:right w:val="nil"/>
            </w:tcBorders>
            <w:shd w:val="clear" w:color="auto" w:fill="auto"/>
            <w:vAlign w:val="center"/>
          </w:tcPr>
          <w:p w14:paraId="214D98EF">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Supplementary Table 4. 219 Genes associated with CRC survival analyzed by Univariate Cox proportional hazards regression analysis  based on TCGA data (P &lt; 0.05).</w:t>
            </w:r>
          </w:p>
        </w:tc>
      </w:tr>
      <w:tr w14:paraId="1F4AF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PrEx>
        <w:trPr>
          <w:trHeight w:val="270" w:hRule="atLeast"/>
        </w:trPr>
        <w:tc>
          <w:tcPr>
            <w:tcW w:w="0" w:type="auto"/>
            <w:tcBorders>
              <w:top w:val="nil"/>
              <w:left w:val="nil"/>
              <w:bottom w:val="nil"/>
              <w:right w:val="nil"/>
            </w:tcBorders>
            <w:shd w:val="clear" w:color="auto" w:fill="auto"/>
            <w:noWrap/>
            <w:vAlign w:val="center"/>
          </w:tcPr>
          <w:p w14:paraId="735CC94D">
            <w:pPr>
              <w:rPr>
                <w:rFonts w:hint="eastAsia" w:ascii="宋体" w:hAnsi="宋体" w:eastAsia="宋体" w:cs="宋体"/>
                <w:i w:val="0"/>
                <w:iCs w:val="0"/>
                <w:color w:val="000000"/>
                <w:sz w:val="22"/>
                <w:szCs w:val="22"/>
                <w:u w:val="none"/>
              </w:rPr>
            </w:pPr>
          </w:p>
        </w:tc>
      </w:tr>
      <w:tr w14:paraId="10559E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0" w:hRule="atLeast"/>
        </w:trPr>
        <w:tc>
          <w:tcPr>
            <w:tcW w:w="11865" w:type="dxa"/>
            <w:tcBorders>
              <w:top w:val="single" w:color="000000" w:sz="4" w:space="0"/>
              <w:left w:val="nil"/>
              <w:bottom w:val="single" w:color="000000" w:sz="4" w:space="0"/>
              <w:right w:val="nil"/>
            </w:tcBorders>
            <w:shd w:val="clear" w:color="auto" w:fill="auto"/>
            <w:vAlign w:val="center"/>
          </w:tcPr>
          <w:p w14:paraId="508837A9">
            <w:pPr>
              <w:keepNext w:val="0"/>
              <w:keepLines w:val="0"/>
              <w:widowControl/>
              <w:suppressLineNumbers w:val="0"/>
              <w:jc w:val="center"/>
              <w:textAlignment w:val="center"/>
              <w:rPr>
                <w:rFonts w:hint="eastAsia" w:ascii="宋体" w:hAnsi="宋体" w:eastAsia="宋体" w:cs="宋体"/>
                <w:i/>
                <w:iCs/>
                <w:color w:val="000000"/>
                <w:sz w:val="22"/>
                <w:szCs w:val="22"/>
                <w:u w:val="none"/>
              </w:rPr>
            </w:pPr>
            <w:r>
              <w:rPr>
                <w:rFonts w:hint="eastAsia" w:ascii="宋体" w:hAnsi="宋体" w:eastAsia="宋体" w:cs="宋体"/>
                <w:i/>
                <w:iCs/>
                <w:color w:val="000000"/>
                <w:kern w:val="0"/>
                <w:sz w:val="22"/>
                <w:szCs w:val="22"/>
                <w:u w:val="none"/>
                <w:lang w:val="en-US" w:eastAsia="zh-CN" w:bidi="ar"/>
              </w:rPr>
              <w:t>PCOLCE2 NAT1 RNU6.140P PPP1R1A TIMP1 CPT2 CALB2 NAT2 HSF4 SNAI1  ASPHD1  TRAP1 PDZD4 ATOH1 ITLN1 GPX3 SLC35D1 ACOX1 KPNA2 FABP4 SCG2 H19 GPSM2 PLIN4 C4orf19 PRELP COMP XXbac.B476C20.9 SNHG16 IGLV7.43 MYOM1 CLCA1 CCNF MMP10 PCSK5 C2CD4A AGRN CLDN23 SCGB2A1 HIGD1A CD36 ASPG SLC12A2 CRYAB TPSG1 SUCLG2 FJX1 AOC3 LGALS4 CXXC5 CHPF NGFR MAD2L1 SLC4A4 CLU SRPX BMP5 MPC1 MMP3 IGKV2D.29 FIGF KCTD9 CCL24 SNORD17 HEPACAM2 SFRP2 IGKV2D.24 PPIL1 RAB36 HMMR SULT1B1 HAND1 ARHGEF25 PPARGC1A PLOD3 MMP1 CXCL1 EPHX4 SFTA2 NOTCH3 ATP6V1C2 TMEM236 TPM2 C2CD4B F2RL1 CCT2 CCL28 TNS1 CILP PALM IGSF9 MTM1 PTRF EREG CADM3 AXIN2 SEPP1 PXMP2 PTGIS CTD.2547H18.1 TKT CLCA4 B3GNT6 HSPB7 TINAG C5orf30 BGN DSN1 SNCG CCNJL ZNF692 RP11.54H7.4 RNU4.2 ZG16 DNASE1L3 PARM1 GLP2R ITGA7 BIRC5 ACSL6 IGKV2.24 ADCY5 KIF13B PSRC1 CXCL2 CCNB1 SCARA3 APOD SIGLEC1 CXCL3 ST6GALNAC1 IGHV3.74 ACADM SNORD14E PTTG1 QSOX2 VWA5A SNORD99 CHRDL1 CPA3 OSBPL1A GNG12 MGP NEXN PAQR8 ACACB ANXA3 CTD.2510F5.4 CA2 IGKV6.21 GNG7 FENDRR SFRP5 FCGBP IGLV8.61 THBS4 GAP43 LITAF JAM3 TTYH3 CCNA2 NXPH4 RP11.167N24.6 JAG2 SNHG7 POPDC2 IGLV1.50 CYP2W1 IGJ PGM5 SMPDL3A CLIP3 RBM47 CD177 NXPE4 SPARCL1 CCDC68 CCL11 NIPAL1 ELFN1.AS1 CNN1 IGLV3.19 NEBL SNORA73B LEF1 IGLV7.46 IGKV1.16 XDH MIER1 NFE2L3 LY6E CAPN13 TINCR DIAPH3 GPR15 IGHV3.35 S100P MROH6 CDC45 STC1 VSIG4 SCP2 SPP1 DEFA6 CEACAM7 RP11.150O12.3 ZBTB7C FEV RP11.150O12.6 RETNLB MFI2 PPA1 RANBP1 CDKN2B.AS IGHV3.52 SFXN3 AKR1B10 MYL9 IGHV6.1</w:t>
            </w:r>
          </w:p>
        </w:tc>
      </w:tr>
    </w:tbl>
    <w:p w14:paraId="0D337DFF">
      <w:pPr>
        <w:widowControl w:val="0"/>
        <w:numPr>
          <w:ilvl w:val="0"/>
          <w:numId w:val="0"/>
        </w:numPr>
        <w:jc w:val="both"/>
        <w:rPr>
          <w:rFonts w:hint="default" w:ascii="Arial" w:hAnsi="Arial" w:cs="Arial"/>
          <w:color w:val="auto"/>
          <w:sz w:val="24"/>
          <w:szCs w:val="24"/>
          <w:highlight w:val="none"/>
          <w:lang w:val="en-US" w:eastAsia="zh-CN"/>
        </w:rPr>
      </w:pPr>
    </w:p>
    <w:p w14:paraId="675012E8">
      <w:pPr>
        <w:widowControl w:val="0"/>
        <w:numPr>
          <w:ilvl w:val="0"/>
          <w:numId w:val="0"/>
        </w:numPr>
        <w:jc w:val="both"/>
        <w:rPr>
          <w:rFonts w:hint="default" w:ascii="Arial" w:hAnsi="Arial" w:cs="Arial"/>
          <w:color w:val="auto"/>
          <w:sz w:val="24"/>
          <w:szCs w:val="24"/>
          <w:highlight w:val="none"/>
          <w:lang w:val="en-US" w:eastAsia="zh-CN"/>
        </w:rPr>
      </w:pPr>
    </w:p>
    <w:p w14:paraId="1C48204A">
      <w:pPr>
        <w:widowControl w:val="0"/>
        <w:numPr>
          <w:ilvl w:val="0"/>
          <w:numId w:val="0"/>
        </w:numPr>
        <w:jc w:val="both"/>
        <w:rPr>
          <w:rFonts w:hint="default" w:ascii="Arial" w:hAnsi="Arial" w:cs="Arial"/>
          <w:color w:val="auto"/>
          <w:sz w:val="24"/>
          <w:szCs w:val="24"/>
          <w:highlight w:val="none"/>
          <w:lang w:val="en-US" w:eastAsia="zh-CN"/>
        </w:rPr>
      </w:pPr>
    </w:p>
    <w:p w14:paraId="0AC034BC">
      <w:pPr>
        <w:widowControl w:val="0"/>
        <w:numPr>
          <w:ilvl w:val="0"/>
          <w:numId w:val="0"/>
        </w:numPr>
        <w:jc w:val="both"/>
        <w:rPr>
          <w:rFonts w:hint="default" w:ascii="Arial" w:hAnsi="Arial" w:cs="Arial"/>
          <w:color w:val="auto"/>
          <w:sz w:val="24"/>
          <w:szCs w:val="24"/>
          <w:highlight w:val="none"/>
          <w:lang w:val="en-US" w:eastAsia="zh-CN"/>
        </w:rPr>
      </w:pPr>
    </w:p>
    <w:p w14:paraId="767C78D5">
      <w:pPr>
        <w:widowControl w:val="0"/>
        <w:numPr>
          <w:ilvl w:val="0"/>
          <w:numId w:val="0"/>
        </w:numPr>
        <w:jc w:val="both"/>
        <w:rPr>
          <w:rFonts w:hint="default" w:ascii="Arial" w:hAnsi="Arial" w:cs="Arial"/>
          <w:color w:val="auto"/>
          <w:sz w:val="24"/>
          <w:szCs w:val="24"/>
          <w:highlight w:val="none"/>
          <w:lang w:val="en-US" w:eastAsia="zh-CN"/>
        </w:rPr>
      </w:pPr>
    </w:p>
    <w:p w14:paraId="0282994A">
      <w:pPr>
        <w:widowControl w:val="0"/>
        <w:numPr>
          <w:ilvl w:val="0"/>
          <w:numId w:val="0"/>
        </w:numPr>
        <w:jc w:val="both"/>
        <w:rPr>
          <w:rFonts w:hint="default" w:ascii="Arial" w:hAnsi="Arial" w:cs="Arial"/>
          <w:color w:val="auto"/>
          <w:sz w:val="24"/>
          <w:szCs w:val="24"/>
          <w:highlight w:val="none"/>
          <w:lang w:val="en-US" w:eastAsia="zh-CN"/>
        </w:rPr>
      </w:pPr>
    </w:p>
    <w:p w14:paraId="2BC235E8">
      <w:pPr>
        <w:widowControl w:val="0"/>
        <w:numPr>
          <w:ilvl w:val="0"/>
          <w:numId w:val="0"/>
        </w:numPr>
        <w:jc w:val="both"/>
        <w:rPr>
          <w:rFonts w:hint="default" w:ascii="Arial" w:hAnsi="Arial" w:cs="Arial"/>
          <w:color w:val="auto"/>
          <w:sz w:val="24"/>
          <w:szCs w:val="24"/>
          <w:highlight w:val="none"/>
          <w:lang w:val="en-US" w:eastAsia="zh-CN"/>
        </w:rPr>
      </w:pPr>
    </w:p>
    <w:p w14:paraId="17A130AA">
      <w:pPr>
        <w:widowControl w:val="0"/>
        <w:numPr>
          <w:ilvl w:val="0"/>
          <w:numId w:val="0"/>
        </w:numPr>
        <w:jc w:val="both"/>
        <w:rPr>
          <w:rFonts w:hint="default" w:ascii="Arial" w:hAnsi="Arial" w:cs="Arial"/>
          <w:color w:val="auto"/>
          <w:sz w:val="24"/>
          <w:szCs w:val="24"/>
          <w:highlight w:val="none"/>
          <w:lang w:val="en-US" w:eastAsia="zh-CN"/>
        </w:rPr>
      </w:pPr>
    </w:p>
    <w:p w14:paraId="750AC4D2">
      <w:pPr>
        <w:widowControl w:val="0"/>
        <w:numPr>
          <w:ilvl w:val="0"/>
          <w:numId w:val="0"/>
        </w:numPr>
        <w:jc w:val="both"/>
        <w:rPr>
          <w:rFonts w:hint="default" w:ascii="Arial" w:hAnsi="Arial" w:cs="Arial"/>
          <w:color w:val="auto"/>
          <w:sz w:val="24"/>
          <w:szCs w:val="24"/>
          <w:highlight w:val="none"/>
          <w:lang w:val="en-US" w:eastAsia="zh-CN"/>
        </w:rPr>
      </w:pPr>
    </w:p>
    <w:tbl>
      <w:tblPr>
        <w:tblStyle w:val="6"/>
        <w:tblW w:w="10425"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425"/>
      </w:tblGrid>
      <w:tr w14:paraId="125864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0" w:hRule="atLeast"/>
        </w:trPr>
        <w:tc>
          <w:tcPr>
            <w:tcW w:w="10425" w:type="dxa"/>
            <w:tcBorders>
              <w:top w:val="nil"/>
              <w:left w:val="nil"/>
              <w:bottom w:val="nil"/>
              <w:right w:val="nil"/>
            </w:tcBorders>
            <w:shd w:val="clear" w:color="auto" w:fill="auto"/>
            <w:vAlign w:val="center"/>
          </w:tcPr>
          <w:p w14:paraId="07005F42">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Supplementary Table 5. 18 Genes associated with CRC survival analyzed by Lasso regression analysis based on the results of Univariate Cox proportional hazards regression analysis.</w:t>
            </w:r>
          </w:p>
        </w:tc>
      </w:tr>
      <w:tr w14:paraId="5B6950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1ACC5591">
            <w:pPr>
              <w:rPr>
                <w:rFonts w:hint="eastAsia" w:ascii="宋体" w:hAnsi="宋体" w:eastAsia="宋体" w:cs="宋体"/>
                <w:i w:val="0"/>
                <w:iCs w:val="0"/>
                <w:color w:val="000000"/>
                <w:sz w:val="22"/>
                <w:szCs w:val="22"/>
                <w:u w:val="none"/>
              </w:rPr>
            </w:pPr>
          </w:p>
        </w:tc>
      </w:tr>
      <w:tr w14:paraId="299B4C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10425" w:type="dxa"/>
            <w:tcBorders>
              <w:top w:val="single" w:color="000000" w:sz="4" w:space="0"/>
              <w:left w:val="nil"/>
              <w:bottom w:val="single" w:color="000000" w:sz="4" w:space="0"/>
              <w:right w:val="nil"/>
            </w:tcBorders>
            <w:shd w:val="clear" w:color="auto" w:fill="auto"/>
            <w:vAlign w:val="center"/>
          </w:tcPr>
          <w:p w14:paraId="01008C78">
            <w:pPr>
              <w:keepNext w:val="0"/>
              <w:keepLines w:val="0"/>
              <w:widowControl/>
              <w:suppressLineNumbers w:val="0"/>
              <w:jc w:val="center"/>
              <w:textAlignment w:val="center"/>
              <w:rPr>
                <w:rFonts w:hint="eastAsia" w:ascii="宋体" w:hAnsi="宋体" w:eastAsia="宋体" w:cs="宋体"/>
                <w:i/>
                <w:iCs/>
                <w:color w:val="000000"/>
                <w:sz w:val="22"/>
                <w:szCs w:val="22"/>
                <w:u w:val="none"/>
              </w:rPr>
            </w:pPr>
            <w:r>
              <w:rPr>
                <w:rFonts w:hint="eastAsia" w:ascii="宋体" w:hAnsi="宋体" w:eastAsia="宋体" w:cs="宋体"/>
                <w:i/>
                <w:iCs/>
                <w:color w:val="000000"/>
                <w:kern w:val="0"/>
                <w:sz w:val="22"/>
                <w:szCs w:val="22"/>
                <w:u w:val="none"/>
                <w:lang w:val="en-US" w:eastAsia="zh-CN" w:bidi="ar"/>
              </w:rPr>
              <w:t>TIMP1 H19 SFTA2 ASPHD1 SNAI1 ATP6V1C2 HSF4 AGRN IGLV7.43 CLDN23 ATOH1 RNU6.140P IGKV2D.24 XXbac.B476C20.9 CPT2 ACOX1 NAT1 ASPG CPT2 ACOX1 NAT1 ASPG</w:t>
            </w:r>
          </w:p>
        </w:tc>
      </w:tr>
    </w:tbl>
    <w:p w14:paraId="36EEE031">
      <w:pPr>
        <w:widowControl w:val="0"/>
        <w:numPr>
          <w:ilvl w:val="0"/>
          <w:numId w:val="0"/>
        </w:numPr>
        <w:jc w:val="both"/>
        <w:rPr>
          <w:rFonts w:hint="default" w:ascii="Arial" w:hAnsi="Arial" w:cs="Arial"/>
          <w:color w:val="auto"/>
          <w:sz w:val="24"/>
          <w:szCs w:val="24"/>
          <w:highlight w:val="none"/>
          <w:lang w:val="en-US" w:eastAsia="zh-CN"/>
        </w:rPr>
      </w:pPr>
    </w:p>
    <w:p w14:paraId="0A3F7182">
      <w:pPr>
        <w:widowControl w:val="0"/>
        <w:numPr>
          <w:ilvl w:val="0"/>
          <w:numId w:val="0"/>
        </w:numPr>
        <w:jc w:val="both"/>
        <w:rPr>
          <w:rFonts w:hint="default" w:ascii="Arial" w:hAnsi="Arial" w:cs="Arial"/>
          <w:color w:val="auto"/>
          <w:sz w:val="24"/>
          <w:szCs w:val="24"/>
          <w:highlight w:val="none"/>
          <w:lang w:val="en-US" w:eastAsia="zh-CN"/>
        </w:rPr>
      </w:pPr>
    </w:p>
    <w:p w14:paraId="7F275476">
      <w:pPr>
        <w:widowControl w:val="0"/>
        <w:numPr>
          <w:ilvl w:val="0"/>
          <w:numId w:val="0"/>
        </w:numPr>
        <w:jc w:val="both"/>
        <w:rPr>
          <w:rFonts w:hint="default" w:ascii="Arial" w:hAnsi="Arial" w:cs="Arial"/>
          <w:color w:val="auto"/>
          <w:sz w:val="24"/>
          <w:szCs w:val="24"/>
          <w:highlight w:val="none"/>
          <w:lang w:val="en-US" w:eastAsia="zh-CN"/>
        </w:rPr>
      </w:pPr>
    </w:p>
    <w:tbl>
      <w:tblPr>
        <w:tblStyle w:val="6"/>
        <w:tblW w:w="1119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190"/>
      </w:tblGrid>
      <w:tr w14:paraId="649EF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1190" w:type="dxa"/>
            <w:tcBorders>
              <w:top w:val="nil"/>
              <w:left w:val="nil"/>
              <w:bottom w:val="nil"/>
              <w:right w:val="nil"/>
            </w:tcBorders>
            <w:shd w:val="clear" w:color="auto" w:fill="auto"/>
            <w:vAlign w:val="center"/>
          </w:tcPr>
          <w:p w14:paraId="727AA57A">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Supplementary Table 6. 85 Genes commonly up-regulated in DLD1 and SW620 after mefloquine treated.</w:t>
            </w:r>
          </w:p>
        </w:tc>
      </w:tr>
      <w:tr w14:paraId="68A11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2EDC8B84">
            <w:pPr>
              <w:rPr>
                <w:rFonts w:hint="eastAsia" w:ascii="宋体" w:hAnsi="宋体" w:eastAsia="宋体" w:cs="宋体"/>
                <w:i w:val="0"/>
                <w:iCs w:val="0"/>
                <w:color w:val="000000"/>
                <w:sz w:val="22"/>
                <w:szCs w:val="22"/>
                <w:u w:val="none"/>
              </w:rPr>
            </w:pPr>
          </w:p>
        </w:tc>
      </w:tr>
      <w:tr w14:paraId="73EFFB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60" w:hRule="atLeast"/>
        </w:trPr>
        <w:tc>
          <w:tcPr>
            <w:tcW w:w="11190" w:type="dxa"/>
            <w:tcBorders>
              <w:top w:val="single" w:color="000000" w:sz="4" w:space="0"/>
              <w:left w:val="nil"/>
              <w:bottom w:val="single" w:color="000000" w:sz="4" w:space="0"/>
              <w:right w:val="nil"/>
            </w:tcBorders>
            <w:shd w:val="clear" w:color="auto" w:fill="auto"/>
            <w:vAlign w:val="center"/>
          </w:tcPr>
          <w:p w14:paraId="0C1D24AE">
            <w:pPr>
              <w:keepNext w:val="0"/>
              <w:keepLines w:val="0"/>
              <w:widowControl/>
              <w:suppressLineNumbers w:val="0"/>
              <w:jc w:val="center"/>
              <w:textAlignment w:val="center"/>
              <w:rPr>
                <w:rFonts w:hint="eastAsia" w:ascii="宋体" w:hAnsi="宋体" w:eastAsia="宋体" w:cs="宋体"/>
                <w:i/>
                <w:iCs/>
                <w:color w:val="000000"/>
                <w:sz w:val="22"/>
                <w:szCs w:val="22"/>
                <w:u w:val="none"/>
              </w:rPr>
            </w:pPr>
            <w:r>
              <w:rPr>
                <w:rFonts w:hint="eastAsia" w:ascii="宋体" w:hAnsi="宋体" w:eastAsia="宋体" w:cs="宋体"/>
                <w:i/>
                <w:iCs/>
                <w:color w:val="000000"/>
                <w:kern w:val="0"/>
                <w:sz w:val="22"/>
                <w:szCs w:val="22"/>
                <w:u w:val="none"/>
                <w:lang w:val="en-US" w:eastAsia="zh-CN" w:bidi="ar"/>
              </w:rPr>
              <w:t>LDLR SCD FASN HMGCR ACSL1 PCSK9 HSPA1A NPC1 DHCR7 PNPLA3 MVD LPIN1 INSIG1 MLXIPL LSS RDH11 NPDC1 MFGE8 GSN BHLHE40 STXBP1 LIPG ACSS2 ROGDI MVK SLC5A1 TPP1 OASL SLC26A6 PHC1 RBCK1 SQLE FDFT1 CD82 WIPI1 IGF2R IKBKG TCIRG1 MEGF8 ACAP3 ANKRD52 ABCA7 CLCN6 LMF1 NEU1 NSDHL ABCA2 HSD17B7 LRRC8A TM7SF2 COL6A1 HSPG2 LPCAT4 PIK3R2 MICAL1 TREX1 RHBDF2 GDI1 SMTN TUBA1A LAMA5 SLC22A18 PLXNA3 H6PD SGSM2 ARHGEF4 MROH1 PHKA2 NADSYN1 ADCY6 ANKRD37 DHRS1 RHPN1 B4GALNT3 SLC25A29 MAN2B2 NBEAL2 PBXIP1 SLC12A4 TMEM63A TNFSF12-TNFSF13 DDX60 TAF1C ZSWIM8 EHBP1L1</w:t>
            </w:r>
          </w:p>
        </w:tc>
      </w:tr>
    </w:tbl>
    <w:p w14:paraId="5AFC8CE1">
      <w:pPr>
        <w:widowControl w:val="0"/>
        <w:numPr>
          <w:ilvl w:val="0"/>
          <w:numId w:val="0"/>
        </w:numPr>
        <w:jc w:val="both"/>
        <w:rPr>
          <w:rFonts w:hint="default" w:ascii="Arial" w:hAnsi="Arial" w:cs="Arial"/>
          <w:color w:val="auto"/>
          <w:sz w:val="24"/>
          <w:szCs w:val="24"/>
          <w:highlight w:val="none"/>
          <w:lang w:val="en-US" w:eastAsia="zh-CN"/>
        </w:rPr>
      </w:pPr>
    </w:p>
    <w:p w14:paraId="5857DCC1">
      <w:pPr>
        <w:widowControl w:val="0"/>
        <w:numPr>
          <w:ilvl w:val="0"/>
          <w:numId w:val="0"/>
        </w:numPr>
        <w:jc w:val="both"/>
        <w:rPr>
          <w:rFonts w:hint="default" w:ascii="Arial" w:hAnsi="Arial" w:cs="Arial"/>
          <w:color w:val="auto"/>
          <w:sz w:val="24"/>
          <w:szCs w:val="24"/>
          <w:highlight w:val="none"/>
          <w:lang w:val="en-US" w:eastAsia="zh-CN"/>
        </w:rPr>
      </w:pPr>
    </w:p>
    <w:p w14:paraId="7D280A98">
      <w:pPr>
        <w:widowControl w:val="0"/>
        <w:numPr>
          <w:ilvl w:val="0"/>
          <w:numId w:val="0"/>
        </w:numPr>
        <w:jc w:val="both"/>
        <w:rPr>
          <w:rFonts w:hint="default" w:ascii="Arial" w:hAnsi="Arial" w:cs="Arial"/>
          <w:color w:val="auto"/>
          <w:sz w:val="24"/>
          <w:szCs w:val="24"/>
          <w:highlight w:val="none"/>
          <w:lang w:val="en-US" w:eastAsia="zh-CN"/>
        </w:rPr>
      </w:pPr>
    </w:p>
    <w:p w14:paraId="5E399AE9">
      <w:pPr>
        <w:widowControl w:val="0"/>
        <w:numPr>
          <w:ilvl w:val="0"/>
          <w:numId w:val="0"/>
        </w:numPr>
        <w:jc w:val="both"/>
        <w:rPr>
          <w:rFonts w:hint="default" w:ascii="Arial" w:hAnsi="Arial" w:cs="Arial"/>
          <w:color w:val="auto"/>
          <w:sz w:val="24"/>
          <w:szCs w:val="24"/>
          <w:highlight w:val="none"/>
          <w:lang w:val="en-US" w:eastAsia="zh-CN"/>
        </w:rPr>
      </w:pPr>
    </w:p>
    <w:p w14:paraId="55E18B60">
      <w:pPr>
        <w:widowControl w:val="0"/>
        <w:numPr>
          <w:ilvl w:val="0"/>
          <w:numId w:val="0"/>
        </w:numPr>
        <w:jc w:val="both"/>
        <w:rPr>
          <w:rFonts w:hint="default" w:ascii="Arial" w:hAnsi="Arial" w:cs="Arial"/>
          <w:color w:val="auto"/>
          <w:sz w:val="24"/>
          <w:szCs w:val="24"/>
          <w:highlight w:val="none"/>
          <w:lang w:val="en-US" w:eastAsia="zh-CN"/>
        </w:rPr>
      </w:pPr>
    </w:p>
    <w:p w14:paraId="1CA58253">
      <w:pPr>
        <w:widowControl w:val="0"/>
        <w:numPr>
          <w:ilvl w:val="0"/>
          <w:numId w:val="0"/>
        </w:numPr>
        <w:jc w:val="both"/>
        <w:rPr>
          <w:rFonts w:hint="default" w:ascii="Arial" w:hAnsi="Arial" w:cs="Arial"/>
          <w:color w:val="auto"/>
          <w:sz w:val="24"/>
          <w:szCs w:val="24"/>
          <w:highlight w:val="none"/>
          <w:lang w:val="en-US" w:eastAsia="zh-CN"/>
        </w:rPr>
      </w:pPr>
    </w:p>
    <w:p w14:paraId="74F78937">
      <w:pPr>
        <w:widowControl w:val="0"/>
        <w:numPr>
          <w:ilvl w:val="0"/>
          <w:numId w:val="0"/>
        </w:numPr>
        <w:jc w:val="both"/>
        <w:rPr>
          <w:rFonts w:hint="default" w:ascii="Arial" w:hAnsi="Arial" w:cs="Arial"/>
          <w:color w:val="auto"/>
          <w:sz w:val="24"/>
          <w:szCs w:val="24"/>
          <w:highlight w:val="none"/>
          <w:lang w:val="en-US" w:eastAsia="zh-CN"/>
        </w:rPr>
      </w:pPr>
    </w:p>
    <w:p w14:paraId="52AD1EB7">
      <w:pPr>
        <w:widowControl w:val="0"/>
        <w:numPr>
          <w:ilvl w:val="0"/>
          <w:numId w:val="0"/>
        </w:numPr>
        <w:jc w:val="both"/>
        <w:rPr>
          <w:rFonts w:hint="default" w:ascii="Arial" w:hAnsi="Arial" w:cs="Arial"/>
          <w:color w:val="auto"/>
          <w:sz w:val="24"/>
          <w:szCs w:val="24"/>
          <w:highlight w:val="none"/>
          <w:lang w:val="en-US" w:eastAsia="zh-CN"/>
        </w:rPr>
      </w:pPr>
    </w:p>
    <w:p w14:paraId="0C87838F">
      <w:pPr>
        <w:widowControl w:val="0"/>
        <w:numPr>
          <w:ilvl w:val="0"/>
          <w:numId w:val="0"/>
        </w:numPr>
        <w:jc w:val="both"/>
        <w:rPr>
          <w:rFonts w:hint="default" w:ascii="Arial" w:hAnsi="Arial" w:cs="Arial"/>
          <w:color w:val="auto"/>
          <w:sz w:val="24"/>
          <w:szCs w:val="24"/>
          <w:highlight w:val="none"/>
          <w:lang w:val="en-US" w:eastAsia="zh-CN"/>
        </w:rPr>
      </w:pPr>
    </w:p>
    <w:tbl>
      <w:tblPr>
        <w:tblStyle w:val="6"/>
        <w:tblW w:w="113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1340"/>
      </w:tblGrid>
      <w:tr w14:paraId="1B7814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1340" w:type="dxa"/>
            <w:tcBorders>
              <w:top w:val="nil"/>
              <w:left w:val="nil"/>
              <w:bottom w:val="nil"/>
              <w:right w:val="nil"/>
            </w:tcBorders>
            <w:shd w:val="clear" w:color="auto" w:fill="auto"/>
            <w:vAlign w:val="center"/>
          </w:tcPr>
          <w:p w14:paraId="42A05107">
            <w:pPr>
              <w:keepNext w:val="0"/>
              <w:keepLines w:val="0"/>
              <w:widowControl/>
              <w:suppressLineNumbers w:val="0"/>
              <w:jc w:val="left"/>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Supplementary Table 7. 125 Genes commonly down-regulated in DLD1 and SW620 after mefloquine treated.</w:t>
            </w:r>
          </w:p>
        </w:tc>
      </w:tr>
      <w:tr w14:paraId="3BC6D1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tcBorders>
              <w:top w:val="nil"/>
              <w:left w:val="nil"/>
              <w:bottom w:val="nil"/>
              <w:right w:val="nil"/>
            </w:tcBorders>
            <w:shd w:val="clear" w:color="auto" w:fill="auto"/>
            <w:noWrap/>
            <w:vAlign w:val="center"/>
          </w:tcPr>
          <w:p w14:paraId="6238D561">
            <w:pPr>
              <w:rPr>
                <w:rFonts w:hint="eastAsia" w:ascii="宋体" w:hAnsi="宋体" w:eastAsia="宋体" w:cs="宋体"/>
                <w:i w:val="0"/>
                <w:iCs w:val="0"/>
                <w:color w:val="000000"/>
                <w:sz w:val="22"/>
                <w:szCs w:val="22"/>
                <w:u w:val="none"/>
              </w:rPr>
            </w:pPr>
          </w:p>
        </w:tc>
      </w:tr>
      <w:tr w14:paraId="701B203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0" w:hRule="atLeast"/>
        </w:trPr>
        <w:tc>
          <w:tcPr>
            <w:tcW w:w="11340" w:type="dxa"/>
            <w:tcBorders>
              <w:top w:val="single" w:color="000000" w:sz="4" w:space="0"/>
              <w:left w:val="nil"/>
              <w:bottom w:val="single" w:color="000000" w:sz="4" w:space="0"/>
              <w:right w:val="nil"/>
            </w:tcBorders>
            <w:shd w:val="clear" w:color="auto" w:fill="auto"/>
            <w:vAlign w:val="center"/>
          </w:tcPr>
          <w:p w14:paraId="1A62E172">
            <w:pPr>
              <w:keepNext w:val="0"/>
              <w:keepLines w:val="0"/>
              <w:widowControl/>
              <w:suppressLineNumbers w:val="0"/>
              <w:jc w:val="center"/>
              <w:textAlignment w:val="center"/>
              <w:rPr>
                <w:rFonts w:hint="eastAsia" w:ascii="宋体" w:hAnsi="宋体" w:eastAsia="宋体" w:cs="宋体"/>
                <w:i/>
                <w:iCs/>
                <w:color w:val="000000"/>
                <w:sz w:val="22"/>
                <w:szCs w:val="22"/>
                <w:u w:val="none"/>
              </w:rPr>
            </w:pPr>
            <w:r>
              <w:rPr>
                <w:rFonts w:hint="eastAsia" w:ascii="宋体" w:hAnsi="宋体" w:eastAsia="宋体" w:cs="宋体"/>
                <w:i/>
                <w:iCs/>
                <w:color w:val="000000"/>
                <w:kern w:val="0"/>
                <w:sz w:val="22"/>
                <w:szCs w:val="22"/>
                <w:u w:val="none"/>
                <w:lang w:val="en-US" w:eastAsia="zh-CN" w:bidi="ar"/>
              </w:rPr>
              <w:t>HSPD1 MT-ATP6 HSPA9 TXNIP CCND1 MT-CO1 DHFR SCO1 MT-CYB SMS MTHFD2 MT-ND2 MT-CO3 VAPB LIAS NPM1 GRSF1 PSAT1 POP1 HNRNPA1 IARS2 ASNS SLC25A32 SNAP29 MRPL3 KLF5 MRPL15 PDE4D PTPN2 AXIN2 KLF10 ZMPSTE24 GRPEL2 THG1L ANP32A EHF ATPAF1 PTMA LANCL2 SLC38A2 PAICS SOX4 LIMS1 ZFAS1 HNRNPC AJUBA NT5C2 CCT5 ETF1 EBAG9 RPL12 ANP32B SRSF6 PTP4A1 EFNB2 IFRD1 KCNE3 SNHG8 POLA1 APOBEC3B CST7 NUDT15 WTAP CNBP ZBED3 MRPL54 TIMM10 OGFOD1 PDCD7 NOL10 TARS1 DESI2 MEX3C RBMX TSC22D1 KHDRBS1 HNRNPU CDV3 ZCCHC8 ARRDC4 LRATD2 RRP15 LINC00511 C19orf33 CCDC174 ZCCHC7 TP53RK CEBPG ORC5 COPS3 SRSF8 H1-0 IARS1 PTP4A2 DNAJC7 EIF3J WDR3 AZIN1 THRAP3 ZSCAN12 FAM107B TADA2A SBDSP1 UTP25 PIGW RBM18 EAPP NGDN RSL1D1 IL20RA C16orf72 NUDT4 RWDD2B GAR1 NIP7 POLR1B PNO1 POLR2M RSL24D1 SH3KBP1 PRR11 SCAF8 UBE2E1 SET SEC11A</w:t>
            </w:r>
          </w:p>
        </w:tc>
      </w:tr>
    </w:tbl>
    <w:p w14:paraId="69D756D9">
      <w:pPr>
        <w:widowControl w:val="0"/>
        <w:numPr>
          <w:ilvl w:val="0"/>
          <w:numId w:val="0"/>
        </w:numPr>
        <w:jc w:val="both"/>
        <w:rPr>
          <w:rFonts w:hint="default" w:ascii="Arial" w:hAnsi="Arial" w:cs="Arial"/>
          <w:color w:val="auto"/>
          <w:sz w:val="24"/>
          <w:szCs w:val="24"/>
          <w:highlight w:val="none"/>
          <w:lang w:val="en-US" w:eastAsia="zh-CN"/>
        </w:rPr>
      </w:pPr>
    </w:p>
    <w:p w14:paraId="32ACFB1E">
      <w:pPr>
        <w:widowControl w:val="0"/>
        <w:numPr>
          <w:ilvl w:val="0"/>
          <w:numId w:val="0"/>
        </w:numPr>
        <w:jc w:val="both"/>
        <w:rPr>
          <w:rFonts w:hint="default" w:ascii="Arial" w:hAnsi="Arial" w:cs="Arial"/>
          <w:color w:val="auto"/>
          <w:sz w:val="24"/>
          <w:szCs w:val="24"/>
          <w:highlight w:val="none"/>
          <w:lang w:val="en-US" w:eastAsia="zh-CN"/>
        </w:rPr>
      </w:pPr>
    </w:p>
    <w:p w14:paraId="3D9F0977">
      <w:pPr>
        <w:widowControl w:val="0"/>
        <w:numPr>
          <w:ilvl w:val="0"/>
          <w:numId w:val="0"/>
        </w:numPr>
        <w:jc w:val="both"/>
        <w:rPr>
          <w:rFonts w:hint="default" w:ascii="Arial" w:hAnsi="Arial" w:cs="Arial"/>
          <w:color w:val="auto"/>
          <w:sz w:val="24"/>
          <w:szCs w:val="24"/>
          <w:highlight w:val="none"/>
          <w:lang w:val="en-US" w:eastAsia="zh-CN"/>
        </w:rPr>
      </w:pPr>
    </w:p>
    <w:p w14:paraId="4E4A9E1B">
      <w:pPr>
        <w:widowControl w:val="0"/>
        <w:numPr>
          <w:ilvl w:val="0"/>
          <w:numId w:val="0"/>
        </w:numPr>
        <w:jc w:val="both"/>
        <w:rPr>
          <w:rFonts w:hint="default" w:ascii="Arial" w:hAnsi="Arial" w:cs="Arial"/>
          <w:color w:val="auto"/>
          <w:sz w:val="24"/>
          <w:szCs w:val="24"/>
          <w:highlight w:val="none"/>
          <w:lang w:val="en-US" w:eastAsia="zh-CN"/>
        </w:rPr>
      </w:pPr>
    </w:p>
    <w:p w14:paraId="367F67B1">
      <w:pPr>
        <w:widowControl w:val="0"/>
        <w:numPr>
          <w:ilvl w:val="0"/>
          <w:numId w:val="0"/>
        </w:numPr>
        <w:jc w:val="both"/>
        <w:rPr>
          <w:rFonts w:hint="default" w:ascii="Arial" w:hAnsi="Arial" w:cs="Arial"/>
          <w:color w:val="auto"/>
          <w:sz w:val="24"/>
          <w:szCs w:val="24"/>
          <w:highlight w:val="none"/>
          <w:lang w:val="en-US" w:eastAsia="zh-CN"/>
        </w:rPr>
      </w:pPr>
    </w:p>
    <w:p w14:paraId="3B796D33">
      <w:pPr>
        <w:widowControl w:val="0"/>
        <w:numPr>
          <w:ilvl w:val="0"/>
          <w:numId w:val="0"/>
        </w:numPr>
        <w:jc w:val="both"/>
        <w:rPr>
          <w:rFonts w:hint="default" w:ascii="Arial" w:hAnsi="Arial" w:cs="Arial"/>
          <w:color w:val="auto"/>
          <w:sz w:val="24"/>
          <w:szCs w:val="24"/>
          <w:highlight w:val="none"/>
          <w:lang w:val="en-US" w:eastAsia="zh-CN"/>
        </w:rPr>
      </w:pPr>
    </w:p>
    <w:p w14:paraId="68D2C340">
      <w:pPr>
        <w:widowControl w:val="0"/>
        <w:numPr>
          <w:ilvl w:val="0"/>
          <w:numId w:val="0"/>
        </w:numPr>
        <w:jc w:val="both"/>
        <w:rPr>
          <w:rFonts w:hint="default" w:ascii="Arial" w:hAnsi="Arial" w:cs="Arial"/>
          <w:color w:val="auto"/>
          <w:sz w:val="24"/>
          <w:szCs w:val="24"/>
          <w:highlight w:val="none"/>
          <w:lang w:val="en-US" w:eastAsia="zh-CN"/>
        </w:rPr>
      </w:pPr>
    </w:p>
    <w:p w14:paraId="0C63C5EA">
      <w:pPr>
        <w:widowControl w:val="0"/>
        <w:numPr>
          <w:ilvl w:val="0"/>
          <w:numId w:val="0"/>
        </w:numPr>
        <w:jc w:val="both"/>
        <w:rPr>
          <w:rFonts w:hint="default" w:ascii="Arial" w:hAnsi="Arial" w:cs="Arial"/>
          <w:color w:val="auto"/>
          <w:sz w:val="24"/>
          <w:szCs w:val="24"/>
          <w:highlight w:val="none"/>
          <w:lang w:val="en-US" w:eastAsia="zh-CN"/>
        </w:rPr>
      </w:pPr>
    </w:p>
    <w:p w14:paraId="2B169AD4">
      <w:pPr>
        <w:widowControl w:val="0"/>
        <w:numPr>
          <w:ilvl w:val="0"/>
          <w:numId w:val="0"/>
        </w:numPr>
        <w:jc w:val="both"/>
        <w:rPr>
          <w:rFonts w:hint="default" w:ascii="Arial" w:hAnsi="Arial" w:cs="Arial"/>
          <w:color w:val="auto"/>
          <w:sz w:val="24"/>
          <w:szCs w:val="24"/>
          <w:highlight w:val="none"/>
          <w:lang w:val="en-US" w:eastAsia="zh-CN"/>
        </w:rPr>
      </w:pPr>
    </w:p>
    <w:p w14:paraId="688258DD">
      <w:pPr>
        <w:widowControl w:val="0"/>
        <w:numPr>
          <w:ilvl w:val="0"/>
          <w:numId w:val="0"/>
        </w:numPr>
        <w:jc w:val="both"/>
        <w:rPr>
          <w:rFonts w:hint="default" w:ascii="Arial" w:hAnsi="Arial" w:cs="Arial"/>
          <w:color w:val="auto"/>
          <w:sz w:val="24"/>
          <w:szCs w:val="24"/>
          <w:highlight w:val="none"/>
          <w:lang w:val="en-US" w:eastAsia="zh-CN"/>
        </w:rPr>
      </w:pPr>
    </w:p>
    <w:p w14:paraId="6F81A26F">
      <w:pPr>
        <w:widowControl w:val="0"/>
        <w:numPr>
          <w:ilvl w:val="0"/>
          <w:numId w:val="0"/>
        </w:numPr>
        <w:jc w:val="both"/>
        <w:rPr>
          <w:rFonts w:hint="default" w:ascii="Arial" w:hAnsi="Arial" w:cs="Arial"/>
          <w:color w:val="auto"/>
          <w:sz w:val="24"/>
          <w:szCs w:val="24"/>
          <w:highlight w:val="none"/>
          <w:lang w:val="en-US" w:eastAsia="zh-CN"/>
        </w:rPr>
      </w:pPr>
    </w:p>
    <w:p w14:paraId="33CAE94D">
      <w:pPr>
        <w:widowControl w:val="0"/>
        <w:numPr>
          <w:ilvl w:val="0"/>
          <w:numId w:val="0"/>
        </w:numPr>
        <w:jc w:val="both"/>
        <w:rPr>
          <w:rFonts w:hint="default" w:ascii="Arial" w:hAnsi="Arial" w:cs="Arial"/>
          <w:color w:val="auto"/>
          <w:sz w:val="24"/>
          <w:szCs w:val="24"/>
          <w:highlight w:val="none"/>
          <w:lang w:val="en-US" w:eastAsia="zh-CN"/>
        </w:rPr>
      </w:pPr>
    </w:p>
    <w:p w14:paraId="22C665F6">
      <w:pPr>
        <w:widowControl w:val="0"/>
        <w:numPr>
          <w:ilvl w:val="0"/>
          <w:numId w:val="0"/>
        </w:numPr>
        <w:jc w:val="both"/>
        <w:rPr>
          <w:rFonts w:hint="default" w:ascii="Arial" w:hAnsi="Arial" w:cs="Arial"/>
          <w:color w:val="auto"/>
          <w:sz w:val="24"/>
          <w:szCs w:val="24"/>
          <w:highlight w:val="none"/>
          <w:lang w:val="en-US" w:eastAsia="zh-CN"/>
        </w:rPr>
      </w:pPr>
    </w:p>
    <w:p w14:paraId="370B436D">
      <w:pPr>
        <w:widowControl w:val="0"/>
        <w:numPr>
          <w:ilvl w:val="0"/>
          <w:numId w:val="0"/>
        </w:numPr>
        <w:jc w:val="both"/>
        <w:rPr>
          <w:rFonts w:hint="default" w:ascii="Arial" w:hAnsi="Arial" w:cs="Arial"/>
          <w:color w:val="auto"/>
          <w:sz w:val="24"/>
          <w:szCs w:val="24"/>
          <w:highlight w:val="none"/>
          <w:lang w:val="en-US" w:eastAsia="zh-CN"/>
        </w:rPr>
      </w:pPr>
    </w:p>
    <w:p w14:paraId="0BA611CC">
      <w:pPr>
        <w:rPr>
          <w:rFonts w:hint="default" w:ascii="Arial" w:hAnsi="Arial" w:cs="Arial"/>
          <w:b/>
          <w:bCs/>
          <w:sz w:val="24"/>
          <w:highlight w:val="none"/>
          <w:lang w:val="en-US" w:eastAsia="zh-CN"/>
        </w:rPr>
      </w:pPr>
      <w:r>
        <w:rPr>
          <w:rFonts w:hint="default" w:ascii="Arial" w:hAnsi="Arial" w:cs="Arial"/>
          <w:b/>
          <w:bCs/>
          <w:sz w:val="24"/>
          <w:highlight w:val="none"/>
          <w:lang w:val="en-US" w:eastAsia="zh-CN"/>
        </w:rPr>
        <w:t>Unprocessed versions of all blots</w:t>
      </w:r>
    </w:p>
    <w:p w14:paraId="78F86F89">
      <w:pPr>
        <w:rPr>
          <w:rFonts w:hint="default" w:ascii="Arial" w:hAnsi="Arial" w:cs="Arial"/>
          <w:b/>
          <w:bCs/>
          <w:sz w:val="24"/>
          <w:lang w:val="en-US" w:eastAsia="zh-CN"/>
        </w:rPr>
      </w:pPr>
      <w:r>
        <w:rPr>
          <w:rFonts w:hint="default" w:ascii="Arial" w:hAnsi="Arial" w:cs="Arial"/>
          <w:b/>
          <w:bCs/>
          <w:sz w:val="24"/>
          <w:lang w:val="en-US" w:eastAsia="zh-CN"/>
        </w:rPr>
        <w:drawing>
          <wp:inline distT="0" distB="0" distL="114300" distR="114300">
            <wp:extent cx="5890260" cy="4803775"/>
            <wp:effectExtent l="0" t="0" r="15240" b="15875"/>
            <wp:docPr id="1" name="图片 1" descr="Figure 9C CI MT-N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Figure 9C CI MT-ND2"/>
                    <pic:cNvPicPr>
                      <a:picLocks noChangeAspect="1"/>
                    </pic:cNvPicPr>
                  </pic:nvPicPr>
                  <pic:blipFill>
                    <a:blip r:embed="rId9"/>
                    <a:stretch>
                      <a:fillRect/>
                    </a:stretch>
                  </pic:blipFill>
                  <pic:spPr>
                    <a:xfrm>
                      <a:off x="0" y="0"/>
                      <a:ext cx="5890260" cy="4803775"/>
                    </a:xfrm>
                    <a:prstGeom prst="rect">
                      <a:avLst/>
                    </a:prstGeom>
                  </pic:spPr>
                </pic:pic>
              </a:graphicData>
            </a:graphic>
          </wp:inline>
        </w:drawing>
      </w:r>
    </w:p>
    <w:p w14:paraId="3CDC56CC">
      <w:pPr>
        <w:rPr>
          <w:rFonts w:hint="default" w:ascii="Arial" w:hAnsi="Arial" w:cs="Arial"/>
          <w:b/>
          <w:bCs/>
          <w:sz w:val="24"/>
          <w:lang w:val="en-US" w:eastAsia="zh-CN"/>
        </w:rPr>
      </w:pPr>
      <w:r>
        <w:rPr>
          <w:rFonts w:hint="default" w:ascii="Arial" w:hAnsi="Arial" w:cs="Arial"/>
          <w:b/>
          <w:bCs/>
          <w:sz w:val="24"/>
          <w:lang w:val="en-US" w:eastAsia="zh-CN"/>
        </w:rPr>
        <w:drawing>
          <wp:inline distT="0" distB="0" distL="114300" distR="114300">
            <wp:extent cx="6468110" cy="5273675"/>
            <wp:effectExtent l="0" t="0" r="8890" b="3175"/>
            <wp:docPr id="2" name="图片 2" descr="Figure 9C CIII MT-CO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igure 9C CIII MT-CO1"/>
                    <pic:cNvPicPr>
                      <a:picLocks noChangeAspect="1"/>
                    </pic:cNvPicPr>
                  </pic:nvPicPr>
                  <pic:blipFill>
                    <a:blip r:embed="rId10"/>
                    <a:stretch>
                      <a:fillRect/>
                    </a:stretch>
                  </pic:blipFill>
                  <pic:spPr>
                    <a:xfrm>
                      <a:off x="0" y="0"/>
                      <a:ext cx="6468110" cy="5273675"/>
                    </a:xfrm>
                    <a:prstGeom prst="rect">
                      <a:avLst/>
                    </a:prstGeom>
                  </pic:spPr>
                </pic:pic>
              </a:graphicData>
            </a:graphic>
          </wp:inline>
        </w:drawing>
      </w:r>
    </w:p>
    <w:p w14:paraId="26FA5A9D">
      <w:pPr>
        <w:rPr>
          <w:rFonts w:hint="default" w:ascii="Arial" w:hAnsi="Arial" w:cs="Arial"/>
          <w:b/>
          <w:bCs/>
          <w:sz w:val="24"/>
          <w:lang w:val="en-US" w:eastAsia="zh-CN"/>
        </w:rPr>
      </w:pPr>
      <w:r>
        <w:rPr>
          <w:rFonts w:hint="default" w:ascii="Arial" w:hAnsi="Arial" w:cs="Arial"/>
          <w:b/>
          <w:bCs/>
          <w:sz w:val="24"/>
          <w:lang w:val="en-US" w:eastAsia="zh-CN"/>
        </w:rPr>
        <w:drawing>
          <wp:inline distT="0" distB="0" distL="114300" distR="114300">
            <wp:extent cx="6460490" cy="5268595"/>
            <wp:effectExtent l="0" t="0" r="16510" b="8255"/>
            <wp:docPr id="3" name="图片 3" descr="Figure 9C CIII MT-CY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Figure 9C CIII MT-CYB"/>
                    <pic:cNvPicPr>
                      <a:picLocks noChangeAspect="1"/>
                    </pic:cNvPicPr>
                  </pic:nvPicPr>
                  <pic:blipFill>
                    <a:blip r:embed="rId11"/>
                    <a:stretch>
                      <a:fillRect/>
                    </a:stretch>
                  </pic:blipFill>
                  <pic:spPr>
                    <a:xfrm>
                      <a:off x="0" y="0"/>
                      <a:ext cx="6460490" cy="5268595"/>
                    </a:xfrm>
                    <a:prstGeom prst="rect">
                      <a:avLst/>
                    </a:prstGeom>
                  </pic:spPr>
                </pic:pic>
              </a:graphicData>
            </a:graphic>
          </wp:inline>
        </w:drawing>
      </w:r>
    </w:p>
    <w:p w14:paraId="281D371D">
      <w:pPr>
        <w:rPr>
          <w:rFonts w:hint="default" w:ascii="Arial" w:hAnsi="Arial" w:cs="Arial"/>
          <w:b/>
          <w:bCs/>
          <w:sz w:val="24"/>
          <w:lang w:val="en-US" w:eastAsia="zh-CN"/>
        </w:rPr>
      </w:pPr>
      <w:r>
        <w:rPr>
          <w:rFonts w:hint="default" w:ascii="Arial" w:hAnsi="Arial" w:cs="Arial"/>
          <w:b/>
          <w:bCs/>
          <w:sz w:val="24"/>
          <w:lang w:val="en-US" w:eastAsia="zh-CN"/>
        </w:rPr>
        <w:drawing>
          <wp:inline distT="0" distB="0" distL="114300" distR="114300">
            <wp:extent cx="6461760" cy="5269865"/>
            <wp:effectExtent l="0" t="0" r="15240" b="6985"/>
            <wp:docPr id="4" name="图片 4" descr="Figure 9C CIV MT-CO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igure 9C CIV MT-CO3"/>
                    <pic:cNvPicPr>
                      <a:picLocks noChangeAspect="1"/>
                    </pic:cNvPicPr>
                  </pic:nvPicPr>
                  <pic:blipFill>
                    <a:blip r:embed="rId12"/>
                    <a:stretch>
                      <a:fillRect/>
                    </a:stretch>
                  </pic:blipFill>
                  <pic:spPr>
                    <a:xfrm>
                      <a:off x="0" y="0"/>
                      <a:ext cx="6461760" cy="5269865"/>
                    </a:xfrm>
                    <a:prstGeom prst="rect">
                      <a:avLst/>
                    </a:prstGeom>
                  </pic:spPr>
                </pic:pic>
              </a:graphicData>
            </a:graphic>
          </wp:inline>
        </w:drawing>
      </w:r>
    </w:p>
    <w:p w14:paraId="61B9D579">
      <w:pPr>
        <w:rPr>
          <w:rFonts w:hint="default" w:ascii="Arial" w:hAnsi="Arial" w:cs="Arial"/>
          <w:b/>
          <w:bCs/>
          <w:sz w:val="24"/>
          <w:lang w:val="en-US" w:eastAsia="zh-CN"/>
        </w:rPr>
      </w:pPr>
      <w:r>
        <w:rPr>
          <w:rFonts w:hint="default" w:ascii="Arial" w:hAnsi="Arial" w:cs="Arial"/>
          <w:b/>
          <w:bCs/>
          <w:sz w:val="24"/>
          <w:lang w:val="en-US" w:eastAsia="zh-CN"/>
        </w:rPr>
        <w:drawing>
          <wp:inline distT="0" distB="0" distL="114300" distR="114300">
            <wp:extent cx="6465570" cy="5271770"/>
            <wp:effectExtent l="0" t="0" r="11430" b="5080"/>
            <wp:docPr id="5" name="图片 5" descr="Figure 9C CV MT-ATP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Figure 9C CV MT-ATP6"/>
                    <pic:cNvPicPr>
                      <a:picLocks noChangeAspect="1"/>
                    </pic:cNvPicPr>
                  </pic:nvPicPr>
                  <pic:blipFill>
                    <a:blip r:embed="rId13"/>
                    <a:stretch>
                      <a:fillRect/>
                    </a:stretch>
                  </pic:blipFill>
                  <pic:spPr>
                    <a:xfrm>
                      <a:off x="0" y="0"/>
                      <a:ext cx="6465570" cy="5271770"/>
                    </a:xfrm>
                    <a:prstGeom prst="rect">
                      <a:avLst/>
                    </a:prstGeom>
                  </pic:spPr>
                </pic:pic>
              </a:graphicData>
            </a:graphic>
          </wp:inline>
        </w:drawing>
      </w:r>
    </w:p>
    <w:p w14:paraId="4B325D09">
      <w:pPr>
        <w:rPr>
          <w:rFonts w:hint="default" w:ascii="Arial" w:hAnsi="Arial" w:cs="Arial"/>
          <w:b/>
          <w:bCs/>
          <w:sz w:val="24"/>
          <w:lang w:val="en-US" w:eastAsia="zh-CN"/>
        </w:rPr>
      </w:pPr>
      <w:r>
        <w:rPr>
          <w:rFonts w:hint="default" w:ascii="Arial" w:hAnsi="Arial" w:cs="Arial"/>
          <w:b/>
          <w:bCs/>
          <w:sz w:val="24"/>
          <w:lang w:val="en-US" w:eastAsia="zh-CN"/>
        </w:rPr>
        <w:drawing>
          <wp:inline distT="0" distB="0" distL="114300" distR="114300">
            <wp:extent cx="6465570" cy="5271770"/>
            <wp:effectExtent l="0" t="0" r="11430" b="5080"/>
            <wp:docPr id="6" name="图片 6" descr="Figure 9C β-ac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Figure 9C β-actin"/>
                    <pic:cNvPicPr>
                      <a:picLocks noChangeAspect="1"/>
                    </pic:cNvPicPr>
                  </pic:nvPicPr>
                  <pic:blipFill>
                    <a:blip r:embed="rId14"/>
                    <a:stretch>
                      <a:fillRect/>
                    </a:stretch>
                  </pic:blipFill>
                  <pic:spPr>
                    <a:xfrm>
                      <a:off x="0" y="0"/>
                      <a:ext cx="6465570" cy="5271770"/>
                    </a:xfrm>
                    <a:prstGeom prst="rect">
                      <a:avLst/>
                    </a:prstGeom>
                  </pic:spPr>
                </pic:pic>
              </a:graphicData>
            </a:graphic>
          </wp:inline>
        </w:drawing>
      </w:r>
    </w:p>
    <w:p w14:paraId="0F5D785F">
      <w:pPr>
        <w:rPr>
          <w:rFonts w:hint="default" w:ascii="Arial" w:hAnsi="Arial" w:cs="Arial"/>
          <w:b/>
          <w:bCs/>
          <w:sz w:val="24"/>
          <w:lang w:val="en-US" w:eastAsia="zh-CN"/>
        </w:rPr>
      </w:pPr>
      <w:r>
        <w:rPr>
          <w:rFonts w:hint="default" w:ascii="Arial" w:hAnsi="Arial" w:cs="Arial"/>
          <w:b/>
          <w:bCs/>
          <w:sz w:val="24"/>
          <w:lang w:val="en-US" w:eastAsia="zh-CN"/>
        </w:rPr>
        <w:drawing>
          <wp:inline distT="0" distB="0" distL="114300" distR="114300">
            <wp:extent cx="6464300" cy="5270500"/>
            <wp:effectExtent l="0" t="0" r="12700" b="6350"/>
            <wp:docPr id="7" name="图片 7" descr="Figure 11A 4-H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Figure 11A 4-HNE"/>
                    <pic:cNvPicPr>
                      <a:picLocks noChangeAspect="1"/>
                    </pic:cNvPicPr>
                  </pic:nvPicPr>
                  <pic:blipFill>
                    <a:blip r:embed="rId15"/>
                    <a:stretch>
                      <a:fillRect/>
                    </a:stretch>
                  </pic:blipFill>
                  <pic:spPr>
                    <a:xfrm>
                      <a:off x="0" y="0"/>
                      <a:ext cx="6464300" cy="5270500"/>
                    </a:xfrm>
                    <a:prstGeom prst="rect">
                      <a:avLst/>
                    </a:prstGeom>
                  </pic:spPr>
                </pic:pic>
              </a:graphicData>
            </a:graphic>
          </wp:inline>
        </w:drawing>
      </w:r>
      <w:bookmarkStart w:id="0" w:name="_GoBack"/>
      <w:bookmarkEnd w:id="0"/>
    </w:p>
    <w:p w14:paraId="5BDEAC83">
      <w:pPr>
        <w:rPr>
          <w:rFonts w:hint="default" w:ascii="Arial" w:hAnsi="Arial" w:cs="Arial"/>
          <w:b/>
          <w:bCs/>
          <w:sz w:val="24"/>
          <w:highlight w:val="none"/>
          <w:lang w:val="en-US" w:eastAsia="zh-CN"/>
        </w:rPr>
      </w:pPr>
      <w:r>
        <w:rPr>
          <w:rFonts w:hint="default" w:ascii="Arial" w:hAnsi="Arial" w:cs="Arial"/>
          <w:b/>
          <w:bCs/>
          <w:sz w:val="24"/>
          <w:lang w:val="en-US" w:eastAsia="zh-CN"/>
        </w:rPr>
        <w:drawing>
          <wp:inline distT="0" distB="0" distL="114300" distR="114300">
            <wp:extent cx="6464300" cy="5270500"/>
            <wp:effectExtent l="0" t="0" r="12700" b="6350"/>
            <wp:docPr id="8" name="图片 8" descr="Figure 11A M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Figure 11A MDA"/>
                    <pic:cNvPicPr>
                      <a:picLocks noChangeAspect="1"/>
                    </pic:cNvPicPr>
                  </pic:nvPicPr>
                  <pic:blipFill>
                    <a:blip r:embed="rId16"/>
                    <a:stretch>
                      <a:fillRect/>
                    </a:stretch>
                  </pic:blipFill>
                  <pic:spPr>
                    <a:xfrm>
                      <a:off x="0" y="0"/>
                      <a:ext cx="6464300" cy="5270500"/>
                    </a:xfrm>
                    <a:prstGeom prst="rect">
                      <a:avLst/>
                    </a:prstGeom>
                  </pic:spPr>
                </pic:pic>
              </a:graphicData>
            </a:graphic>
          </wp:inline>
        </w:drawing>
      </w:r>
    </w:p>
    <w:p w14:paraId="0E1E3AE7">
      <w:pPr>
        <w:rPr>
          <w:rFonts w:hint="default" w:ascii="Arial" w:hAnsi="Arial" w:cs="Arial"/>
          <w:b/>
          <w:bCs/>
          <w:sz w:val="24"/>
          <w:highlight w:val="none"/>
          <w:lang w:val="en-US" w:eastAsia="zh-CN"/>
        </w:rPr>
      </w:pPr>
      <w:r>
        <w:rPr>
          <w:rFonts w:hint="default" w:ascii="Arial" w:hAnsi="Arial" w:cs="Arial"/>
          <w:b/>
          <w:bCs/>
          <w:sz w:val="24"/>
          <w:lang w:val="en-US" w:eastAsia="zh-CN"/>
        </w:rPr>
        <w:drawing>
          <wp:inline distT="0" distB="0" distL="114300" distR="114300">
            <wp:extent cx="6468745" cy="5273040"/>
            <wp:effectExtent l="0" t="0" r="8255" b="3810"/>
            <wp:docPr id="9" name="图片 9" descr="Figure 11A β-ac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Figure 11A β-actin"/>
                    <pic:cNvPicPr>
                      <a:picLocks noChangeAspect="1"/>
                    </pic:cNvPicPr>
                  </pic:nvPicPr>
                  <pic:blipFill>
                    <a:blip r:embed="rId17"/>
                    <a:stretch>
                      <a:fillRect/>
                    </a:stretch>
                  </pic:blipFill>
                  <pic:spPr>
                    <a:xfrm>
                      <a:off x="0" y="0"/>
                      <a:ext cx="6468745" cy="5273040"/>
                    </a:xfrm>
                    <a:prstGeom prst="rect">
                      <a:avLst/>
                    </a:prstGeom>
                  </pic:spPr>
                </pic:pic>
              </a:graphicData>
            </a:graphic>
          </wp:inline>
        </w:drawing>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YxMGRhZTM4MzA0NTdlYWIzZjBkY2I2Y2RjYjVkNzIifQ=="/>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0&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dtwdstdeop0wwheew2a5s2dd5pax29fedt95&quot;&gt;CRC Mef&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20&lt;/item&gt;&lt;item&gt;21&lt;/item&gt;&lt;item&gt;23&lt;/item&gt;&lt;item&gt;24&lt;/item&gt;&lt;item&gt;25&lt;/item&gt;&lt;item&gt;26&lt;/item&gt;&lt;item&gt;27&lt;/item&gt;&lt;item&gt;28&lt;/item&gt;&lt;item&gt;29&lt;/item&gt;&lt;item&gt;30&lt;/item&gt;&lt;item&gt;31&lt;/item&gt;&lt;item&gt;32&lt;/item&gt;&lt;item&gt;33&lt;/item&gt;&lt;item&gt;34&lt;/item&gt;&lt;item&gt;36&lt;/item&gt;&lt;item&gt;37&lt;/item&gt;&lt;item&gt;38&lt;/item&gt;&lt;item&gt;39&lt;/item&gt;&lt;item&gt;41&lt;/item&gt;&lt;item&gt;42&lt;/item&gt;&lt;item&gt;43&lt;/item&gt;&lt;item&gt;44&lt;/item&gt;&lt;item&gt;45&lt;/item&gt;&lt;item&gt;46&lt;/item&gt;&lt;item&gt;47&lt;/item&gt;&lt;item&gt;55&lt;/item&gt;&lt;item&gt;56&lt;/item&gt;&lt;item&gt;57&lt;/item&gt;&lt;item&gt;58&lt;/item&gt;&lt;item&gt;59&lt;/item&gt;&lt;item&gt;60&lt;/item&gt;&lt;item&gt;61&lt;/item&gt;&lt;item&gt;62&lt;/item&gt;&lt;item&gt;63&lt;/item&gt;&lt;item&gt;66&lt;/item&gt;&lt;item&gt;67&lt;/item&gt;&lt;item&gt;69&lt;/item&gt;&lt;item&gt;70&lt;/item&gt;&lt;item&gt;71&lt;/item&gt;&lt;/record-ids&gt;&lt;/item&gt;&lt;/Libraries&gt;"/>
  </w:docVars>
  <w:rsids>
    <w:rsidRoot w:val="00000000"/>
    <w:rsid w:val="005E2090"/>
    <w:rsid w:val="012452DB"/>
    <w:rsid w:val="036F2FCB"/>
    <w:rsid w:val="04CC22DB"/>
    <w:rsid w:val="083E6B72"/>
    <w:rsid w:val="0B4B540D"/>
    <w:rsid w:val="102713D8"/>
    <w:rsid w:val="111039CF"/>
    <w:rsid w:val="11C80D97"/>
    <w:rsid w:val="12E21769"/>
    <w:rsid w:val="12E450BF"/>
    <w:rsid w:val="13264D60"/>
    <w:rsid w:val="16283247"/>
    <w:rsid w:val="1DC9747A"/>
    <w:rsid w:val="1E1C4A9C"/>
    <w:rsid w:val="1EC10763"/>
    <w:rsid w:val="20CB1388"/>
    <w:rsid w:val="28F9175B"/>
    <w:rsid w:val="29000E3D"/>
    <w:rsid w:val="2B9F2C71"/>
    <w:rsid w:val="2F0B1A4A"/>
    <w:rsid w:val="2F2A48CA"/>
    <w:rsid w:val="30CA2111"/>
    <w:rsid w:val="387C66B8"/>
    <w:rsid w:val="42651993"/>
    <w:rsid w:val="46930FC9"/>
    <w:rsid w:val="48FD5570"/>
    <w:rsid w:val="49B35BDB"/>
    <w:rsid w:val="49DE0B4E"/>
    <w:rsid w:val="4B535332"/>
    <w:rsid w:val="4CA57982"/>
    <w:rsid w:val="4D7302FC"/>
    <w:rsid w:val="50455FC5"/>
    <w:rsid w:val="54CE33A8"/>
    <w:rsid w:val="5B5C1044"/>
    <w:rsid w:val="5EFA540F"/>
    <w:rsid w:val="5FB418E6"/>
    <w:rsid w:val="609C031D"/>
    <w:rsid w:val="616B2DAD"/>
    <w:rsid w:val="62480CC5"/>
    <w:rsid w:val="630F6A45"/>
    <w:rsid w:val="661F1946"/>
    <w:rsid w:val="69D80F72"/>
    <w:rsid w:val="6A940B67"/>
    <w:rsid w:val="6B00009B"/>
    <w:rsid w:val="75682A85"/>
    <w:rsid w:val="75F5539C"/>
    <w:rsid w:val="7647599C"/>
    <w:rsid w:val="772319B4"/>
    <w:rsid w:val="77A31C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0"/>
    <w:pPr>
      <w:spacing w:before="180" w:after="180"/>
    </w:pPr>
  </w:style>
  <w:style w:type="paragraph" w:styleId="4">
    <w:name w:val="footer"/>
    <w:basedOn w:val="1"/>
    <w:qFormat/>
    <w:uiPriority w:val="0"/>
    <w:pPr>
      <w:tabs>
        <w:tab w:val="center" w:pos="4153"/>
        <w:tab w:val="right" w:pos="8306"/>
      </w:tabs>
      <w:snapToGrid w:val="0"/>
      <w:jc w:val="left"/>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Hyperlink"/>
    <w:basedOn w:val="7"/>
    <w:qFormat/>
    <w:uiPriority w:val="0"/>
    <w:rPr>
      <w:color w:val="0000FF"/>
      <w:u w:val="single"/>
    </w:rPr>
  </w:style>
  <w:style w:type="paragraph" w:customStyle="1" w:styleId="9">
    <w:name w:val="First Paragraph"/>
    <w:basedOn w:val="3"/>
    <w:next w:val="3"/>
    <w:qFormat/>
    <w:uiPriority w:val="0"/>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20</Pages>
  <Words>612</Words>
  <Characters>3187</Characters>
  <Lines>0</Lines>
  <Paragraphs>0</Paragraphs>
  <TotalTime>15</TotalTime>
  <ScaleCrop>false</ScaleCrop>
  <LinksUpToDate>false</LinksUpToDate>
  <CharactersWithSpaces>3791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2024-09-20T07:12:00Z</dcterms:created>
  <dc:creator>dell</dc:creator>
  <cp:lastModifiedBy>刘中建</cp:lastModifiedBy>
  <dcterms:modified xsi:type="dcterms:W3CDTF">2026-10-02T03:26:31Z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A898C3E7340E4D269E55C9BCB0332E0D_12</vt:lpwstr>
  </property>
  <property fmtid="{D5CDD505-2E9C-101B-9397-08002B2CF9AE}" pid="4" name="KSOTemplateDocerSaveRecord">
    <vt:lpwstr>eyJoZGlkIjoiNzYxMGRhZTM4MzA0NTdlYWIzZjBkY2I2Y2RjYjVkNzIiLCJ1c2VySWQiOiI4OTE5NjYzMDkifQ==</vt:lpwstr>
  </property>
</Properties>
</file>