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F7F5F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S1a</w:t>
      </w:r>
      <w:r>
        <w:rPr>
          <w:rFonts w:hint="default" w:ascii="Times New Roman" w:hAnsi="Times New Roman" w:cs="Times New Roman"/>
          <w:sz w:val="21"/>
          <w:szCs w:val="21"/>
        </w:rPr>
        <w:t>. Patient flow and detailed reasons for exclusion before and after surgery, stratified by treatment group</w:t>
      </w:r>
    </w:p>
    <w:tbl>
      <w:tblPr>
        <w:tblStyle w:val="4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0"/>
        <w:gridCol w:w="1590"/>
        <w:gridCol w:w="1527"/>
        <w:gridCol w:w="1472"/>
      </w:tblGrid>
      <w:tr w14:paraId="6D640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30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C9B9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Step</w:t>
            </w:r>
          </w:p>
        </w:tc>
        <w:tc>
          <w:tcPr>
            <w:tcW w:w="93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F9B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NACT (n = 300)</w:t>
            </w:r>
          </w:p>
        </w:tc>
        <w:tc>
          <w:tcPr>
            <w:tcW w:w="89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A4B8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NAIC (n = 190)</w:t>
            </w:r>
          </w:p>
        </w:tc>
        <w:tc>
          <w:tcPr>
            <w:tcW w:w="86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E12C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 (n = 490)</w:t>
            </w:r>
          </w:p>
        </w:tc>
      </w:tr>
      <w:tr w14:paraId="6F8B0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D3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Initiated neoadjuvant therapy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3CA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5DC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064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 w14:paraId="0F231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F17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Did not proceed to surgery, n (%)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444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 (43.0)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D0B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 (36.8)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8A8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 (40.6)</w:t>
            </w:r>
          </w:p>
        </w:tc>
      </w:tr>
      <w:tr w14:paraId="3452E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3E6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SD/PD, unresectable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670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 (26.7)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190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 (22.1)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745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 (24.9)</w:t>
            </w:r>
          </w:p>
        </w:tc>
      </w:tr>
      <w:tr w14:paraId="4FF89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198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SD/PR, received definitive radiotherapy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771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 (8.3)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A14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 (7.9)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C7A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 (8.2)</w:t>
            </w:r>
          </w:p>
        </w:tc>
      </w:tr>
      <w:tr w14:paraId="6999B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0A6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Declined surgery despite response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1B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 (4.0)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846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 (3.7)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892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 (3.9)</w:t>
            </w:r>
          </w:p>
        </w:tc>
      </w:tr>
      <w:tr w14:paraId="2EACF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7C4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Severe adverse events, intolerant to surgery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FD2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 (2.7)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3F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 (2.1)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C41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 (2.4)</w:t>
            </w:r>
          </w:p>
        </w:tc>
      </w:tr>
      <w:tr w14:paraId="068C6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024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Surgery performed at other centers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794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 (1.3)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784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(1.1)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C69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 (1.2)</w:t>
            </w:r>
          </w:p>
        </w:tc>
      </w:tr>
      <w:tr w14:paraId="63655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B72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Proceeded to surgery, n (%)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FA7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 (57.0)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5C5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 (63.2)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FF0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 (59.4)</w:t>
            </w:r>
          </w:p>
        </w:tc>
      </w:tr>
      <w:tr w14:paraId="75D99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1A2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Excluded after surgery, n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CC0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FD2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C06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</w:tr>
      <w:tr w14:paraId="6F4BE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74B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Non-radical resection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B9D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8A8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59F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 w14:paraId="1EC33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70C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Incomplete therapeutic/follow-up information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C7E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25A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0EB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</w:tr>
      <w:tr w14:paraId="0DDDA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FC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Transferred to another hospital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E25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0C5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7AD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63E17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FB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Additional targeted therapy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24D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E28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270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E0DA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14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Interventional embolization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CBA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0C5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B61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7E180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EDC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Non-standard Querleu-Morrow type surgery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EEF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34F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C8E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0ED92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D9D9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Final analysis population, n</w:t>
            </w:r>
          </w:p>
        </w:tc>
        <w:tc>
          <w:tcPr>
            <w:tcW w:w="93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24EC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9BEB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86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DDE8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</w:tr>
    </w:tbl>
    <w:p w14:paraId="6C895CD7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Footnote: SD, stable disease; PD, progressive disease; PR, partial response; R0, no residual tumour.</w:t>
      </w:r>
    </w:p>
    <w:p w14:paraId="411F9AA6">
      <w:pPr>
        <w:rPr>
          <w:rFonts w:hint="default" w:ascii="Times New Roman" w:hAnsi="Times New Roman" w:cs="Times New Roman"/>
          <w:sz w:val="21"/>
          <w:szCs w:val="21"/>
        </w:rPr>
      </w:pPr>
    </w:p>
    <w:p w14:paraId="098837B1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S1b.</w:t>
      </w:r>
      <w:r>
        <w:rPr>
          <w:rFonts w:hint="default" w:ascii="Times New Roman" w:hAnsi="Times New Roman" w:cs="Times New Roman"/>
          <w:sz w:val="21"/>
          <w:szCs w:val="21"/>
        </w:rPr>
        <w:t xml:space="preserve"> Baseline characteristics of the full unweighted 490-patient cohort, demonstrating the structural imbalance in the calendar year of treatment. </w:t>
      </w:r>
    </w:p>
    <w:tbl>
      <w:tblPr>
        <w:tblStyle w:val="4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3"/>
        <w:gridCol w:w="1592"/>
        <w:gridCol w:w="1658"/>
        <w:gridCol w:w="1236"/>
        <w:gridCol w:w="1170"/>
      </w:tblGrid>
      <w:tr w14:paraId="6B4A2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8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8260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D05E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NACT (n = 300)</w:t>
            </w:r>
          </w:p>
        </w:tc>
        <w:tc>
          <w:tcPr>
            <w:tcW w:w="97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A5CA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NAIC (n = 190)</w:t>
            </w:r>
          </w:p>
        </w:tc>
        <w:tc>
          <w:tcPr>
            <w:tcW w:w="72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C76A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68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B6E3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SMD</w:t>
            </w:r>
          </w:p>
        </w:tc>
      </w:tr>
      <w:tr w14:paraId="64F9A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D4D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Age, median (IQR), years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17F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 (44–57)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F73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 (44–58)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D5B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EC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</w:tr>
      <w:tr w14:paraId="61936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439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BMI, median (IQR), kg/m²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061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24.0 (22.0–26.3)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843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23.9 (22.2–26.4)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2E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26D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</w:tr>
      <w:tr w14:paraId="78739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1CE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ECOG performance status, n (%)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5EDF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6709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B7B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B0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</w:t>
            </w:r>
          </w:p>
        </w:tc>
      </w:tr>
      <w:tr w14:paraId="0471F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E37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79A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 (95.0)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913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 (94.2)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BC48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731E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9F8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74D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9AA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 (5.0)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959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 (5.8)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BC22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C545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008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D78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Histological subtype, n (%)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89FD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3B34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5C1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78F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</w:t>
            </w:r>
          </w:p>
        </w:tc>
      </w:tr>
      <w:tr w14:paraId="2D0E4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C44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Squamous carcinoma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E8C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 (83.3)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B03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 (85.3)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88EC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942E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E82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DEA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002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 (12.7)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6A5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 (10.5)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12E6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3457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55D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196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Adenosquamous carcinoma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911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 (1.7)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E5D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(1.6)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2E37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AAB7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FF3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2C7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9DC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 (2.3)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C6C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 (2.6)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B8E0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7808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56D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22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Primary tumour size, n (%)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C20F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B917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F11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3BD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</w:t>
            </w:r>
          </w:p>
        </w:tc>
      </w:tr>
      <w:tr w14:paraId="71827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736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 ≤ x &lt; 5 cm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5B4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 (57.3)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7BA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 (60.5)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088A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0C41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666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345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 5 cm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4A5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 (42.7)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3A1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 (39.5)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0678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EE48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0CD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F28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FIGO 2018 stage, n (%)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AAD6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4539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583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BC7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</w:tr>
      <w:tr w14:paraId="50EF8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5BF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IB3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CC5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 (40.0)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309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 (35.8)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FAD9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1F41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BDD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E99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IIA2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7E3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 (26.7)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73D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 (30.5)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2049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C48D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4BF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A68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IIIC1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1B8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 (33.3)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288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 (33.7)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042E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35E3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105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EAA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Treating cente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n (%)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B9FB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4FEF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14F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FCD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</w:t>
            </w:r>
          </w:p>
        </w:tc>
      </w:tr>
      <w:tr w14:paraId="0ADC8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26A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Center 1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F0C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 (91.7)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9E1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 (88.4)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2FDE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2954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2D5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69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Center 2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E56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 (8.3)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390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 (11.6)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9D59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C31A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622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FA5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Treatment year, n (%)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9366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BC79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0C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73B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1A3A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B3D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2018–2020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7E5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 (50.0)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33D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B8F5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E862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78A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17CE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2021–2025</w:t>
            </w:r>
          </w:p>
        </w:tc>
        <w:tc>
          <w:tcPr>
            <w:tcW w:w="93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E442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 (50.0)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212F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 (100)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7D53A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0FE45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B81F095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Footnote: SMD, standardized mean difference. Treatment year is a structurally imbalanced variable because immune checkpoint inhibitors became available at the participating centres only in 2021; it was therefore not included in the propensity-score model (see Methods and Limitations).</w:t>
      </w:r>
    </w:p>
    <w:p w14:paraId="35B1C98A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p w14:paraId="064DDCE1">
      <w:pPr>
        <w:pStyle w:val="2"/>
        <w:numPr>
          <w:ilvl w:val="1"/>
          <w:numId w:val="0"/>
        </w:numP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en-US" w:bidi="ar-SA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en-US" w:bidi="ar-SA"/>
        </w:rPr>
        <w:t>Supplementary Table S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 w:bidi="ar-SA"/>
        </w:rPr>
        <w:t>2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en-US" w:bidi="ar-SA"/>
        </w:rPr>
        <w:t xml:space="preserve">. 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en-US" w:bidi="ar-SA"/>
        </w:rPr>
        <w:t>Multivariate logistic regression model used for the generation of propensity scores.</w:t>
      </w:r>
    </w:p>
    <w:tbl>
      <w:tblPr>
        <w:tblStyle w:val="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2"/>
        <w:gridCol w:w="3390"/>
        <w:gridCol w:w="1271"/>
      </w:tblGrid>
      <w:tr w14:paraId="7D334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193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776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Term</w:t>
            </w:r>
          </w:p>
        </w:tc>
        <w:tc>
          <w:tcPr>
            <w:tcW w:w="2041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6B8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765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B65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6B714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93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2CD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2041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B9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 (0.95-1.02)</w:t>
            </w:r>
          </w:p>
        </w:tc>
        <w:tc>
          <w:tcPr>
            <w:tcW w:w="765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CB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0.423</w:t>
            </w:r>
          </w:p>
        </w:tc>
      </w:tr>
      <w:tr w14:paraId="01A13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316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EC4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 (0.91-1.11)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00B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0.908</w:t>
            </w:r>
          </w:p>
        </w:tc>
      </w:tr>
      <w:tr w14:paraId="26459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6E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ECOG &gt;=1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BA3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1.51 (0.35-6.51)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DFD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0.578</w:t>
            </w:r>
          </w:p>
        </w:tc>
      </w:tr>
      <w:tr w14:paraId="1BCAD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BF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Pathology non-SCC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0C0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0.62 (0.23-1.66)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3AF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0.344</w:t>
            </w:r>
          </w:p>
        </w:tc>
      </w:tr>
      <w:tr w14:paraId="0A4EC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64F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Tumor Size &gt;=5 cm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E29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 (0.34-1.23)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D44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0.185</w:t>
            </w:r>
          </w:p>
        </w:tc>
      </w:tr>
      <w:tr w14:paraId="43E57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FE2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FIGO stage IIA2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FD0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11.01 (4.69-25.80)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DC5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65355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5F0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FIGO stage IIIC1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3CD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6.76 (3.08-14.87)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1B5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1496B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89A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Center 1</w:t>
            </w:r>
          </w:p>
        </w:tc>
        <w:tc>
          <w:tcPr>
            <w:tcW w:w="204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2E2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13.11 (3.28-52.45)</w:t>
            </w:r>
          </w:p>
        </w:tc>
        <w:tc>
          <w:tcPr>
            <w:tcW w:w="76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1EB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</w:tbl>
    <w:p w14:paraId="5CE41EF6">
      <w:pPr>
        <w:rPr>
          <w:rFonts w:hint="default" w:ascii="Times New Roman" w:hAnsi="Times New Roman" w:cs="Times New Roman"/>
          <w:sz w:val="21"/>
          <w:szCs w:val="21"/>
        </w:rPr>
      </w:pPr>
    </w:p>
    <w:p w14:paraId="3EAB48FB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p w14:paraId="04349905">
      <w:pPr>
        <w:pStyle w:val="2"/>
        <w:numPr>
          <w:ilvl w:val="1"/>
          <w:numId w:val="0"/>
        </w:numP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en-US" w:bidi="ar-SA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en-US" w:bidi="ar-SA"/>
        </w:rPr>
        <w:t>Supplementary Table S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 w:bidi="ar-SA"/>
        </w:rPr>
        <w:t>3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en-US" w:bidi="ar-SA"/>
        </w:rPr>
        <w:t xml:space="preserve">. 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en-US" w:bidi="ar-SA"/>
        </w:rPr>
        <w:t>The distribution of NACT and NAIC utilization across participating centers stratified by calendar year (2018–2025), illustrating the timeline of immunotherapy integration.</w:t>
      </w:r>
    </w:p>
    <w:tbl>
      <w:tblPr>
        <w:tblStyle w:val="4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1291"/>
        <w:gridCol w:w="1198"/>
        <w:gridCol w:w="1291"/>
        <w:gridCol w:w="1198"/>
        <w:gridCol w:w="1291"/>
        <w:gridCol w:w="1198"/>
      </w:tblGrid>
      <w:tr w14:paraId="4B751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17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01A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Year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719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Center 1 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F9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Center 2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09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Total </w:t>
            </w:r>
          </w:p>
        </w:tc>
      </w:tr>
      <w:tr w14:paraId="138A8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1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A500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CDC9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NACT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8445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NAIC</w:t>
            </w:r>
          </w:p>
        </w:tc>
        <w:tc>
          <w:tcPr>
            <w:tcW w:w="75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86B0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NACT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8A5E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NAIC</w:t>
            </w:r>
          </w:p>
        </w:tc>
        <w:tc>
          <w:tcPr>
            <w:tcW w:w="75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3EA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NACT</w:t>
            </w:r>
          </w:p>
        </w:tc>
        <w:tc>
          <w:tcPr>
            <w:tcW w:w="70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C31A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NAIC</w:t>
            </w:r>
          </w:p>
        </w:tc>
      </w:tr>
      <w:tr w14:paraId="0B4E5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545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4DA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FF8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0E2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4B1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7D2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018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9660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920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C98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073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60E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AF0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3BE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7BC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DBC0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1AF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708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21C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B45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439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D6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F3A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1BDC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BDA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40D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E15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84E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933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D6E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CDB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5217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81D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BDA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32F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BEE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7ED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F42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239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E2F0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533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A73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ED2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E93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A46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81E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C4F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 w14:paraId="66C35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5FB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0C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153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C75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01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865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2A3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 w14:paraId="1C803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0C3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D99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86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62C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792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DF1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0E0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</w:tr>
      <w:tr w14:paraId="194E8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0BFF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10F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F6F2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84BD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7825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90E0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AE7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</w:tr>
    </w:tbl>
    <w:p w14:paraId="4EF01D1B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p w14:paraId="760F7C8F">
      <w:pPr>
        <w:numPr>
          <w:ilvl w:val="0"/>
          <w:numId w:val="0"/>
        </w:num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4.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Details of surgical radicality evaluated by the Querleu–Morrow classification and lymph node yield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</w:p>
    <w:tbl>
      <w:tblPr>
        <w:tblStyle w:val="4"/>
        <w:tblW w:w="869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4"/>
        <w:gridCol w:w="2148"/>
        <w:gridCol w:w="2012"/>
        <w:gridCol w:w="1568"/>
      </w:tblGrid>
      <w:tr w14:paraId="0C942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9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F94E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21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05A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NACT (n = 151)</w:t>
            </w:r>
          </w:p>
        </w:tc>
        <w:tc>
          <w:tcPr>
            <w:tcW w:w="20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DC5D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NAIC (n = 95)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5B5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3853D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9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EA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Querleu–Morrow type, n (%)</w:t>
            </w:r>
          </w:p>
        </w:tc>
        <w:tc>
          <w:tcPr>
            <w:tcW w:w="21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DE8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913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B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</w:t>
            </w:r>
          </w:p>
        </w:tc>
      </w:tr>
      <w:tr w14:paraId="0DEEB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152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 (nerve preservation)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2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 (60.3)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8F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 (65.3)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74A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1A6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589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 (without hypogastric nerve preservation)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F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 (39.7)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7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 (34.7)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1D6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940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71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Pelvic lymph nodes retrieved, median (IQR)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9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 (18–28)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8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 (19–29)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F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</w:t>
            </w:r>
          </w:p>
        </w:tc>
      </w:tr>
      <w:tr w14:paraId="34825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E3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Para-aortic lymph nodes retrieved, median (IQR)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E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 (4–9)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5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–10)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5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</w:t>
            </w:r>
          </w:p>
        </w:tc>
      </w:tr>
    </w:tbl>
    <w:p w14:paraId="7E97D437">
      <w:pPr>
        <w:numPr>
          <w:ilvl w:val="0"/>
          <w:numId w:val="0"/>
        </w:numPr>
        <w:rPr>
          <w:rFonts w:hint="default" w:ascii="Times New Roman" w:hAnsi="Times New Roman" w:cs="Times New Roman"/>
          <w:sz w:val="21"/>
          <w:szCs w:val="21"/>
        </w:rPr>
      </w:pPr>
    </w:p>
    <w:p w14:paraId="2FFED58D">
      <w:pPr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br w:type="page"/>
      </w:r>
    </w:p>
    <w:p w14:paraId="61265476">
      <w:pPr>
        <w:numPr>
          <w:ilvl w:val="0"/>
          <w:numId w:val="0"/>
        </w:num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S5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Incidence of specific intraoperative and postoperative surgical complications.</w:t>
      </w:r>
    </w:p>
    <w:tbl>
      <w:tblPr>
        <w:tblStyle w:val="4"/>
        <w:tblW w:w="869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4"/>
        <w:gridCol w:w="2148"/>
        <w:gridCol w:w="2012"/>
        <w:gridCol w:w="1568"/>
      </w:tblGrid>
      <w:tr w14:paraId="42EF5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C6A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Complication, n (%)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89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NACT (n = 151)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771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NAIC (n = 95)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6803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Crude P</w:t>
            </w:r>
          </w:p>
        </w:tc>
      </w:tr>
      <w:tr w14:paraId="2AF82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1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Bladder injury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8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(0.7)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9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(1.1)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A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359E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CF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Ureteral injury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4B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(1.3)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6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(2.1)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F9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</w:p>
        </w:tc>
      </w:tr>
      <w:tr w14:paraId="1431C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46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Bowel injury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8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E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(1.1)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7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</w:t>
            </w:r>
          </w:p>
        </w:tc>
      </w:tr>
      <w:tr w14:paraId="30907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2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Vascular injury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3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(1.3)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8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(2.1)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1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</w:p>
        </w:tc>
      </w:tr>
      <w:tr w14:paraId="332C9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6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 transfusion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C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 (7.3)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2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 (14.7)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F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0.064</w:t>
            </w:r>
          </w:p>
        </w:tc>
      </w:tr>
      <w:tr w14:paraId="70F43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51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Conversion to laparotomy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84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(2.0)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4A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 (4.2)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1B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</w:t>
            </w:r>
          </w:p>
        </w:tc>
      </w:tr>
      <w:tr w14:paraId="68902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0A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Postoperative urinary dysfunction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6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 (11.9)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A6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 (14.7)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F2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</w:t>
            </w:r>
          </w:p>
        </w:tc>
      </w:tr>
      <w:tr w14:paraId="40455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1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Urinary fistula or ureteral stenosis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9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(1.3)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B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(2.1)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3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</w:p>
        </w:tc>
      </w:tr>
      <w:tr w14:paraId="452A9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7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Reoperation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8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(0.7)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3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(2.1)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3E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</w:t>
            </w:r>
          </w:p>
        </w:tc>
      </w:tr>
      <w:tr w14:paraId="6A31A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6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07D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Readmission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D7B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 (3.3)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E6A3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 (6.3)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09D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</w:t>
            </w:r>
          </w:p>
        </w:tc>
      </w:tr>
    </w:tbl>
    <w:p w14:paraId="70027A99">
      <w:pPr>
        <w:rPr>
          <w:rFonts w:hint="default" w:ascii="Times New Roman" w:hAnsi="Times New Roman" w:cs="Times New Roman"/>
          <w:b/>
          <w:bCs/>
          <w:sz w:val="21"/>
          <w:szCs w:val="21"/>
          <w:lang w:val="en-US" w:eastAsia="zh-CN" w:bidi="ar-SA"/>
        </w:rPr>
      </w:pPr>
    </w:p>
    <w:p w14:paraId="11C46DF5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 w:bidi="ar-SA"/>
        </w:rPr>
        <w:br w:type="page"/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 w:bidi="ar-SA"/>
        </w:rPr>
        <w:t>Table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 w:bidi="ar-SA"/>
        </w:rPr>
        <w:t>6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 w:bidi="ar-SA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 w:bidi="ar-SA"/>
        </w:rPr>
        <w:t>Sensitivity analyses of the RMST difference (NAIC minus NACT)</w:t>
      </w:r>
    </w:p>
    <w:tbl>
      <w:tblPr>
        <w:tblStyle w:val="4"/>
        <w:tblW w:w="84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832"/>
        <w:gridCol w:w="1448"/>
        <w:gridCol w:w="712"/>
        <w:gridCol w:w="1328"/>
        <w:gridCol w:w="634"/>
        <w:gridCol w:w="1423"/>
        <w:gridCol w:w="797"/>
      </w:tblGrid>
      <w:tr w14:paraId="3BFAA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496BB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Specification</w:t>
            </w:r>
          </w:p>
        </w:tc>
        <w:tc>
          <w:tcPr>
            <w:tcW w:w="83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5358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Outcome</w:t>
            </w:r>
          </w:p>
        </w:tc>
        <w:tc>
          <w:tcPr>
            <w:tcW w:w="144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3FE5B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Unadjusted, months (95% CI)</w:t>
            </w:r>
          </w:p>
        </w:tc>
        <w:tc>
          <w:tcPr>
            <w:tcW w:w="71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4AD3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  <w:tc>
          <w:tcPr>
            <w:tcW w:w="132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176DE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PSM</w:t>
            </w:r>
          </w:p>
        </w:tc>
        <w:tc>
          <w:tcPr>
            <w:tcW w:w="63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108F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  <w:tc>
          <w:tcPr>
            <w:tcW w:w="142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C53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IPTW</w:t>
            </w:r>
          </w:p>
        </w:tc>
        <w:tc>
          <w:tcPr>
            <w:tcW w:w="79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2D72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</w:tr>
      <w:tr w14:paraId="556C5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C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τ = 12 months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1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PFS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3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+0.12 (−0.28 to 0.52)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6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6C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+0.10 (−0.41 to 0.61)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AD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B2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−0.15 (−1.02 to 0.70)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8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0.728</w:t>
            </w:r>
          </w:p>
        </w:tc>
      </w:tr>
      <w:tr w14:paraId="2818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1A7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27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OS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63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+0.03 (−0.04 to 0.10)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04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C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+0.04 (−0.05 to 0.13)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5D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B0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+0.04 (0.00 to 0.14)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EB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0.442</w:t>
            </w:r>
          </w:p>
        </w:tc>
      </w:tr>
      <w:tr w14:paraId="70601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A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τ = 18 months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5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PFS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3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+0.21 (−0.32 to 0.74)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84F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990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+0.17 (−0.52 to 0.86)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0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0.629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C5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−0.24 (−1.63 to 1.08)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5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0.719</w:t>
            </w:r>
          </w:p>
        </w:tc>
      </w:tr>
      <w:tr w14:paraId="68936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DD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828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OS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1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+0.08 (−0.06 to 0.22)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81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1C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+0.10 (−0.11 to 0.31)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2B5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0.352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3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+0.11 (0.00 to 0.36)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7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0.361</w:t>
            </w:r>
          </w:p>
        </w:tc>
      </w:tr>
      <w:tr w14:paraId="14566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4E2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τ = 24 months (primary)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DE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PFS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90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+0.30 (−0.55 to 1.15)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5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5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+0.24 (−0.89 to 1.37)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3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A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−0.36 (−2.41 to 1.62)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C5D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0.732</w:t>
            </w:r>
          </w:p>
        </w:tc>
      </w:tr>
      <w:tr w14:paraId="0F939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856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CED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OS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BA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+0.17 (−0.06 to 0.40)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6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6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+0.21 (−0.20 to 0.61)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5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60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+0.24 (0.00 to 0.76)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FA1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0.337</w:t>
            </w:r>
          </w:p>
        </w:tc>
      </w:tr>
      <w:tr w14:paraId="68D45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E7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 administrative censoring (full follow-up), Firth Cox HR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F83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PFS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12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 (0.31–2.06)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9F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D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 (0.19–2.38)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7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DF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 (0.45–2.93)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C3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0.762</w:t>
            </w:r>
          </w:p>
        </w:tc>
      </w:tr>
      <w:tr w14:paraId="6C2A7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11B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8760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OS</w:t>
            </w:r>
          </w:p>
        </w:tc>
        <w:tc>
          <w:tcPr>
            <w:tcW w:w="14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97C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 (0.01–2.41)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A81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0.318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B38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 (0.02–3.66)</w:t>
            </w:r>
          </w:p>
        </w:tc>
        <w:tc>
          <w:tcPr>
            <w:tcW w:w="6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3B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0.402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DBB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 (0.01–2.58)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FCA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0.291</w:t>
            </w:r>
          </w:p>
        </w:tc>
      </w:tr>
    </w:tbl>
    <w:p w14:paraId="7B6DF764">
      <w:pPr>
        <w:rPr>
          <w:rFonts w:hint="default" w:ascii="Times New Roman" w:hAnsi="Times New Roman" w:cs="Times New Roman"/>
          <w:b/>
          <w:bCs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 w:bidi="ar-SA"/>
        </w:rPr>
        <w:br w:type="page"/>
      </w:r>
    </w:p>
    <w:p w14:paraId="6061420E">
      <w:pP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 w:bidi="ar-SA"/>
        </w:rPr>
        <w:t>Supplementary Table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 w:bidi="ar-SA"/>
        </w:rPr>
        <w:t xml:space="preserve">7.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 w:bidi="ar-SA"/>
        </w:rPr>
        <w:t>Anatomical patterns of recurrence among patients who experienced disease relapse, comparing standard chemotherapy versus immunochemotherapy.</w:t>
      </w:r>
    </w:p>
    <w:tbl>
      <w:tblPr>
        <w:tblStyle w:val="4"/>
        <w:tblW w:w="734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4"/>
        <w:gridCol w:w="2115"/>
        <w:gridCol w:w="1952"/>
        <w:gridCol w:w="1395"/>
      </w:tblGrid>
      <w:tr w14:paraId="642D3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8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44B5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Recurrence site</w:t>
            </w:r>
          </w:p>
        </w:tc>
        <w:tc>
          <w:tcPr>
            <w:tcW w:w="211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F9E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NACT (n = 23)</w:t>
            </w:r>
          </w:p>
        </w:tc>
        <w:tc>
          <w:tcPr>
            <w:tcW w:w="195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E50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NAIC (n = 5)</w:t>
            </w:r>
          </w:p>
        </w:tc>
        <w:tc>
          <w:tcPr>
            <w:tcW w:w="139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137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4C094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30D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Vaginal cuff / local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D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 (34.8)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E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(40.0)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D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AD44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27F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Pelvic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0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 (39.1)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1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(40.0)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9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360E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859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Nodal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4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 (34.8)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4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(40.0)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7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79E6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22C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Pelvic nodal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E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 (21.7)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6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(20.0)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CA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837E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F27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8"/>
                <w:rFonts w:eastAsia="宋体"/>
                <w:lang w:val="en-US" w:eastAsia="zh-CN" w:bidi="ar"/>
              </w:rPr>
              <w:t>Para-aortic nodal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2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(13.0)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76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(20.0)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F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</w:t>
            </w:r>
          </w:p>
        </w:tc>
      </w:tr>
      <w:tr w14:paraId="1F707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35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Distant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F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 (17.4)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9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(20.0)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2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D4DF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866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Lung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2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(8.7)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6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1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5787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7A1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Liver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9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(4.3)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12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(20.0)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C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</w:t>
            </w:r>
          </w:p>
        </w:tc>
      </w:tr>
      <w:tr w14:paraId="6AC51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88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35885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Bone</w:t>
            </w:r>
          </w:p>
        </w:tc>
        <w:tc>
          <w:tcPr>
            <w:tcW w:w="211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EE3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(4.3)</w:t>
            </w:r>
          </w:p>
        </w:tc>
        <w:tc>
          <w:tcPr>
            <w:tcW w:w="195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840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(0)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B57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</w:tbl>
    <w:p w14:paraId="558BE822">
      <w:pPr>
        <w:shd w:val="clea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.</w:t>
      </w:r>
      <w:r>
        <w:rPr>
          <w:rFonts w:hint="default" w:ascii="Times New Roman" w:hAnsi="Times New Roman" w:cs="Times New Roman"/>
          <w:sz w:val="21"/>
          <w:szCs w:val="21"/>
        </w:rPr>
        <w:t xml:space="preserve">  Forest plot data and subgroup analyses evaluating pCR. </w:t>
      </w:r>
    </w:p>
    <w:tbl>
      <w:tblPr>
        <w:tblStyle w:val="4"/>
        <w:tblW w:w="80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1002"/>
        <w:gridCol w:w="518"/>
        <w:gridCol w:w="997"/>
        <w:gridCol w:w="944"/>
        <w:gridCol w:w="1762"/>
        <w:gridCol w:w="1003"/>
      </w:tblGrid>
      <w:tr w14:paraId="538A7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88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1FA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Subgroup</w:t>
            </w:r>
          </w:p>
        </w:tc>
        <w:tc>
          <w:tcPr>
            <w:tcW w:w="1002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D28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Level</w:t>
            </w:r>
          </w:p>
        </w:tc>
        <w:tc>
          <w:tcPr>
            <w:tcW w:w="518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F80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N</w:t>
            </w:r>
          </w:p>
        </w:tc>
        <w:tc>
          <w:tcPr>
            <w:tcW w:w="997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93C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NACT n/N</w:t>
            </w:r>
          </w:p>
        </w:tc>
        <w:tc>
          <w:tcPr>
            <w:tcW w:w="944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919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NAIC n/N</w:t>
            </w:r>
          </w:p>
        </w:tc>
        <w:tc>
          <w:tcPr>
            <w:tcW w:w="1762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ED7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OR (95% CI)</w:t>
            </w:r>
          </w:p>
        </w:tc>
        <w:tc>
          <w:tcPr>
            <w:tcW w:w="1003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7D8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6D5EC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restart"/>
            <w:tcBorders>
              <w:top w:val="single" w:color="666666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EC1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FIGO stage</w:t>
            </w:r>
          </w:p>
        </w:tc>
        <w:tc>
          <w:tcPr>
            <w:tcW w:w="1002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FF0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IB3</w:t>
            </w:r>
          </w:p>
        </w:tc>
        <w:tc>
          <w:tcPr>
            <w:tcW w:w="518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51F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101</w:t>
            </w:r>
          </w:p>
        </w:tc>
        <w:tc>
          <w:tcPr>
            <w:tcW w:w="997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BCC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5/87</w:t>
            </w:r>
          </w:p>
        </w:tc>
        <w:tc>
          <w:tcPr>
            <w:tcW w:w="944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94F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4/14</w:t>
            </w:r>
          </w:p>
        </w:tc>
        <w:tc>
          <w:tcPr>
            <w:tcW w:w="1762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686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6.43 (1.52-26.63)</w:t>
            </w:r>
          </w:p>
        </w:tc>
        <w:tc>
          <w:tcPr>
            <w:tcW w:w="1003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251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0.013</w:t>
            </w:r>
          </w:p>
        </w:tc>
      </w:tr>
      <w:tr w14:paraId="54BE3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354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002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IIA2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0FD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8C4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4/25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9CE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8/38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EA6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1.33 (0.39-5.14)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972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0.656</w:t>
            </w:r>
          </w:p>
        </w:tc>
      </w:tr>
      <w:tr w14:paraId="4456B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37E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230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IIIC1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9D9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B49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1/39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7A0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10/43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853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8.04 (1.74-77.33)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FB8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0.005</w:t>
            </w:r>
          </w:p>
        </w:tc>
      </w:tr>
      <w:tr w14:paraId="1525A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6AE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Histology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D83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SCC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D88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206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24D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7/125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600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19/81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964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5.17 (2.06-12.96)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8B9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6AB84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C5D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A3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non-SCC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D60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801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3/26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CD6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3/14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5A6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2.04 (0.38-11.16)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11D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0.395</w:t>
            </w:r>
          </w:p>
        </w:tc>
      </w:tr>
      <w:tr w14:paraId="6C2AA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EB0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910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&lt;50y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93D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111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EBD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2/68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FD6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10/43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624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8.34 (2.25-45.13)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EF2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0.001</w:t>
            </w:r>
          </w:p>
        </w:tc>
      </w:tr>
      <w:tr w14:paraId="511EA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241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65A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&gt;=50y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7A6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2EC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8/83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E05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12/52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FAB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2.81 (1.06-7.44)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39B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0.037</w:t>
            </w:r>
          </w:p>
        </w:tc>
      </w:tr>
      <w:tr w14:paraId="44871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8C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Tumor size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422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 to &lt;5 cm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583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35C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5/86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701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14/59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F8F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5.04 (1.70-14.90)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C05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0.003</w:t>
            </w:r>
          </w:p>
        </w:tc>
      </w:tr>
      <w:tr w14:paraId="5ACB8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069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7D6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&gt;=5 cm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5B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C50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5/65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226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8/36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8D2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3.43 (1.03-11.43)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0EE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0.045</w:t>
            </w:r>
          </w:p>
        </w:tc>
      </w:tr>
      <w:tr w14:paraId="63685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24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Neoadjuvant cycles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6E2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&lt;=2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B64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177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7AF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6/118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DDE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18/59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97D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8.20 (3.04-22.07)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3B6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08B85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499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0C9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&gt;=3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483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7C1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4/33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FAE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4/36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606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0.91 (0.22-3.82)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6CD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0.892</w:t>
            </w:r>
          </w:p>
        </w:tc>
      </w:tr>
      <w:tr w14:paraId="183E5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007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Center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86C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Center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5E6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224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F78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10/147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F69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16/77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A7E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3.59 (1.54-8.37)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1C5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0.003</w:t>
            </w:r>
          </w:p>
        </w:tc>
      </w:tr>
      <w:tr w14:paraId="45C0F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788" w:type="dxa"/>
            <w:vMerge w:val="continue"/>
            <w:tcBorders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0BF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AB7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Center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51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2C23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22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3E8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0/4</w:t>
            </w:r>
          </w:p>
        </w:tc>
        <w:tc>
          <w:tcPr>
            <w:tcW w:w="94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CAE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6/18</w:t>
            </w:r>
          </w:p>
        </w:tc>
        <w:tc>
          <w:tcPr>
            <w:tcW w:w="176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FC7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4.68 (0.39-656.73)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FB1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0.252</w:t>
            </w:r>
          </w:p>
        </w:tc>
      </w:tr>
    </w:tbl>
    <w:p w14:paraId="1701718A">
      <w:pPr>
        <w:rPr>
          <w:rFonts w:hint="default" w:ascii="Times New Roman" w:hAnsi="Times New Roman" w:cs="Times New Roman"/>
          <w:sz w:val="21"/>
          <w:szCs w:val="21"/>
        </w:rPr>
      </w:pPr>
    </w:p>
    <w:p w14:paraId="7F745757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9</w:t>
      </w:r>
      <w:r>
        <w:rPr>
          <w:rFonts w:hint="default" w:ascii="Times New Roman" w:hAnsi="Times New Roman" w:cs="Times New Roman"/>
          <w:sz w:val="21"/>
          <w:szCs w:val="21"/>
        </w:rPr>
        <w:t>. Forest plot data and subgroup analyses evaluating MPR</w:t>
      </w:r>
    </w:p>
    <w:tbl>
      <w:tblPr>
        <w:tblStyle w:val="4"/>
        <w:tblW w:w="74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8"/>
        <w:gridCol w:w="1002"/>
        <w:gridCol w:w="518"/>
        <w:gridCol w:w="997"/>
        <w:gridCol w:w="944"/>
        <w:gridCol w:w="1714"/>
        <w:gridCol w:w="634"/>
      </w:tblGrid>
      <w:tr w14:paraId="3648D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38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A3A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Subgroup</w:t>
            </w:r>
          </w:p>
        </w:tc>
        <w:tc>
          <w:tcPr>
            <w:tcW w:w="1002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A03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Level</w:t>
            </w:r>
          </w:p>
        </w:tc>
        <w:tc>
          <w:tcPr>
            <w:tcW w:w="518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DE3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N</w:t>
            </w:r>
          </w:p>
        </w:tc>
        <w:tc>
          <w:tcPr>
            <w:tcW w:w="997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B23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NACT n/N</w:t>
            </w:r>
          </w:p>
        </w:tc>
        <w:tc>
          <w:tcPr>
            <w:tcW w:w="944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18B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NAIC n/N</w:t>
            </w:r>
          </w:p>
        </w:tc>
        <w:tc>
          <w:tcPr>
            <w:tcW w:w="1714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AA6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OR (95% CI)</w:t>
            </w:r>
          </w:p>
        </w:tc>
        <w:tc>
          <w:tcPr>
            <w:tcW w:w="634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5C0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471CF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8" w:type="dxa"/>
            <w:vMerge w:val="restart"/>
            <w:tcBorders>
              <w:top w:val="single" w:color="666666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992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FIGO stage</w:t>
            </w:r>
          </w:p>
          <w:p w14:paraId="6650A8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0AC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IB3</w:t>
            </w:r>
          </w:p>
        </w:tc>
        <w:tc>
          <w:tcPr>
            <w:tcW w:w="518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4C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101</w:t>
            </w:r>
          </w:p>
        </w:tc>
        <w:tc>
          <w:tcPr>
            <w:tcW w:w="997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28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7/87</w:t>
            </w:r>
          </w:p>
        </w:tc>
        <w:tc>
          <w:tcPr>
            <w:tcW w:w="944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1FC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2/14</w:t>
            </w:r>
          </w:p>
        </w:tc>
        <w:tc>
          <w:tcPr>
            <w:tcW w:w="1714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EFF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2.15 (0.37-9.26)</w:t>
            </w:r>
          </w:p>
        </w:tc>
        <w:tc>
          <w:tcPr>
            <w:tcW w:w="634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7B7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0.358</w:t>
            </w:r>
          </w:p>
        </w:tc>
      </w:tr>
      <w:tr w14:paraId="35534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8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C24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D09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IIA2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DFD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BF5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3/25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7D2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13/38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B79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3.40 (1.00-14.55)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CD3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0.050</w:t>
            </w:r>
          </w:p>
        </w:tc>
      </w:tr>
      <w:tr w14:paraId="63EFB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46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07D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IIIC1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3FC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56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1/39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68F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8/43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70A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6.15 (1.29-59.81)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4D3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0.021</w:t>
            </w:r>
          </w:p>
        </w:tc>
      </w:tr>
      <w:tr w14:paraId="3687B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EF8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Histology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84E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SCC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64E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206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29A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10/125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BF9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19/81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1CF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3.52 (1.54-8.05)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41E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0.003</w:t>
            </w:r>
          </w:p>
        </w:tc>
      </w:tr>
      <w:tr w14:paraId="36D1A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EA3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2DA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non-SCC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A2C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76B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1/26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5FA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4/14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165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7.29 (1.17-79.45)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D9A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0.033</w:t>
            </w:r>
          </w:p>
        </w:tc>
      </w:tr>
      <w:tr w14:paraId="12760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137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2D8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&lt;50y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407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111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445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5/68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FFB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12/43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FFF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4.88 (1.58-15.08)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6B2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0.006</w:t>
            </w:r>
          </w:p>
        </w:tc>
      </w:tr>
      <w:tr w14:paraId="0491E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776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B13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&gt;=50y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740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659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6/83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D30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11/52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F75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3.44 (1.19-9.98)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737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0.023</w:t>
            </w:r>
          </w:p>
        </w:tc>
      </w:tr>
      <w:tr w14:paraId="772B6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916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Tumor size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96F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 to &lt;5 cm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744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07A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8/86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22F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14/59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F18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3.03 (1.18-7.79)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570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0.021</w:t>
            </w:r>
          </w:p>
        </w:tc>
      </w:tr>
      <w:tr w14:paraId="5BF11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CA4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AAC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&gt;=5 cm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A90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A92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3/65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D76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9/36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8E5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6.17 (1.80-26.29)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F43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0.003</w:t>
            </w:r>
          </w:p>
        </w:tc>
      </w:tr>
      <w:tr w14:paraId="682A3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1E9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Neoadjuvant cycles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E66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&lt;=2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AD6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177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232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9/118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203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10/59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77C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2.47 (0.94-6.47)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11E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0.065</w:t>
            </w:r>
          </w:p>
        </w:tc>
      </w:tr>
      <w:tr w14:paraId="1304B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8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683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0E5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&gt;=3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3BE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B25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2/33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710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13/36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6BD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7.24 (1.94-39.57)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E62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0.002</w:t>
            </w:r>
          </w:p>
        </w:tc>
      </w:tr>
      <w:tr w14:paraId="29F20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9DC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Center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64B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Center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187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224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81E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10/147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69D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17/77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EEF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3.88 (1.68-8.97)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442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0.002</w:t>
            </w:r>
          </w:p>
        </w:tc>
      </w:tr>
      <w:tr w14:paraId="1C534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638" w:type="dxa"/>
            <w:vMerge w:val="continue"/>
            <w:tcBorders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1E3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ADE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Center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51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353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22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CAC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1/4</w:t>
            </w:r>
          </w:p>
        </w:tc>
        <w:tc>
          <w:tcPr>
            <w:tcW w:w="94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7F9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6/18</w:t>
            </w:r>
          </w:p>
        </w:tc>
        <w:tc>
          <w:tcPr>
            <w:tcW w:w="171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30C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1.21 (0.16-14.49)</w:t>
            </w:r>
          </w:p>
        </w:tc>
        <w:tc>
          <w:tcPr>
            <w:tcW w:w="63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901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0.858</w:t>
            </w:r>
          </w:p>
        </w:tc>
      </w:tr>
    </w:tbl>
    <w:p w14:paraId="2282957D">
      <w:pPr>
        <w:rPr>
          <w:rFonts w:hint="default" w:ascii="Times New Roman" w:hAnsi="Times New Roman" w:cs="Times New Roman"/>
          <w:sz w:val="21"/>
          <w:szCs w:val="21"/>
        </w:rPr>
      </w:pPr>
    </w:p>
    <w:p w14:paraId="7EF5B76B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p w14:paraId="2CA10524">
      <w:pPr>
        <w:pStyle w:val="2"/>
        <w:numPr>
          <w:ilvl w:val="1"/>
          <w:numId w:val="0"/>
        </w:num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Supplementary Table 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cs="Times New Roman"/>
          <w:sz w:val="21"/>
          <w:szCs w:val="21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Forest plot data and subgroup analyses evaluating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OPR</w:t>
      </w:r>
    </w:p>
    <w:tbl>
      <w:tblPr>
        <w:tblStyle w:val="4"/>
        <w:tblW w:w="74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8"/>
        <w:gridCol w:w="1002"/>
        <w:gridCol w:w="518"/>
        <w:gridCol w:w="997"/>
        <w:gridCol w:w="944"/>
        <w:gridCol w:w="1567"/>
        <w:gridCol w:w="744"/>
      </w:tblGrid>
      <w:tr w14:paraId="4C095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E12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Subgroup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AC7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Level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21C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N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ED9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NACT n/N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986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NAIC n/N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07B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OR (95% CI)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DAB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34F2A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restart"/>
            <w:tcBorders>
              <w:top w:val="single" w:color="666666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453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FIGO 2018 stage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DAC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IB3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0E0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101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29A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12/87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5EB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6/14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601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4.69 (1.38-15.90)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F88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0.013</w:t>
            </w:r>
          </w:p>
        </w:tc>
      </w:tr>
      <w:tr w14:paraId="0FF52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07E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F9A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IIA2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6E4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A51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7/25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2A5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21/38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386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3.18 (1.08-9.37)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7C5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0.036</w:t>
            </w:r>
          </w:p>
        </w:tc>
      </w:tr>
      <w:tr w14:paraId="59166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9A1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2B6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IIIC1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D6B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C68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2/39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715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18/43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F9E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10.88 (3.08-57.98)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A01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175FD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AF3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Histology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0C5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SCC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0B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DE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17/125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7ED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38/81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2AF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5.61 (2.87-11.00)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EED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37A66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816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025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non-SCC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4E3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37B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4/26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2F0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7/14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FBD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5.00 (1.24-22.65)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0C2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0.024</w:t>
            </w:r>
          </w:p>
        </w:tc>
      </w:tr>
      <w:tr w14:paraId="7CB0C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178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78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&lt;50y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F7F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9A3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7/68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BB4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22/43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3AF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9.13 (3.41-24.43)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5D5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1EE63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78F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96B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&gt;=50y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829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9C1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14/83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425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23/52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E9A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3.91 (1.77-8.64)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23F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5FD37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533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Tumor size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88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 to &lt;5 cm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ECD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23A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13/86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A5D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28/59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EB6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5.07 (2.32-11.07)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BAB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4C2AB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95E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64D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&gt;=5 cm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C80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7B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8/65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ED6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17/36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B4C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6.37 (2.37-17.12)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DD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0C832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21D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Neoadjuvant cycles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26A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&lt;=2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0DA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2BD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15/118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D63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28/59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3AB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6.20 (2.95-13.06)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72B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4DCB7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F0C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021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&gt;=3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375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C7D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6/33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5A8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17/36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ED2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4.03 (1.34-12.10)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1D0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0.013</w:t>
            </w:r>
          </w:p>
        </w:tc>
      </w:tr>
      <w:tr w14:paraId="45601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6EE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Center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9C2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Center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D8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351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20/147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10F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33/77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66B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4.76 (2.48-9.15)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490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&lt;0.001</w:t>
            </w:r>
          </w:p>
        </w:tc>
      </w:tr>
      <w:tr w14:paraId="2487C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vMerge w:val="continue"/>
            <w:tcBorders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92F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435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Center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D00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22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EDE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1/4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96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12/18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AE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4.49 (0.59-54.09)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D3F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0.149</w:t>
            </w:r>
          </w:p>
        </w:tc>
      </w:tr>
    </w:tbl>
    <w:p w14:paraId="7630C259">
      <w:pPr>
        <w:rPr>
          <w:rFonts w:hint="default" w:ascii="Times New Roman" w:hAnsi="Times New Roman" w:cs="Times New Roman"/>
          <w:sz w:val="21"/>
          <w:szCs w:val="21"/>
        </w:rPr>
      </w:pPr>
    </w:p>
    <w:p w14:paraId="0439EDAE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p w14:paraId="63CF44DE">
      <w:pPr>
        <w:pStyle w:val="2"/>
        <w:numPr>
          <w:ilvl w:val="1"/>
          <w:numId w:val="0"/>
        </w:numPr>
        <w:ind w:left="360" w:leftChars="0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Supplementary Table 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11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Summary of all interaction tests across response outcomes (pCR, MPR, OPR) adjusted by the Benjamini-Hochberg procedure to control the false discovery rate.</w:t>
      </w:r>
    </w:p>
    <w:tbl>
      <w:tblPr>
        <w:tblStyle w:val="4"/>
        <w:tblW w:w="76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2554"/>
        <w:gridCol w:w="2376"/>
        <w:gridCol w:w="1451"/>
      </w:tblGrid>
      <w:tr w14:paraId="66BCB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99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6F7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Outcome</w:t>
            </w:r>
          </w:p>
        </w:tc>
        <w:tc>
          <w:tcPr>
            <w:tcW w:w="2554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E77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Subgroup</w:t>
            </w:r>
          </w:p>
        </w:tc>
        <w:tc>
          <w:tcPr>
            <w:tcW w:w="2376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69A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P for interaction</w:t>
            </w:r>
          </w:p>
        </w:tc>
        <w:tc>
          <w:tcPr>
            <w:tcW w:w="1451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F25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P (BH-adjusted)</w:t>
            </w:r>
          </w:p>
        </w:tc>
      </w:tr>
      <w:tr w14:paraId="45AA3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restart"/>
            <w:tcBorders>
              <w:top w:val="single" w:color="666666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C08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pCR</w:t>
            </w:r>
          </w:p>
          <w:p w14:paraId="099F8B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5C2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FIGO 2018 stage</w:t>
            </w:r>
          </w:p>
        </w:tc>
        <w:tc>
          <w:tcPr>
            <w:tcW w:w="2376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826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0.146</w:t>
            </w:r>
          </w:p>
        </w:tc>
        <w:tc>
          <w:tcPr>
            <w:tcW w:w="1451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7AB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0.662</w:t>
            </w:r>
          </w:p>
        </w:tc>
      </w:tr>
      <w:tr w14:paraId="571F6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9CC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3EF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Histology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EAE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0.372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2D9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0.680</w:t>
            </w:r>
          </w:p>
        </w:tc>
      </w:tr>
      <w:tr w14:paraId="63F14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04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6C6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7EC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0.158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B3F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0.662</w:t>
            </w:r>
          </w:p>
        </w:tc>
      </w:tr>
      <w:tr w14:paraId="0D93A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A7C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DB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Tumor size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372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0.641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91E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0.791</w:t>
            </w:r>
          </w:p>
        </w:tc>
      </w:tr>
      <w:tr w14:paraId="54126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624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D58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Neoadjuvant cycles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25B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0.017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73E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0.299</w:t>
            </w:r>
          </w:p>
        </w:tc>
      </w:tr>
      <w:tr w14:paraId="379BB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BAF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607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Center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77A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0.329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90B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0.680</w:t>
            </w:r>
          </w:p>
        </w:tc>
      </w:tr>
      <w:tr w14:paraId="40D67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DCE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MPR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F6D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FIGO 2018 stage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839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0.497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F08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0.730</w:t>
            </w:r>
          </w:p>
        </w:tc>
      </w:tr>
      <w:tr w14:paraId="6BBC7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E3A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496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Histology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A16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0.378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290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0.680</w:t>
            </w:r>
          </w:p>
        </w:tc>
      </w:tr>
      <w:tr w14:paraId="05592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12D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08F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A64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0.659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7D7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0.791</w:t>
            </w:r>
          </w:p>
        </w:tc>
      </w:tr>
      <w:tr w14:paraId="69414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64D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62A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Tumor size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BC9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0.328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EEC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0.680</w:t>
            </w:r>
          </w:p>
        </w:tc>
      </w:tr>
      <w:tr w14:paraId="0ED5E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275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7AC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Neoadjuvant cycles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734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0.158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7F9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0.662</w:t>
            </w:r>
          </w:p>
        </w:tc>
      </w:tr>
      <w:tr w14:paraId="05A0A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382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57C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Center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90C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0.497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419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0.730</w:t>
            </w:r>
          </w:p>
        </w:tc>
      </w:tr>
      <w:tr w14:paraId="7157D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253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OPR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231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FIGO 2018 stage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7B2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0.285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E24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0.680</w:t>
            </w:r>
          </w:p>
        </w:tc>
      </w:tr>
      <w:tr w14:paraId="157AE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149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42B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Histology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DD3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0.980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923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0.980</w:t>
            </w:r>
          </w:p>
        </w:tc>
      </w:tr>
      <w:tr w14:paraId="53373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5DC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0AE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29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0.184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336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0.662</w:t>
            </w:r>
          </w:p>
        </w:tc>
      </w:tr>
      <w:tr w14:paraId="73E55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6AB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B5B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Tumor size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1D7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0.721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646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0.812</w:t>
            </w:r>
          </w:p>
        </w:tc>
      </w:tr>
      <w:tr w14:paraId="646D3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1CD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149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Neoadjuvant cycles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1EB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0.527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62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0.730</w:t>
            </w:r>
          </w:p>
        </w:tc>
      </w:tr>
      <w:tr w14:paraId="32245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9" w:type="dxa"/>
            <w:vMerge w:val="continue"/>
            <w:tcBorders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499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469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Center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1CE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0.858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E35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0.908</w:t>
            </w:r>
          </w:p>
        </w:tc>
      </w:tr>
    </w:tbl>
    <w:p w14:paraId="46623CFF">
      <w:pPr>
        <w:rPr>
          <w:rFonts w:hint="default" w:ascii="Times New Roman" w:hAnsi="Times New Roman" w:cs="Times New Roman"/>
          <w:sz w:val="21"/>
          <w:szCs w:val="21"/>
        </w:rPr>
      </w:pPr>
    </w:p>
    <w:p w14:paraId="307C4C36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p w14:paraId="1F076199">
      <w:pPr>
        <w:pStyle w:val="2"/>
        <w:numPr>
          <w:ilvl w:val="1"/>
          <w:numId w:val="0"/>
        </w:numPr>
        <w:ind w:left="360" w:leftChars="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Supplementary Table 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1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sz w:val="21"/>
          <w:szCs w:val="21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Calendar-time sensitivity analyses (contemporaneous cohort, negative controls, and time-adjusted multivariable models) to address temporal biases related to the recent introduction of NAIC.</w:t>
      </w:r>
    </w:p>
    <w:tbl>
      <w:tblPr>
        <w:tblStyle w:val="4"/>
        <w:tblW w:w="7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9"/>
        <w:gridCol w:w="1749"/>
        <w:gridCol w:w="2640"/>
        <w:gridCol w:w="1123"/>
      </w:tblGrid>
      <w:tr w14:paraId="56459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359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8F7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Analysis</w:t>
            </w:r>
          </w:p>
        </w:tc>
        <w:tc>
          <w:tcPr>
            <w:tcW w:w="1749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A13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Outcome</w:t>
            </w:r>
          </w:p>
        </w:tc>
        <w:tc>
          <w:tcPr>
            <w:tcW w:w="26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C7B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OR (95% CI)</w:t>
            </w:r>
          </w:p>
        </w:tc>
        <w:tc>
          <w:tcPr>
            <w:tcW w:w="1123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E7D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3C6C2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9" w:type="dxa"/>
            <w:vMerge w:val="restart"/>
            <w:tcBorders>
              <w:top w:val="single" w:color="666666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DE1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Contemporaneous cohort </w:t>
            </w:r>
          </w:p>
          <w:p w14:paraId="1FC1C0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9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464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pCR</w:t>
            </w:r>
          </w:p>
        </w:tc>
        <w:tc>
          <w:tcPr>
            <w:tcW w:w="264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EA0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4.64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(</w:t>
            </w:r>
            <w:r>
              <w:rPr>
                <w:rFonts w:hint="eastAsia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1.79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–</w:t>
            </w:r>
            <w:r>
              <w:rPr>
                <w:rFonts w:hint="eastAsia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14.46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1123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E0F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03</w:t>
            </w:r>
          </w:p>
        </w:tc>
      </w:tr>
      <w:tr w14:paraId="21836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8C3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6C1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MPR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ADB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79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(</w:t>
            </w:r>
            <w:r>
              <w:rPr>
                <w:rFonts w:hint="eastAsia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1.21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–</w:t>
            </w:r>
            <w:r>
              <w:rPr>
                <w:rFonts w:hint="eastAsia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7.05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D4D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03</w:t>
            </w:r>
          </w:p>
        </w:tc>
      </w:tr>
      <w:tr w14:paraId="47D0D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9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B3A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A0F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OPR 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A16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3.67 (1.53-8.80)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F24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0.004</w:t>
            </w:r>
          </w:p>
        </w:tc>
      </w:tr>
      <w:tr w14:paraId="70558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10C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Negative control (within NACT: late vs early era)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54A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pCR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238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1.20 (0.30-4.90)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FE9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0.795</w:t>
            </w:r>
          </w:p>
        </w:tc>
      </w:tr>
      <w:tr w14:paraId="0C02F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B75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227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MPR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AB0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2.50 (0.72-8.70)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0EE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0.150</w:t>
            </w:r>
          </w:p>
        </w:tc>
      </w:tr>
      <w:tr w14:paraId="5B30C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9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C6E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545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OPR 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978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1.88 (0.72-4.96)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3B1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0.199</w:t>
            </w:r>
          </w:p>
        </w:tc>
      </w:tr>
      <w:tr w14:paraId="38806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DC3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Multivariable model adjusted for calendar year</w:t>
            </w:r>
          </w:p>
          <w:p w14:paraId="44F382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A90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pCR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AC1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3.40 (0.80-14.48)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DD4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0.099</w:t>
            </w:r>
          </w:p>
        </w:tc>
      </w:tr>
      <w:tr w14:paraId="561F1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9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9EC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747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MPR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894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0.94 (0.24-3.71)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422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0.925</w:t>
            </w:r>
          </w:p>
        </w:tc>
      </w:tr>
      <w:tr w14:paraId="66D0C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9" w:type="dxa"/>
            <w:vMerge w:val="continue"/>
            <w:tcBorders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2F6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29E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OPR 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1D7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2.05 (0.69-6.11)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B7D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0.196</w:t>
            </w:r>
          </w:p>
        </w:tc>
      </w:tr>
      <w:bookmarkEnd w:id="0"/>
    </w:tbl>
    <w:p w14:paraId="59BBC8A8">
      <w:pPr>
        <w:rPr>
          <w:rFonts w:hint="default" w:ascii="Times New Roman" w:hAnsi="Times New Roman" w:cs="Times New Roman"/>
          <w:sz w:val="21"/>
          <w:szCs w:val="21"/>
        </w:rPr>
      </w:pPr>
    </w:p>
    <w:p w14:paraId="5843E51E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p w14:paraId="48B46788">
      <w:pPr>
        <w:pStyle w:val="2"/>
        <w:numPr>
          <w:ilvl w:val="1"/>
          <w:numId w:val="0"/>
        </w:numPr>
        <w:ind w:left="360" w:leftChars="0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Supplementary Table 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13</w:t>
      </w:r>
      <w:r>
        <w:rPr>
          <w:rFonts w:hint="default" w:ascii="Times New Roman" w:hAnsi="Times New Roman" w:cs="Times New Roman"/>
          <w:sz w:val="21"/>
          <w:szCs w:val="21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Calculated E-values for point estimates and lower confidence interval limits to quantify the minimum strength of unmeasured confounding required to nullify the observed treatment effects.</w:t>
      </w:r>
    </w:p>
    <w:tbl>
      <w:tblPr>
        <w:tblStyle w:val="4"/>
        <w:tblW w:w="83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380"/>
        <w:gridCol w:w="2614"/>
        <w:gridCol w:w="1474"/>
        <w:gridCol w:w="1940"/>
      </w:tblGrid>
      <w:tr w14:paraId="429E4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27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66A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Outcome</w:t>
            </w:r>
          </w:p>
        </w:tc>
        <w:tc>
          <w:tcPr>
            <w:tcW w:w="138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5B6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Cohort</w:t>
            </w:r>
          </w:p>
        </w:tc>
        <w:tc>
          <w:tcPr>
            <w:tcW w:w="2614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93B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OR (95% CI)</w:t>
            </w:r>
          </w:p>
        </w:tc>
        <w:tc>
          <w:tcPr>
            <w:tcW w:w="1474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850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E-value (point)</w:t>
            </w:r>
          </w:p>
        </w:tc>
        <w:tc>
          <w:tcPr>
            <w:tcW w:w="19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2DB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E-value (CI limit)</w:t>
            </w:r>
          </w:p>
        </w:tc>
      </w:tr>
      <w:tr w14:paraId="22495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7" w:type="dxa"/>
            <w:vMerge w:val="restart"/>
            <w:tcBorders>
              <w:top w:val="single" w:color="666666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578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pCR</w:t>
            </w:r>
          </w:p>
        </w:tc>
        <w:tc>
          <w:tcPr>
            <w:tcW w:w="138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9A6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Crude</w:t>
            </w:r>
          </w:p>
        </w:tc>
        <w:tc>
          <w:tcPr>
            <w:tcW w:w="2614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135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4.25 (1.91-9.45)</w:t>
            </w:r>
          </w:p>
        </w:tc>
        <w:tc>
          <w:tcPr>
            <w:tcW w:w="1474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568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3.54</w:t>
            </w:r>
          </w:p>
        </w:tc>
        <w:tc>
          <w:tcPr>
            <w:tcW w:w="194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A47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2.11</w:t>
            </w:r>
          </w:p>
        </w:tc>
      </w:tr>
      <w:tr w14:paraId="6EDEB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7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028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8AD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PSM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94C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3.18 (1.19-8.48)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88A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2.96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E3A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1.41</w:t>
            </w:r>
          </w:p>
        </w:tc>
      </w:tr>
      <w:tr w14:paraId="13B73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275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8F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IPTW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E76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3.60 (1.44-8.99)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C22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3.20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42D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1.69</w:t>
            </w:r>
          </w:p>
        </w:tc>
      </w:tr>
      <w:tr w14:paraId="4A518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DF2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MPR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31C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Crude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869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4.07 (1.88-8.80)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BE6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3.45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E75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2.08</w:t>
            </w:r>
          </w:p>
        </w:tc>
      </w:tr>
      <w:tr w14:paraId="3CB4D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7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08C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95F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PSM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245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3.88 (1.39-10.79)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720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3.35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48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1.64</w:t>
            </w:r>
          </w:p>
        </w:tc>
      </w:tr>
      <w:tr w14:paraId="46B8E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284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33C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IPTW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799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1.86 (0.64-5.43)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DF1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2.07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416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</w:t>
            </w:r>
          </w:p>
        </w:tc>
      </w:tr>
      <w:tr w14:paraId="4AB38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12A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OPR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3EA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Crude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C8C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5.57 (3.02-10.28)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3B9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4.15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8EE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2.87</w:t>
            </w:r>
          </w:p>
        </w:tc>
      </w:tr>
      <w:tr w14:paraId="27F7E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7" w:type="dxa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65A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0D8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PSM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943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4.61 (2.11-10.07)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757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3.71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6E9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2.26</w:t>
            </w:r>
          </w:p>
        </w:tc>
      </w:tr>
      <w:tr w14:paraId="0333F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7" w:type="dxa"/>
            <w:vMerge w:val="continue"/>
            <w:tcBorders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584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024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IPTW</w:t>
            </w:r>
          </w:p>
        </w:tc>
        <w:tc>
          <w:tcPr>
            <w:tcW w:w="261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99F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3.00 (1.33-6.78)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56A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2.86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8F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beforeAutospacing="0" w:after="40" w:afterAutospacing="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1.57</w:t>
            </w:r>
          </w:p>
        </w:tc>
      </w:tr>
    </w:tbl>
    <w:p w14:paraId="29477369">
      <w:pPr>
        <w:rPr>
          <w:rFonts w:hint="default" w:ascii="Times New Roman" w:hAnsi="Times New Roman" w:cs="Times New Roman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pStyle w:val="2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7C00E3"/>
    <w:rsid w:val="077C00E3"/>
    <w:rsid w:val="0C6D0CE8"/>
    <w:rsid w:val="1B3B0B2E"/>
    <w:rsid w:val="2E6E3CFB"/>
    <w:rsid w:val="300761CE"/>
    <w:rsid w:val="32262752"/>
    <w:rsid w:val="45936975"/>
    <w:rsid w:val="4B350A18"/>
    <w:rsid w:val="4F446D44"/>
    <w:rsid w:val="5AF36428"/>
    <w:rsid w:val="612F7116"/>
    <w:rsid w:val="663F1ABD"/>
    <w:rsid w:val="66A23F66"/>
    <w:rsid w:val="754A3A0D"/>
    <w:rsid w:val="79744EF8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customStyle="1" w:styleId="8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405</Words>
  <Characters>2052</Characters>
  <Lines>0</Lines>
  <Paragraphs>0</Paragraphs>
  <TotalTime>14</TotalTime>
  <ScaleCrop>false</ScaleCrop>
  <LinksUpToDate>false</LinksUpToDate>
  <CharactersWithSpaces>2307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2026-09-18T10:24:00Z</dcterms:created>
  <dc:creator>zly</dc:creator>
  <cp:lastModifiedBy>zly</cp:lastModifiedBy>
  <dcterms:modified xsi:type="dcterms:W3CDTF">2026-09-22T12:48:19Z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1E60B9F7B87B4ED19BDC7C6CD28809B7_13</vt:lpwstr>
  </property>
  <property fmtid="{D5CDD505-2E9C-101B-9397-08002B2CF9AE}" pid="4" name="KSOTemplateDocerSaveRecord">
    <vt:lpwstr>eyJoZGlkIjoiMTQwYjk4ZDBmNGMwZmFhYjM1ZWZjNDk5NmUzNDcxMDQiLCJ1c2VySWQiOiI2Nzc4ODk3OTMifQ==</vt:lpwstr>
  </property>
</Properties>
</file>