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74A" w:rsidRPr="009C063A" w:rsidRDefault="00387818" w:rsidP="00157F19">
      <w:pPr>
        <w:spacing w:line="240" w:lineRule="auto"/>
        <w:jc w:val="both"/>
        <w:rPr>
          <w:rFonts w:cstheme="minorHAnsi"/>
          <w:b/>
          <w:sz w:val="21"/>
          <w:szCs w:val="21"/>
          <w:lang w:val="en-GB"/>
        </w:rPr>
      </w:pPr>
      <w:r>
        <w:rPr>
          <w:rFonts w:cstheme="minorHAnsi"/>
          <w:b/>
          <w:sz w:val="21"/>
          <w:szCs w:val="21"/>
          <w:lang w:val="en-GB"/>
        </w:rPr>
        <w:t>Additional File 1</w:t>
      </w:r>
    </w:p>
    <w:p w:rsidR="008164E2" w:rsidRPr="009C063A" w:rsidRDefault="008164E2" w:rsidP="00B4191A">
      <w:pPr>
        <w:suppressLineNumbers/>
        <w:spacing w:line="240" w:lineRule="auto"/>
        <w:jc w:val="both"/>
        <w:rPr>
          <w:rFonts w:cstheme="minorHAnsi"/>
          <w:b/>
          <w:sz w:val="21"/>
          <w:szCs w:val="21"/>
          <w:lang w:val="en-GB"/>
        </w:rPr>
      </w:pPr>
    </w:p>
    <w:p w:rsidR="00942EAE" w:rsidRPr="009C063A" w:rsidRDefault="00942EAE" w:rsidP="00B4191A">
      <w:pPr>
        <w:suppressLineNumbers/>
        <w:spacing w:line="276" w:lineRule="auto"/>
        <w:jc w:val="both"/>
        <w:rPr>
          <w:rFonts w:cstheme="minorHAnsi"/>
          <w:b/>
          <w:sz w:val="21"/>
          <w:szCs w:val="21"/>
          <w:lang w:val="en-GB"/>
        </w:rPr>
      </w:pPr>
      <w:r w:rsidRPr="009C063A">
        <w:rPr>
          <w:rFonts w:cstheme="minorHAnsi"/>
          <w:b/>
          <w:sz w:val="21"/>
          <w:szCs w:val="21"/>
          <w:lang w:val="en-GB"/>
        </w:rPr>
        <w:t>Efficacy and safety of interventions to control myopia progression in children: An overview of systematic reviews and meta-analyses.</w:t>
      </w:r>
    </w:p>
    <w:p w:rsidR="008164E2" w:rsidRPr="009C063A" w:rsidRDefault="008164E2" w:rsidP="00B4191A">
      <w:pPr>
        <w:suppressLineNumbers/>
        <w:spacing w:line="276" w:lineRule="auto"/>
        <w:jc w:val="both"/>
        <w:rPr>
          <w:rFonts w:eastAsia="Calibri" w:cstheme="minorHAnsi"/>
          <w:sz w:val="21"/>
          <w:szCs w:val="21"/>
          <w:lang w:val="en-GB"/>
        </w:rPr>
      </w:pPr>
    </w:p>
    <w:p w:rsidR="00B0196E" w:rsidRPr="009C063A" w:rsidRDefault="00B0196E" w:rsidP="00B4191A">
      <w:pPr>
        <w:suppressLineNumbers/>
        <w:spacing w:line="276" w:lineRule="auto"/>
        <w:rPr>
          <w:rFonts w:eastAsia="Calibri" w:cstheme="minorHAnsi"/>
          <w:sz w:val="21"/>
          <w:szCs w:val="21"/>
          <w:lang w:val="en-GB"/>
        </w:rPr>
      </w:pPr>
      <w:r w:rsidRPr="009C063A">
        <w:rPr>
          <w:rFonts w:eastAsia="Calibri" w:cstheme="minorHAnsi"/>
          <w:sz w:val="21"/>
          <w:szCs w:val="21"/>
          <w:lang w:val="en-GB"/>
        </w:rPr>
        <w:t>Efthymia Prousali, Anna-Bettina Haidich, Andreas Fontalis, Nikolaos Ziakas, Periklis Brazitikos, Asimina Mataftsi</w:t>
      </w:r>
    </w:p>
    <w:p w:rsidR="008164E2" w:rsidRPr="001572E0" w:rsidRDefault="008164E2" w:rsidP="00157F19">
      <w:pPr>
        <w:spacing w:line="240" w:lineRule="auto"/>
        <w:jc w:val="both"/>
        <w:rPr>
          <w:rFonts w:cstheme="minorHAnsi"/>
          <w:sz w:val="21"/>
          <w:szCs w:val="21"/>
          <w:lang w:val="en-GB"/>
        </w:rPr>
      </w:pPr>
    </w:p>
    <w:p w:rsidR="007429EC" w:rsidRPr="001572E0" w:rsidRDefault="00387818" w:rsidP="00157F19">
      <w:pPr>
        <w:spacing w:line="240" w:lineRule="auto"/>
        <w:jc w:val="both"/>
        <w:rPr>
          <w:rFonts w:cstheme="minorHAnsi"/>
          <w:sz w:val="21"/>
          <w:szCs w:val="21"/>
          <w:lang w:val="en-GB"/>
        </w:rPr>
      </w:pPr>
      <w:r>
        <w:rPr>
          <w:rFonts w:cstheme="minorHAnsi"/>
          <w:sz w:val="21"/>
          <w:szCs w:val="21"/>
          <w:lang w:val="en-GB"/>
        </w:rPr>
        <w:t>February</w:t>
      </w:r>
      <w:r w:rsidR="008A1352">
        <w:rPr>
          <w:rFonts w:cstheme="minorHAnsi"/>
          <w:sz w:val="21"/>
          <w:szCs w:val="21"/>
          <w:lang w:val="en-GB"/>
        </w:rPr>
        <w:t xml:space="preserve"> 5</w:t>
      </w:r>
      <w:bookmarkStart w:id="0" w:name="_GoBack"/>
      <w:bookmarkEnd w:id="0"/>
      <w:r w:rsidR="00E476EE" w:rsidRPr="001572E0">
        <w:rPr>
          <w:rFonts w:cstheme="minorHAnsi"/>
          <w:sz w:val="21"/>
          <w:szCs w:val="21"/>
          <w:lang w:val="en-GB"/>
        </w:rPr>
        <w:t>, 2019</w:t>
      </w:r>
    </w:p>
    <w:p w:rsidR="00175F2B" w:rsidRPr="009C063A" w:rsidRDefault="00175F2B" w:rsidP="00157F19">
      <w:pPr>
        <w:spacing w:line="240" w:lineRule="auto"/>
        <w:jc w:val="both"/>
        <w:rPr>
          <w:rFonts w:cstheme="minorHAnsi"/>
          <w:b/>
          <w:sz w:val="21"/>
          <w:szCs w:val="21"/>
          <w:lang w:val="en-GB"/>
        </w:rPr>
      </w:pPr>
    </w:p>
    <w:p w:rsidR="008164E2" w:rsidRPr="009C063A" w:rsidRDefault="008164E2" w:rsidP="00157F19">
      <w:pPr>
        <w:spacing w:line="240" w:lineRule="auto"/>
        <w:jc w:val="both"/>
        <w:rPr>
          <w:rFonts w:cstheme="minorHAnsi"/>
          <w:b/>
          <w:color w:val="FF0000"/>
          <w:sz w:val="21"/>
          <w:szCs w:val="21"/>
          <w:lang w:val="en-GB"/>
        </w:rPr>
      </w:pPr>
    </w:p>
    <w:p w:rsidR="00175F2B" w:rsidRPr="009C063A" w:rsidRDefault="00175F2B" w:rsidP="00157F19">
      <w:pPr>
        <w:spacing w:line="240" w:lineRule="auto"/>
        <w:jc w:val="both"/>
        <w:rPr>
          <w:rFonts w:cstheme="minorHAnsi"/>
          <w:color w:val="FF0000"/>
          <w:sz w:val="21"/>
          <w:szCs w:val="21"/>
          <w:lang w:val="en-GB"/>
        </w:rPr>
      </w:pPr>
      <w:r w:rsidRPr="009C063A">
        <w:rPr>
          <w:rFonts w:cstheme="minorHAnsi"/>
          <w:b/>
          <w:sz w:val="21"/>
          <w:szCs w:val="21"/>
          <w:lang w:val="en-GB"/>
        </w:rPr>
        <w:t xml:space="preserve">Appendix 1. </w:t>
      </w:r>
      <w:r w:rsidR="00BF481F" w:rsidRPr="009C063A">
        <w:rPr>
          <w:rFonts w:cstheme="minorHAnsi"/>
          <w:bCs/>
          <w:sz w:val="21"/>
          <w:szCs w:val="21"/>
          <w:lang w:val="en-GB"/>
        </w:rPr>
        <w:t>P</w:t>
      </w:r>
      <w:r w:rsidR="00BF481F" w:rsidRPr="009C063A">
        <w:rPr>
          <w:rFonts w:cstheme="minorHAnsi"/>
          <w:sz w:val="21"/>
          <w:szCs w:val="21"/>
          <w:lang w:val="en-GB"/>
        </w:rPr>
        <w:t xml:space="preserve">referred </w:t>
      </w:r>
      <w:r w:rsidR="00BF481F" w:rsidRPr="009C063A">
        <w:rPr>
          <w:rFonts w:cstheme="minorHAnsi"/>
          <w:bCs/>
          <w:sz w:val="21"/>
          <w:szCs w:val="21"/>
          <w:lang w:val="en-GB"/>
        </w:rPr>
        <w:t>R</w:t>
      </w:r>
      <w:r w:rsidR="00BF481F" w:rsidRPr="009C063A">
        <w:rPr>
          <w:rFonts w:cstheme="minorHAnsi"/>
          <w:sz w:val="21"/>
          <w:szCs w:val="21"/>
          <w:lang w:val="en-GB"/>
        </w:rPr>
        <w:t xml:space="preserve">eporting </w:t>
      </w:r>
      <w:r w:rsidR="00BF481F" w:rsidRPr="009C063A">
        <w:rPr>
          <w:rFonts w:cstheme="minorHAnsi"/>
          <w:bCs/>
          <w:sz w:val="21"/>
          <w:szCs w:val="21"/>
          <w:lang w:val="en-GB"/>
        </w:rPr>
        <w:t>I</w:t>
      </w:r>
      <w:r w:rsidR="00BF481F" w:rsidRPr="009C063A">
        <w:rPr>
          <w:rFonts w:cstheme="minorHAnsi"/>
          <w:sz w:val="21"/>
          <w:szCs w:val="21"/>
          <w:lang w:val="en-GB"/>
        </w:rPr>
        <w:t xml:space="preserve">tems for </w:t>
      </w:r>
      <w:r w:rsidR="00BF481F" w:rsidRPr="009C063A">
        <w:rPr>
          <w:rFonts w:cstheme="minorHAnsi"/>
          <w:bCs/>
          <w:sz w:val="21"/>
          <w:szCs w:val="21"/>
          <w:lang w:val="en-GB"/>
        </w:rPr>
        <w:t>O</w:t>
      </w:r>
      <w:r w:rsidR="00BF481F" w:rsidRPr="009C063A">
        <w:rPr>
          <w:rFonts w:cstheme="minorHAnsi"/>
          <w:sz w:val="21"/>
          <w:szCs w:val="21"/>
          <w:lang w:val="en-GB"/>
        </w:rPr>
        <w:t>verviews of systematic reviews with harms 2017 Checklist</w:t>
      </w:r>
    </w:p>
    <w:p w:rsidR="00175F2B" w:rsidRPr="009C063A" w:rsidRDefault="00175F2B" w:rsidP="00157F19">
      <w:pPr>
        <w:spacing w:line="240" w:lineRule="auto"/>
        <w:jc w:val="both"/>
        <w:rPr>
          <w:rFonts w:cstheme="minorHAnsi"/>
          <w:b/>
          <w:sz w:val="21"/>
          <w:szCs w:val="21"/>
          <w:lang w:val="en-GB"/>
        </w:rPr>
      </w:pPr>
      <w:r w:rsidRPr="009C063A">
        <w:rPr>
          <w:rFonts w:cstheme="minorHAnsi"/>
          <w:b/>
          <w:sz w:val="21"/>
          <w:szCs w:val="21"/>
          <w:lang w:val="en-GB"/>
        </w:rPr>
        <w:t xml:space="preserve">Appendix 2. </w:t>
      </w:r>
      <w:r w:rsidRPr="009C063A">
        <w:rPr>
          <w:rFonts w:cstheme="minorHAnsi"/>
          <w:sz w:val="21"/>
          <w:szCs w:val="21"/>
          <w:lang w:val="en-GB"/>
        </w:rPr>
        <w:t>Search strategy</w:t>
      </w:r>
    </w:p>
    <w:p w:rsidR="0041226C" w:rsidRPr="009C063A" w:rsidRDefault="00175F2B" w:rsidP="00157F19">
      <w:pPr>
        <w:spacing w:line="240" w:lineRule="auto"/>
        <w:jc w:val="both"/>
        <w:rPr>
          <w:rFonts w:cstheme="minorHAnsi"/>
          <w:b/>
          <w:sz w:val="21"/>
          <w:szCs w:val="21"/>
          <w:lang w:val="en-GB"/>
        </w:rPr>
      </w:pPr>
      <w:r w:rsidRPr="009C063A">
        <w:rPr>
          <w:rFonts w:cstheme="minorHAnsi"/>
          <w:b/>
          <w:sz w:val="21"/>
          <w:szCs w:val="21"/>
          <w:lang w:val="en-GB"/>
        </w:rPr>
        <w:t xml:space="preserve">Appendix 3. </w:t>
      </w:r>
      <w:r w:rsidR="0041226C" w:rsidRPr="009C063A">
        <w:rPr>
          <w:rFonts w:cstheme="minorHAnsi"/>
          <w:sz w:val="21"/>
          <w:szCs w:val="21"/>
          <w:lang w:val="en-GB"/>
        </w:rPr>
        <w:t xml:space="preserve">Included primary studies contained within systematic reviews and </w:t>
      </w:r>
      <w:r w:rsidR="00EB5768">
        <w:rPr>
          <w:rFonts w:cstheme="minorHAnsi"/>
          <w:sz w:val="21"/>
          <w:szCs w:val="21"/>
          <w:lang w:val="en-GB"/>
        </w:rPr>
        <w:t>meta-</w:t>
      </w:r>
      <w:r w:rsidR="00EB5768" w:rsidRPr="00B4191A">
        <w:rPr>
          <w:rFonts w:cstheme="minorHAnsi"/>
          <w:sz w:val="21"/>
          <w:szCs w:val="21"/>
          <w:lang w:val="en-US"/>
        </w:rPr>
        <w:t>analyz</w:t>
      </w:r>
      <w:r w:rsidR="0041226C" w:rsidRPr="00B4191A">
        <w:rPr>
          <w:rFonts w:cstheme="minorHAnsi"/>
          <w:sz w:val="21"/>
          <w:szCs w:val="21"/>
          <w:lang w:val="en-US"/>
        </w:rPr>
        <w:t>ed.</w:t>
      </w:r>
      <w:r w:rsidR="0041226C" w:rsidRPr="009C063A">
        <w:rPr>
          <w:rFonts w:cstheme="minorHAnsi"/>
          <w:b/>
          <w:sz w:val="21"/>
          <w:szCs w:val="21"/>
          <w:lang w:val="en-GB"/>
        </w:rPr>
        <w:t xml:space="preserve"> </w:t>
      </w:r>
    </w:p>
    <w:p w:rsidR="00D26FC3" w:rsidRPr="009C063A" w:rsidRDefault="00D26FC3" w:rsidP="00157F19">
      <w:pPr>
        <w:spacing w:line="240" w:lineRule="auto"/>
        <w:jc w:val="both"/>
        <w:rPr>
          <w:rFonts w:cstheme="minorHAnsi"/>
          <w:b/>
          <w:sz w:val="21"/>
          <w:szCs w:val="21"/>
          <w:lang w:val="en-GB"/>
        </w:rPr>
      </w:pPr>
      <w:r w:rsidRPr="009C063A">
        <w:rPr>
          <w:rFonts w:cstheme="minorHAnsi"/>
          <w:b/>
          <w:sz w:val="21"/>
          <w:szCs w:val="21"/>
          <w:lang w:val="en-GB"/>
        </w:rPr>
        <w:t xml:space="preserve">Appendix 4. </w:t>
      </w:r>
      <w:r w:rsidR="0079174B" w:rsidRPr="009C063A">
        <w:rPr>
          <w:rFonts w:cstheme="minorHAnsi"/>
          <w:sz w:val="21"/>
          <w:szCs w:val="21"/>
          <w:lang w:val="en-GB"/>
        </w:rPr>
        <w:t xml:space="preserve">Forest plots of comparisons. </w:t>
      </w:r>
    </w:p>
    <w:p w:rsidR="00D26FC3" w:rsidRPr="009C063A" w:rsidRDefault="00D26FC3" w:rsidP="00157F19">
      <w:pPr>
        <w:spacing w:line="240" w:lineRule="auto"/>
        <w:jc w:val="both"/>
        <w:rPr>
          <w:rFonts w:cstheme="minorHAnsi"/>
          <w:b/>
          <w:sz w:val="21"/>
          <w:szCs w:val="21"/>
          <w:lang w:val="en-GB"/>
        </w:rPr>
      </w:pPr>
      <w:r w:rsidRPr="009C063A">
        <w:rPr>
          <w:rFonts w:cstheme="minorHAnsi"/>
          <w:b/>
          <w:sz w:val="21"/>
          <w:szCs w:val="21"/>
          <w:lang w:val="en-GB"/>
        </w:rPr>
        <w:t xml:space="preserve">Appendix 5. </w:t>
      </w:r>
      <w:r w:rsidR="00DF0CB1" w:rsidRPr="009C063A">
        <w:rPr>
          <w:rFonts w:cstheme="minorHAnsi"/>
          <w:sz w:val="21"/>
          <w:szCs w:val="21"/>
          <w:lang w:val="en-GB"/>
        </w:rPr>
        <w:t>Forest plots of adverse events.</w:t>
      </w:r>
      <w:r w:rsidR="00DF0CB1" w:rsidRPr="009C063A">
        <w:rPr>
          <w:rFonts w:cstheme="minorHAnsi"/>
          <w:b/>
          <w:sz w:val="21"/>
          <w:szCs w:val="21"/>
          <w:lang w:val="en-GB"/>
        </w:rPr>
        <w:t xml:space="preserve"> </w:t>
      </w:r>
    </w:p>
    <w:p w:rsidR="00D26FC3" w:rsidRPr="009C063A" w:rsidRDefault="00D26FC3" w:rsidP="00157F19">
      <w:pPr>
        <w:spacing w:line="240" w:lineRule="auto"/>
        <w:jc w:val="both"/>
        <w:rPr>
          <w:rFonts w:cstheme="minorHAnsi"/>
          <w:b/>
          <w:sz w:val="21"/>
          <w:szCs w:val="21"/>
          <w:lang w:val="en-GB"/>
        </w:rPr>
      </w:pPr>
      <w:r w:rsidRPr="009C063A">
        <w:rPr>
          <w:rFonts w:cstheme="minorHAnsi"/>
          <w:b/>
          <w:sz w:val="21"/>
          <w:szCs w:val="21"/>
          <w:lang w:val="en-GB"/>
        </w:rPr>
        <w:t xml:space="preserve">Appendix 6. </w:t>
      </w:r>
      <w:r w:rsidR="00F62BFF" w:rsidRPr="009C063A">
        <w:rPr>
          <w:rFonts w:cstheme="minorHAnsi"/>
          <w:sz w:val="21"/>
          <w:szCs w:val="21"/>
          <w:lang w:val="en-GB"/>
        </w:rPr>
        <w:t>GRADE assessment of Overall Strength of Evidence.</w:t>
      </w:r>
      <w:r w:rsidR="00F62BFF" w:rsidRPr="009C063A">
        <w:rPr>
          <w:rFonts w:cstheme="minorHAnsi"/>
          <w:b/>
          <w:sz w:val="21"/>
          <w:szCs w:val="21"/>
          <w:lang w:val="en-GB"/>
        </w:rPr>
        <w:t xml:space="preserve"> </w:t>
      </w:r>
    </w:p>
    <w:p w:rsidR="00DD26D5" w:rsidRPr="009C063A" w:rsidRDefault="00DD26D5" w:rsidP="00157F19">
      <w:pPr>
        <w:spacing w:line="240" w:lineRule="auto"/>
        <w:jc w:val="both"/>
        <w:rPr>
          <w:rFonts w:cstheme="minorHAnsi"/>
          <w:b/>
          <w:sz w:val="21"/>
          <w:szCs w:val="21"/>
          <w:lang w:val="en-GB"/>
        </w:rPr>
      </w:pPr>
      <w:r w:rsidRPr="009C063A">
        <w:rPr>
          <w:rFonts w:cstheme="minorHAnsi"/>
          <w:b/>
          <w:sz w:val="21"/>
          <w:szCs w:val="21"/>
          <w:lang w:val="en-GB"/>
        </w:rPr>
        <w:t xml:space="preserve">Table </w:t>
      </w:r>
      <w:r w:rsidR="0007693B">
        <w:rPr>
          <w:rFonts w:cstheme="minorHAnsi"/>
          <w:b/>
          <w:sz w:val="21"/>
          <w:szCs w:val="21"/>
          <w:lang w:val="en-GB"/>
        </w:rPr>
        <w:t>S1</w:t>
      </w:r>
      <w:r w:rsidRPr="009C063A">
        <w:rPr>
          <w:rFonts w:cstheme="minorHAnsi"/>
          <w:b/>
          <w:sz w:val="21"/>
          <w:szCs w:val="21"/>
          <w:lang w:val="en-GB"/>
        </w:rPr>
        <w:t xml:space="preserve">. </w:t>
      </w:r>
      <w:r w:rsidRPr="009C063A">
        <w:rPr>
          <w:rFonts w:cstheme="minorHAnsi"/>
          <w:sz w:val="21"/>
          <w:szCs w:val="21"/>
          <w:lang w:val="en-GB"/>
        </w:rPr>
        <w:t xml:space="preserve">Handling of heterogeneity &amp; meta-biases. </w:t>
      </w:r>
    </w:p>
    <w:p w:rsidR="00503FCA" w:rsidRPr="009C063A" w:rsidRDefault="0007693B" w:rsidP="00157F19">
      <w:pPr>
        <w:spacing w:line="240" w:lineRule="auto"/>
        <w:jc w:val="both"/>
        <w:rPr>
          <w:rFonts w:cstheme="minorHAnsi"/>
          <w:b/>
          <w:sz w:val="21"/>
          <w:szCs w:val="21"/>
          <w:lang w:val="en-GB"/>
        </w:rPr>
      </w:pPr>
      <w:r>
        <w:rPr>
          <w:rFonts w:cstheme="minorHAnsi"/>
          <w:b/>
          <w:sz w:val="21"/>
          <w:szCs w:val="21"/>
          <w:lang w:val="en-GB"/>
        </w:rPr>
        <w:t>Table S2</w:t>
      </w:r>
      <w:r w:rsidR="00CF776F" w:rsidRPr="009C063A">
        <w:rPr>
          <w:rFonts w:cstheme="minorHAnsi"/>
          <w:b/>
          <w:sz w:val="21"/>
          <w:szCs w:val="21"/>
          <w:lang w:val="en-GB"/>
        </w:rPr>
        <w:t xml:space="preserve">. </w:t>
      </w:r>
      <w:r w:rsidR="00CF776F" w:rsidRPr="009C063A">
        <w:rPr>
          <w:rFonts w:cstheme="minorHAnsi"/>
          <w:sz w:val="21"/>
          <w:szCs w:val="21"/>
          <w:lang w:val="en-GB"/>
        </w:rPr>
        <w:t xml:space="preserve">Unit of analysis for RCTs included in the meta-analysis. </w:t>
      </w:r>
    </w:p>
    <w:p w:rsidR="00503FCA" w:rsidRPr="009C063A" w:rsidRDefault="0007693B" w:rsidP="00157F19">
      <w:pPr>
        <w:spacing w:line="240" w:lineRule="auto"/>
        <w:jc w:val="both"/>
        <w:rPr>
          <w:rFonts w:cstheme="minorHAnsi"/>
          <w:b/>
          <w:sz w:val="21"/>
          <w:szCs w:val="21"/>
          <w:lang w:val="en-GB"/>
        </w:rPr>
      </w:pPr>
      <w:r>
        <w:rPr>
          <w:rFonts w:eastAsiaTheme="majorEastAsia" w:cstheme="minorHAnsi"/>
          <w:b/>
          <w:sz w:val="21"/>
          <w:szCs w:val="21"/>
          <w:lang w:val="en-GB"/>
        </w:rPr>
        <w:t>Table S3</w:t>
      </w:r>
      <w:r w:rsidR="008D6161" w:rsidRPr="009C063A">
        <w:rPr>
          <w:rFonts w:eastAsiaTheme="majorEastAsia" w:cstheme="minorHAnsi"/>
          <w:b/>
          <w:sz w:val="21"/>
          <w:szCs w:val="21"/>
          <w:lang w:val="en-GB"/>
        </w:rPr>
        <w:t xml:space="preserve">. </w:t>
      </w:r>
      <w:r w:rsidR="008D6161" w:rsidRPr="009C063A">
        <w:rPr>
          <w:rFonts w:eastAsiaTheme="majorEastAsia" w:cstheme="minorHAnsi"/>
          <w:sz w:val="21"/>
          <w:szCs w:val="21"/>
          <w:lang w:val="en-GB"/>
        </w:rPr>
        <w:t>Excluded studies after full text review</w:t>
      </w:r>
      <w:r w:rsidR="00503FCA" w:rsidRPr="009C063A">
        <w:rPr>
          <w:rFonts w:eastAsiaTheme="majorEastAsia" w:cstheme="minorHAnsi"/>
          <w:sz w:val="21"/>
          <w:szCs w:val="21"/>
          <w:lang w:val="en-GB"/>
        </w:rPr>
        <w:t xml:space="preserve">. </w:t>
      </w:r>
    </w:p>
    <w:p w:rsidR="00B57BB8" w:rsidRPr="009C063A" w:rsidRDefault="0007693B" w:rsidP="00157F19">
      <w:pPr>
        <w:spacing w:line="240" w:lineRule="auto"/>
        <w:jc w:val="both"/>
        <w:rPr>
          <w:rFonts w:cstheme="minorHAnsi"/>
          <w:sz w:val="21"/>
          <w:szCs w:val="21"/>
          <w:lang w:val="en-GB"/>
        </w:rPr>
      </w:pPr>
      <w:r>
        <w:rPr>
          <w:rFonts w:cstheme="minorHAnsi"/>
          <w:b/>
          <w:sz w:val="21"/>
          <w:szCs w:val="21"/>
          <w:lang w:val="en-GB"/>
        </w:rPr>
        <w:t>Table S4</w:t>
      </w:r>
      <w:r w:rsidR="00503FCA" w:rsidRPr="009C063A">
        <w:rPr>
          <w:rFonts w:cstheme="minorHAnsi"/>
          <w:b/>
          <w:sz w:val="21"/>
          <w:szCs w:val="21"/>
          <w:lang w:val="en-GB"/>
        </w:rPr>
        <w:t>.</w:t>
      </w:r>
      <w:r w:rsidR="00503FCA" w:rsidRPr="009C063A">
        <w:rPr>
          <w:rFonts w:cstheme="minorHAnsi"/>
          <w:sz w:val="21"/>
          <w:szCs w:val="21"/>
          <w:lang w:val="en-GB"/>
        </w:rPr>
        <w:t xml:space="preserve"> Citation matrix. </w:t>
      </w:r>
    </w:p>
    <w:p w:rsidR="00FC2F64" w:rsidRPr="009C063A" w:rsidRDefault="0007693B" w:rsidP="00157F19">
      <w:pPr>
        <w:spacing w:line="240" w:lineRule="auto"/>
        <w:jc w:val="both"/>
        <w:rPr>
          <w:rFonts w:cstheme="minorHAnsi"/>
          <w:color w:val="000000" w:themeColor="text1"/>
          <w:sz w:val="21"/>
          <w:szCs w:val="21"/>
          <w:lang w:val="en-GB"/>
        </w:rPr>
      </w:pPr>
      <w:r>
        <w:rPr>
          <w:rFonts w:cstheme="minorHAnsi"/>
          <w:b/>
          <w:color w:val="000000" w:themeColor="text1"/>
          <w:sz w:val="21"/>
          <w:szCs w:val="21"/>
          <w:lang w:val="en-GB"/>
        </w:rPr>
        <w:t>Table S5</w:t>
      </w:r>
      <w:r w:rsidR="00B57BB8" w:rsidRPr="009C063A">
        <w:rPr>
          <w:rFonts w:cstheme="minorHAnsi"/>
          <w:b/>
          <w:color w:val="000000" w:themeColor="text1"/>
          <w:sz w:val="21"/>
          <w:szCs w:val="21"/>
          <w:lang w:val="en-GB"/>
        </w:rPr>
        <w:t xml:space="preserve">. </w:t>
      </w:r>
      <w:r w:rsidR="00B57BB8" w:rsidRPr="009C063A">
        <w:rPr>
          <w:rFonts w:cstheme="minorHAnsi"/>
          <w:color w:val="000000" w:themeColor="text1"/>
          <w:sz w:val="21"/>
          <w:szCs w:val="21"/>
          <w:lang w:val="en-GB"/>
        </w:rPr>
        <w:t>Methodological quality of included systematic reviews and meta-analyses based on ROBIS tool.</w:t>
      </w:r>
    </w:p>
    <w:p w:rsidR="00FC2F64" w:rsidRPr="009C063A" w:rsidRDefault="0007693B" w:rsidP="00157F19">
      <w:pPr>
        <w:spacing w:line="240" w:lineRule="auto"/>
        <w:jc w:val="both"/>
        <w:rPr>
          <w:rFonts w:cstheme="minorHAnsi"/>
          <w:sz w:val="21"/>
          <w:szCs w:val="21"/>
          <w:lang w:val="en-GB"/>
        </w:rPr>
      </w:pPr>
      <w:r>
        <w:rPr>
          <w:rFonts w:cstheme="minorHAnsi"/>
          <w:b/>
          <w:sz w:val="21"/>
          <w:szCs w:val="21"/>
          <w:lang w:val="en-GB"/>
        </w:rPr>
        <w:t>Table S6</w:t>
      </w:r>
      <w:r w:rsidR="00972526" w:rsidRPr="009C063A">
        <w:rPr>
          <w:rFonts w:cstheme="minorHAnsi"/>
          <w:b/>
          <w:sz w:val="21"/>
          <w:szCs w:val="21"/>
          <w:lang w:val="en-GB"/>
        </w:rPr>
        <w:t xml:space="preserve">. </w:t>
      </w:r>
      <w:r w:rsidR="00972526" w:rsidRPr="009C063A">
        <w:rPr>
          <w:rFonts w:cstheme="minorHAnsi"/>
          <w:sz w:val="21"/>
          <w:szCs w:val="21"/>
          <w:lang w:val="en-GB"/>
        </w:rPr>
        <w:t>Methodological quality of included RCTs assessed using the Cochrane Collaboration Risk of Bias tool.</w:t>
      </w:r>
    </w:p>
    <w:p w:rsidR="00FC2F64" w:rsidRPr="009C063A" w:rsidRDefault="0007693B" w:rsidP="00157F19">
      <w:pPr>
        <w:spacing w:line="240" w:lineRule="auto"/>
        <w:jc w:val="both"/>
        <w:rPr>
          <w:rFonts w:cstheme="minorHAnsi"/>
          <w:sz w:val="21"/>
          <w:szCs w:val="21"/>
          <w:lang w:val="en-GB"/>
        </w:rPr>
      </w:pPr>
      <w:r>
        <w:rPr>
          <w:rFonts w:cstheme="minorHAnsi"/>
          <w:b/>
          <w:sz w:val="21"/>
          <w:szCs w:val="21"/>
          <w:lang w:val="en-GB"/>
        </w:rPr>
        <w:t>Table S7</w:t>
      </w:r>
      <w:r w:rsidR="00FC2F64" w:rsidRPr="009C063A">
        <w:rPr>
          <w:rFonts w:cstheme="minorHAnsi"/>
          <w:b/>
          <w:sz w:val="21"/>
          <w:szCs w:val="21"/>
          <w:lang w:val="en-GB"/>
        </w:rPr>
        <w:t xml:space="preserve">. </w:t>
      </w:r>
      <w:r w:rsidR="00FC2F64" w:rsidRPr="009C063A">
        <w:rPr>
          <w:rFonts w:cstheme="minorHAnsi"/>
          <w:sz w:val="21"/>
          <w:szCs w:val="21"/>
          <w:lang w:val="en-GB"/>
        </w:rPr>
        <w:t>Methodological quality of included RCTs assessed using Jadad Scale.</w:t>
      </w:r>
    </w:p>
    <w:p w:rsidR="00FC2F64" w:rsidRPr="009C063A" w:rsidRDefault="0007693B" w:rsidP="00157F19">
      <w:pPr>
        <w:jc w:val="both"/>
        <w:rPr>
          <w:rFonts w:cstheme="minorHAnsi"/>
          <w:sz w:val="21"/>
          <w:szCs w:val="21"/>
          <w:lang w:val="en-GB"/>
        </w:rPr>
      </w:pPr>
      <w:r>
        <w:rPr>
          <w:rFonts w:cstheme="minorHAnsi"/>
          <w:b/>
          <w:sz w:val="21"/>
          <w:szCs w:val="21"/>
          <w:lang w:val="en-GB"/>
        </w:rPr>
        <w:t>Table S8</w:t>
      </w:r>
      <w:r w:rsidR="00FC2F64" w:rsidRPr="009C063A">
        <w:rPr>
          <w:rFonts w:cstheme="minorHAnsi"/>
          <w:b/>
          <w:sz w:val="21"/>
          <w:szCs w:val="21"/>
          <w:lang w:val="en-GB"/>
        </w:rPr>
        <w:t xml:space="preserve">. </w:t>
      </w:r>
      <w:r w:rsidR="00FC2F64" w:rsidRPr="009C063A">
        <w:rPr>
          <w:rFonts w:cstheme="minorHAnsi"/>
          <w:sz w:val="21"/>
          <w:szCs w:val="21"/>
          <w:lang w:val="en-GB"/>
        </w:rPr>
        <w:t>Methodological quality of included cohort studies assessed using Newcastle-Ottawa Quality Assessment Scale.</w:t>
      </w:r>
    </w:p>
    <w:p w:rsidR="004D5BB8" w:rsidRPr="009C063A" w:rsidRDefault="0007693B" w:rsidP="00157F19">
      <w:pPr>
        <w:spacing w:line="360" w:lineRule="auto"/>
        <w:jc w:val="both"/>
        <w:rPr>
          <w:rFonts w:cstheme="minorHAnsi"/>
          <w:sz w:val="21"/>
          <w:szCs w:val="21"/>
          <w:lang w:val="en-GB"/>
        </w:rPr>
      </w:pPr>
      <w:r>
        <w:rPr>
          <w:rFonts w:cstheme="minorHAnsi"/>
          <w:b/>
          <w:sz w:val="21"/>
          <w:szCs w:val="21"/>
          <w:lang w:val="en-GB"/>
        </w:rPr>
        <w:t>Table S9</w:t>
      </w:r>
      <w:r w:rsidR="004D5BB8" w:rsidRPr="009C063A">
        <w:rPr>
          <w:rFonts w:cstheme="minorHAnsi"/>
          <w:b/>
          <w:sz w:val="21"/>
          <w:szCs w:val="21"/>
          <w:lang w:val="en-GB"/>
        </w:rPr>
        <w:t xml:space="preserve">. </w:t>
      </w:r>
      <w:r w:rsidR="004D5BB8" w:rsidRPr="009C063A">
        <w:rPr>
          <w:rFonts w:cstheme="minorHAnsi"/>
          <w:sz w:val="21"/>
          <w:szCs w:val="21"/>
          <w:lang w:val="en-GB"/>
        </w:rPr>
        <w:t>Summary of qualitative and quantitative findings of each study.</w:t>
      </w:r>
      <w:r w:rsidR="004D5BB8" w:rsidRPr="009C063A">
        <w:rPr>
          <w:rFonts w:cstheme="minorHAnsi"/>
          <w:b/>
          <w:sz w:val="21"/>
          <w:szCs w:val="21"/>
          <w:lang w:val="en-GB"/>
        </w:rPr>
        <w:t xml:space="preserve"> </w:t>
      </w:r>
    </w:p>
    <w:p w:rsidR="00B57BB8" w:rsidRPr="00157F19" w:rsidRDefault="00B57BB8" w:rsidP="00503FCA">
      <w:pPr>
        <w:spacing w:line="240" w:lineRule="auto"/>
        <w:rPr>
          <w:rFonts w:ascii="Times New Roman" w:hAnsi="Times New Roman" w:cs="Times New Roman"/>
          <w:b/>
          <w:sz w:val="20"/>
          <w:szCs w:val="20"/>
          <w:lang w:val="en-GB"/>
        </w:rPr>
      </w:pPr>
    </w:p>
    <w:p w:rsidR="00CF776F" w:rsidRPr="00157F19" w:rsidRDefault="00CF776F" w:rsidP="00DD26D5">
      <w:pPr>
        <w:spacing w:line="240" w:lineRule="auto"/>
        <w:rPr>
          <w:rFonts w:ascii="Times New Roman" w:hAnsi="Times New Roman" w:cs="Times New Roman"/>
          <w:b/>
          <w:sz w:val="20"/>
          <w:szCs w:val="20"/>
          <w:lang w:val="en-GB"/>
        </w:rPr>
      </w:pPr>
    </w:p>
    <w:p w:rsidR="00EE474A" w:rsidRPr="00F3516F" w:rsidRDefault="00F75C2D" w:rsidP="00F75C2D">
      <w:pPr>
        <w:autoSpaceDE w:val="0"/>
        <w:autoSpaceDN w:val="0"/>
        <w:adjustRightInd w:val="0"/>
        <w:spacing w:after="0" w:line="240" w:lineRule="auto"/>
        <w:rPr>
          <w:rFonts w:cstheme="minorHAnsi"/>
          <w:b/>
          <w:bCs/>
          <w:sz w:val="24"/>
          <w:szCs w:val="24"/>
          <w:lang w:val="en-GB"/>
        </w:rPr>
      </w:pPr>
      <w:r w:rsidRPr="00F3516F">
        <w:rPr>
          <w:rFonts w:cstheme="minorHAnsi"/>
          <w:b/>
          <w:bCs/>
          <w:sz w:val="24"/>
          <w:szCs w:val="24"/>
          <w:lang w:val="en-GB"/>
        </w:rPr>
        <w:t>Appendix 1. P</w:t>
      </w:r>
      <w:r w:rsidRPr="00F3516F">
        <w:rPr>
          <w:rFonts w:cstheme="minorHAnsi"/>
          <w:sz w:val="24"/>
          <w:szCs w:val="24"/>
          <w:lang w:val="en-GB"/>
        </w:rPr>
        <w:t xml:space="preserve">referred </w:t>
      </w:r>
      <w:r w:rsidRPr="00F3516F">
        <w:rPr>
          <w:rFonts w:cstheme="minorHAnsi"/>
          <w:b/>
          <w:bCs/>
          <w:sz w:val="24"/>
          <w:szCs w:val="24"/>
          <w:lang w:val="en-GB"/>
        </w:rPr>
        <w:t>R</w:t>
      </w:r>
      <w:r w:rsidRPr="00F3516F">
        <w:rPr>
          <w:rFonts w:cstheme="minorHAnsi"/>
          <w:sz w:val="24"/>
          <w:szCs w:val="24"/>
          <w:lang w:val="en-GB"/>
        </w:rPr>
        <w:t xml:space="preserve">eporting </w:t>
      </w:r>
      <w:r w:rsidRPr="00F3516F">
        <w:rPr>
          <w:rFonts w:cstheme="minorHAnsi"/>
          <w:b/>
          <w:bCs/>
          <w:sz w:val="24"/>
          <w:szCs w:val="24"/>
          <w:lang w:val="en-GB"/>
        </w:rPr>
        <w:t>I</w:t>
      </w:r>
      <w:r w:rsidRPr="00F3516F">
        <w:rPr>
          <w:rFonts w:cstheme="minorHAnsi"/>
          <w:sz w:val="24"/>
          <w:szCs w:val="24"/>
          <w:lang w:val="en-GB"/>
        </w:rPr>
        <w:t xml:space="preserve">tems for </w:t>
      </w:r>
      <w:r w:rsidRPr="00F3516F">
        <w:rPr>
          <w:rFonts w:cstheme="minorHAnsi"/>
          <w:b/>
          <w:bCs/>
          <w:sz w:val="24"/>
          <w:szCs w:val="24"/>
          <w:lang w:val="en-GB"/>
        </w:rPr>
        <w:t>O</w:t>
      </w:r>
      <w:r w:rsidRPr="00F3516F">
        <w:rPr>
          <w:rFonts w:cstheme="minorHAnsi"/>
          <w:sz w:val="24"/>
          <w:szCs w:val="24"/>
          <w:lang w:val="en-GB"/>
        </w:rPr>
        <w:t>verviews of systematic reviews with harms 2017 Checklist</w:t>
      </w:r>
    </w:p>
    <w:tbl>
      <w:tblPr>
        <w:tblStyle w:val="TableGrid1"/>
        <w:tblpPr w:leftFromText="180" w:rightFromText="180" w:vertAnchor="text" w:horzAnchor="margin" w:tblpXSpec="center" w:tblpY="-149"/>
        <w:tblOverlap w:val="never"/>
        <w:tblW w:w="10963" w:type="dxa"/>
        <w:tblBorders>
          <w:left w:val="none" w:sz="0" w:space="0" w:color="auto"/>
          <w:right w:val="none" w:sz="0" w:space="0" w:color="auto"/>
        </w:tblBorders>
        <w:tblLayout w:type="fixed"/>
        <w:tblLook w:val="04A0" w:firstRow="1" w:lastRow="0" w:firstColumn="1" w:lastColumn="0" w:noHBand="0" w:noVBand="1"/>
      </w:tblPr>
      <w:tblGrid>
        <w:gridCol w:w="2150"/>
        <w:gridCol w:w="935"/>
        <w:gridCol w:w="1146"/>
        <w:gridCol w:w="1469"/>
        <w:gridCol w:w="1469"/>
        <w:gridCol w:w="1469"/>
        <w:gridCol w:w="1109"/>
        <w:gridCol w:w="1216"/>
      </w:tblGrid>
      <w:tr w:rsidR="00EE474A" w:rsidRPr="00175F2B" w:rsidTr="00EF4B76">
        <w:trPr>
          <w:cantSplit/>
          <w:trHeight w:val="527"/>
          <w:tblHeader/>
        </w:trPr>
        <w:tc>
          <w:tcPr>
            <w:tcW w:w="2150" w:type="dxa"/>
            <w:tcBorders>
              <w:top w:val="double" w:sz="4" w:space="0" w:color="auto"/>
              <w:left w:val="single" w:sz="4" w:space="0" w:color="auto"/>
              <w:bottom w:val="double" w:sz="4" w:space="0" w:color="auto"/>
              <w:right w:val="nil"/>
            </w:tcBorders>
            <w:shd w:val="clear" w:color="auto" w:fill="63639A"/>
            <w:vAlign w:val="center"/>
          </w:tcPr>
          <w:p w:rsidR="00EE474A" w:rsidRPr="00317BE2" w:rsidRDefault="00EE474A" w:rsidP="00EF4B76">
            <w:pPr>
              <w:pStyle w:val="Default"/>
              <w:rPr>
                <w:rFonts w:ascii="Arial" w:hAnsi="Arial" w:cs="Arial"/>
                <w:color w:val="FFFFFF" w:themeColor="background1"/>
                <w:sz w:val="20"/>
                <w:szCs w:val="20"/>
              </w:rPr>
            </w:pPr>
            <w:r w:rsidRPr="00317BE2">
              <w:rPr>
                <w:rFonts w:ascii="Arial" w:hAnsi="Arial" w:cs="Arial"/>
                <w:b/>
                <w:bCs/>
                <w:color w:val="FFFFFF" w:themeColor="background1"/>
                <w:sz w:val="20"/>
                <w:szCs w:val="20"/>
              </w:rPr>
              <w:lastRenderedPageBreak/>
              <w:t xml:space="preserve">Section/Topic </w:t>
            </w:r>
          </w:p>
        </w:tc>
        <w:tc>
          <w:tcPr>
            <w:tcW w:w="935" w:type="dxa"/>
            <w:tcBorders>
              <w:top w:val="double" w:sz="4" w:space="0" w:color="auto"/>
              <w:left w:val="nil"/>
              <w:bottom w:val="double" w:sz="4" w:space="0" w:color="auto"/>
              <w:right w:val="nil"/>
            </w:tcBorders>
            <w:shd w:val="clear" w:color="auto" w:fill="63639A"/>
            <w:vAlign w:val="center"/>
          </w:tcPr>
          <w:p w:rsidR="00EE474A" w:rsidRPr="00317BE2" w:rsidRDefault="00EE474A" w:rsidP="00EF4B76">
            <w:pPr>
              <w:pStyle w:val="Default"/>
              <w:rPr>
                <w:rFonts w:ascii="Arial" w:hAnsi="Arial" w:cs="Arial"/>
                <w:b/>
                <w:bCs/>
                <w:color w:val="FFFFFF" w:themeColor="background1"/>
                <w:sz w:val="20"/>
                <w:szCs w:val="20"/>
              </w:rPr>
            </w:pPr>
            <w:r w:rsidRPr="00317BE2">
              <w:rPr>
                <w:rFonts w:ascii="Arial" w:hAnsi="Arial" w:cs="Arial"/>
                <w:b/>
                <w:bCs/>
                <w:color w:val="FFFFFF" w:themeColor="background1"/>
                <w:sz w:val="20"/>
                <w:szCs w:val="20"/>
              </w:rPr>
              <w:t>(Sub-) item #</w:t>
            </w:r>
          </w:p>
        </w:tc>
        <w:tc>
          <w:tcPr>
            <w:tcW w:w="6662" w:type="dxa"/>
            <w:gridSpan w:val="5"/>
            <w:tcBorders>
              <w:top w:val="double" w:sz="4" w:space="0" w:color="auto"/>
              <w:left w:val="nil"/>
              <w:bottom w:val="double" w:sz="4" w:space="0" w:color="auto"/>
              <w:right w:val="nil"/>
            </w:tcBorders>
            <w:shd w:val="clear" w:color="auto" w:fill="63639A"/>
            <w:vAlign w:val="center"/>
          </w:tcPr>
          <w:p w:rsidR="00EE474A" w:rsidRPr="00317BE2" w:rsidRDefault="00EE474A" w:rsidP="00EF4B76">
            <w:pPr>
              <w:pStyle w:val="Default"/>
              <w:jc w:val="center"/>
              <w:rPr>
                <w:rFonts w:ascii="Arial" w:hAnsi="Arial" w:cs="Arial"/>
                <w:color w:val="FFFFFF" w:themeColor="background1"/>
                <w:sz w:val="20"/>
                <w:szCs w:val="20"/>
              </w:rPr>
            </w:pPr>
            <w:r w:rsidRPr="00317BE2">
              <w:rPr>
                <w:rFonts w:ascii="Arial" w:hAnsi="Arial" w:cs="Arial"/>
                <w:b/>
                <w:bCs/>
                <w:color w:val="FFFFFF" w:themeColor="background1"/>
                <w:sz w:val="20"/>
                <w:szCs w:val="20"/>
              </w:rPr>
              <w:t>Checklist item</w:t>
            </w:r>
          </w:p>
        </w:tc>
        <w:tc>
          <w:tcPr>
            <w:tcW w:w="1216" w:type="dxa"/>
            <w:tcBorders>
              <w:top w:val="double" w:sz="4" w:space="0" w:color="auto"/>
              <w:left w:val="nil"/>
              <w:bottom w:val="double" w:sz="4" w:space="0" w:color="auto"/>
              <w:right w:val="single" w:sz="4" w:space="0" w:color="auto"/>
            </w:tcBorders>
            <w:shd w:val="clear" w:color="auto" w:fill="63639A"/>
            <w:vAlign w:val="center"/>
          </w:tcPr>
          <w:p w:rsidR="00EE474A" w:rsidRPr="00317BE2" w:rsidRDefault="00EE474A" w:rsidP="00EF4B76">
            <w:pPr>
              <w:pStyle w:val="Default"/>
              <w:rPr>
                <w:rFonts w:ascii="Arial" w:hAnsi="Arial" w:cs="Arial"/>
                <w:b/>
                <w:bCs/>
                <w:color w:val="FFFFFF" w:themeColor="background1"/>
                <w:sz w:val="20"/>
                <w:szCs w:val="20"/>
              </w:rPr>
            </w:pPr>
            <w:r w:rsidRPr="00317BE2">
              <w:rPr>
                <w:rFonts w:ascii="Arial" w:hAnsi="Arial" w:cs="Arial"/>
                <w:b/>
                <w:bCs/>
                <w:color w:val="FFFFFF" w:themeColor="background1"/>
                <w:sz w:val="20"/>
                <w:szCs w:val="20"/>
              </w:rPr>
              <w:t>Reported</w:t>
            </w:r>
          </w:p>
          <w:p w:rsidR="00EE474A" w:rsidRPr="00317BE2" w:rsidRDefault="00EE474A" w:rsidP="00EF4B76">
            <w:pPr>
              <w:pStyle w:val="Default"/>
              <w:rPr>
                <w:rFonts w:ascii="Arial" w:hAnsi="Arial" w:cs="Arial"/>
                <w:color w:val="FFFFFF" w:themeColor="background1"/>
                <w:sz w:val="20"/>
                <w:szCs w:val="20"/>
              </w:rPr>
            </w:pPr>
            <w:r w:rsidRPr="00317BE2">
              <w:rPr>
                <w:rFonts w:ascii="Arial" w:hAnsi="Arial" w:cs="Arial"/>
                <w:b/>
                <w:bCs/>
                <w:color w:val="FFFFFF" w:themeColor="background1"/>
                <w:sz w:val="20"/>
                <w:szCs w:val="20"/>
              </w:rPr>
              <w:t>on p</w:t>
            </w:r>
            <w:r w:rsidRPr="00317BE2">
              <w:rPr>
                <w:rFonts w:ascii="Arial" w:hAnsi="Arial" w:cs="Arial"/>
                <w:b/>
                <w:bCs/>
                <w:color w:val="FFFFFF" w:themeColor="background1"/>
                <w:sz w:val="20"/>
                <w:szCs w:val="20"/>
                <w:lang w:val="en-US"/>
              </w:rPr>
              <w:t>age</w:t>
            </w:r>
            <w:r w:rsidRPr="00317BE2">
              <w:rPr>
                <w:rFonts w:ascii="Arial" w:hAnsi="Arial" w:cs="Arial"/>
                <w:b/>
                <w:bCs/>
                <w:color w:val="FFFFFF" w:themeColor="background1"/>
                <w:sz w:val="20"/>
                <w:szCs w:val="20"/>
              </w:rPr>
              <w:t xml:space="preserve"> #</w:t>
            </w:r>
          </w:p>
        </w:tc>
      </w:tr>
      <w:tr w:rsidR="00EE474A" w:rsidRPr="00175F2B" w:rsidTr="00EF4B76">
        <w:trPr>
          <w:cantSplit/>
          <w:trHeight w:val="374"/>
        </w:trPr>
        <w:tc>
          <w:tcPr>
            <w:tcW w:w="9747" w:type="dxa"/>
            <w:gridSpan w:val="7"/>
            <w:tcBorders>
              <w:top w:val="double" w:sz="4" w:space="0" w:color="auto"/>
              <w:left w:val="single" w:sz="4" w:space="0" w:color="auto"/>
            </w:tcBorders>
            <w:shd w:val="clear" w:color="auto" w:fill="FFFFCC"/>
            <w:vAlign w:val="center"/>
            <w:hideMark/>
          </w:tcPr>
          <w:p w:rsidR="00EE474A" w:rsidRPr="00F5472D" w:rsidRDefault="00EE474A" w:rsidP="00EF4B76">
            <w:pPr>
              <w:rPr>
                <w:rFonts w:ascii="Arial" w:hAnsi="Arial" w:cs="Arial"/>
                <w:iCs/>
                <w:sz w:val="20"/>
                <w:szCs w:val="20"/>
                <w:lang w:val="en-US"/>
              </w:rPr>
            </w:pPr>
            <w:r w:rsidRPr="00F5472D">
              <w:rPr>
                <w:rFonts w:ascii="Arial" w:hAnsi="Arial" w:cs="Arial"/>
                <w:b/>
                <w:bCs/>
                <w:sz w:val="20"/>
                <w:szCs w:val="20"/>
                <w:lang w:val="en-US"/>
              </w:rPr>
              <w:t>TITLE</w:t>
            </w:r>
          </w:p>
        </w:tc>
        <w:tc>
          <w:tcPr>
            <w:tcW w:w="1216" w:type="dxa"/>
            <w:tcBorders>
              <w:top w:val="double" w:sz="4" w:space="0" w:color="auto"/>
              <w:right w:val="single" w:sz="4" w:space="0" w:color="auto"/>
            </w:tcBorders>
            <w:shd w:val="clear" w:color="auto" w:fill="FFFFCC"/>
            <w:vAlign w:val="center"/>
          </w:tcPr>
          <w:p w:rsidR="00EE474A" w:rsidRPr="00F5472D" w:rsidRDefault="00EE474A" w:rsidP="00EF4B76">
            <w:pPr>
              <w:jc w:val="center"/>
              <w:rPr>
                <w:rFonts w:ascii="Arial" w:hAnsi="Arial" w:cs="Arial"/>
                <w:iCs/>
                <w:sz w:val="20"/>
                <w:szCs w:val="20"/>
                <w:lang w:val="en-US"/>
              </w:rPr>
            </w:pPr>
          </w:p>
        </w:tc>
      </w:tr>
      <w:tr w:rsidR="00EE474A" w:rsidRPr="003E534D" w:rsidTr="00EF4B76">
        <w:trPr>
          <w:cantSplit/>
          <w:trHeight w:val="396"/>
        </w:trPr>
        <w:tc>
          <w:tcPr>
            <w:tcW w:w="2150" w:type="dxa"/>
            <w:vMerge w:val="restart"/>
            <w:tcBorders>
              <w:left w:val="single" w:sz="4" w:space="0" w:color="auto"/>
            </w:tcBorders>
            <w:vAlign w:val="center"/>
            <w:hideMark/>
          </w:tcPr>
          <w:p w:rsidR="00EE474A" w:rsidRPr="00F5472D" w:rsidRDefault="00EE474A" w:rsidP="00EF4B76">
            <w:pPr>
              <w:rPr>
                <w:rFonts w:ascii="Arial" w:hAnsi="Arial" w:cs="Arial"/>
                <w:iCs/>
                <w:sz w:val="20"/>
                <w:szCs w:val="20"/>
                <w:lang w:val="en-US"/>
              </w:rPr>
            </w:pPr>
            <w:r w:rsidRPr="00F5472D">
              <w:rPr>
                <w:rFonts w:ascii="Arial" w:hAnsi="Arial" w:cs="Arial"/>
                <w:sz w:val="20"/>
                <w:szCs w:val="20"/>
                <w:lang w:val="en-US"/>
              </w:rPr>
              <w:t>1. Title</w:t>
            </w:r>
          </w:p>
        </w:tc>
        <w:tc>
          <w:tcPr>
            <w:tcW w:w="935" w:type="dxa"/>
            <w:vAlign w:val="center"/>
            <w:hideMark/>
          </w:tcPr>
          <w:p w:rsidR="00EE474A" w:rsidRPr="00F5472D" w:rsidRDefault="00EE474A" w:rsidP="00EF4B76">
            <w:pPr>
              <w:rPr>
                <w:rFonts w:ascii="Arial" w:hAnsi="Arial" w:cs="Arial"/>
                <w:iCs/>
                <w:sz w:val="20"/>
                <w:szCs w:val="20"/>
                <w:lang w:val="en-US"/>
              </w:rPr>
            </w:pPr>
            <w:r w:rsidRPr="00F5472D">
              <w:rPr>
                <w:rFonts w:ascii="Arial" w:hAnsi="Arial" w:cs="Arial"/>
                <w:iCs/>
                <w:sz w:val="20"/>
                <w:szCs w:val="20"/>
                <w:lang w:val="en-US"/>
              </w:rPr>
              <w:t>1a</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eastAsia="el-GR"/>
              </w:rPr>
              <w:t xml:space="preserve">Specify the study design with terms such as “overview of (systematic) reviews,” “umbrella review,” </w:t>
            </w:r>
            <w:r w:rsidRPr="00317BE2">
              <w:rPr>
                <w:rFonts w:ascii="Arial" w:hAnsi="Arial" w:cs="Arial"/>
                <w:sz w:val="20"/>
                <w:szCs w:val="20"/>
                <w:lang w:val="en-US"/>
              </w:rPr>
              <w:t>“(systematic) review of systematic reviews,” or “(systematic) meta-review”</w:t>
            </w:r>
            <w:r w:rsidRPr="00317BE2">
              <w:rPr>
                <w:rFonts w:ascii="Arial" w:hAnsi="Arial" w:cs="Arial"/>
                <w:sz w:val="20"/>
                <w:szCs w:val="20"/>
                <w:lang w:val="en-US" w:eastAsia="el-GR"/>
              </w:rPr>
              <w:t xml:space="preserve"> in the title of the OoSRs.</w:t>
            </w:r>
          </w:p>
        </w:tc>
        <w:tc>
          <w:tcPr>
            <w:tcW w:w="1216" w:type="dxa"/>
            <w:tcBorders>
              <w:right w:val="single" w:sz="4" w:space="0" w:color="auto"/>
            </w:tcBorders>
            <w:vAlign w:val="center"/>
          </w:tcPr>
          <w:p w:rsidR="00EE474A" w:rsidRPr="00317BE2" w:rsidRDefault="00EE474A" w:rsidP="00EF4B76">
            <w:pPr>
              <w:jc w:val="center"/>
              <w:rPr>
                <w:rFonts w:ascii="Arial" w:hAnsi="Arial" w:cs="Arial"/>
                <w:iCs/>
                <w:sz w:val="20"/>
                <w:szCs w:val="20"/>
                <w:lang w:val="en-US"/>
              </w:rPr>
            </w:pPr>
            <w:r>
              <w:rPr>
                <w:rFonts w:ascii="Arial" w:hAnsi="Arial" w:cs="Arial"/>
                <w:iCs/>
                <w:sz w:val="20"/>
                <w:szCs w:val="20"/>
                <w:lang w:val="en-US"/>
              </w:rPr>
              <w:t>1</w:t>
            </w:r>
          </w:p>
        </w:tc>
      </w:tr>
      <w:tr w:rsidR="00EE474A" w:rsidRPr="003E534D" w:rsidTr="00EF4B76">
        <w:trPr>
          <w:cantSplit/>
          <w:trHeight w:val="334"/>
        </w:trPr>
        <w:tc>
          <w:tcPr>
            <w:tcW w:w="2150" w:type="dxa"/>
            <w:vMerge/>
            <w:tcBorders>
              <w:left w:val="single" w:sz="4" w:space="0" w:color="auto"/>
              <w:bottom w:val="double" w:sz="4" w:space="0" w:color="auto"/>
            </w:tcBorders>
            <w:vAlign w:val="center"/>
            <w:hideMark/>
          </w:tcPr>
          <w:p w:rsidR="00EE474A" w:rsidRPr="00317BE2" w:rsidRDefault="00EE474A" w:rsidP="00EF4B76">
            <w:pPr>
              <w:rPr>
                <w:rFonts w:ascii="Arial" w:hAnsi="Arial" w:cs="Arial"/>
                <w:iCs/>
                <w:sz w:val="20"/>
                <w:szCs w:val="20"/>
                <w:lang w:val="en-US"/>
              </w:rPr>
            </w:pPr>
          </w:p>
        </w:tc>
        <w:tc>
          <w:tcPr>
            <w:tcW w:w="935" w:type="dxa"/>
            <w:tcBorders>
              <w:bottom w:val="double" w:sz="4" w:space="0" w:color="auto"/>
            </w:tcBorders>
            <w:vAlign w:val="center"/>
            <w:hideMark/>
          </w:tcPr>
          <w:p w:rsidR="00EE474A" w:rsidRPr="00317BE2" w:rsidRDefault="00EE474A" w:rsidP="00EF4B76">
            <w:pPr>
              <w:rPr>
                <w:rFonts w:ascii="Arial" w:hAnsi="Arial" w:cs="Arial"/>
                <w:iCs/>
                <w:sz w:val="20"/>
                <w:szCs w:val="20"/>
              </w:rPr>
            </w:pPr>
            <w:r w:rsidRPr="00317BE2">
              <w:rPr>
                <w:rFonts w:ascii="Arial" w:hAnsi="Arial" w:cs="Arial"/>
                <w:iCs/>
                <w:sz w:val="20"/>
                <w:szCs w:val="20"/>
              </w:rPr>
              <w:t>1b</w:t>
            </w:r>
          </w:p>
        </w:tc>
        <w:tc>
          <w:tcPr>
            <w:tcW w:w="6662" w:type="dxa"/>
            <w:gridSpan w:val="5"/>
            <w:tcBorders>
              <w:bottom w:val="double" w:sz="4" w:space="0" w:color="auto"/>
            </w:tcBorders>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eastAsia="el-GR"/>
              </w:rPr>
              <w:t>Mention “safety” or harms related terms, or the adverse event(s) of interest in the title of the OoSRs.</w:t>
            </w:r>
          </w:p>
        </w:tc>
        <w:tc>
          <w:tcPr>
            <w:tcW w:w="1216" w:type="dxa"/>
            <w:tcBorders>
              <w:bottom w:val="double" w:sz="4" w:space="0" w:color="auto"/>
              <w:right w:val="single" w:sz="4" w:space="0" w:color="auto"/>
            </w:tcBorders>
            <w:vAlign w:val="center"/>
          </w:tcPr>
          <w:p w:rsidR="00EE474A" w:rsidRPr="00317BE2" w:rsidRDefault="00EE474A" w:rsidP="00EF4B76">
            <w:pPr>
              <w:jc w:val="center"/>
              <w:rPr>
                <w:rFonts w:ascii="Arial" w:hAnsi="Arial" w:cs="Arial"/>
                <w:iCs/>
                <w:sz w:val="20"/>
                <w:szCs w:val="20"/>
                <w:lang w:val="en-US"/>
              </w:rPr>
            </w:pPr>
            <w:r>
              <w:rPr>
                <w:rFonts w:ascii="Arial" w:hAnsi="Arial" w:cs="Arial"/>
                <w:iCs/>
                <w:sz w:val="20"/>
                <w:szCs w:val="20"/>
                <w:lang w:val="en-US"/>
              </w:rPr>
              <w:t>1</w:t>
            </w:r>
          </w:p>
        </w:tc>
      </w:tr>
      <w:tr w:rsidR="00EE474A" w:rsidRPr="00317BE2" w:rsidTr="00EF4B76">
        <w:trPr>
          <w:cantSplit/>
          <w:trHeight w:val="429"/>
        </w:trPr>
        <w:tc>
          <w:tcPr>
            <w:tcW w:w="9747" w:type="dxa"/>
            <w:gridSpan w:val="7"/>
            <w:tcBorders>
              <w:top w:val="double" w:sz="4" w:space="0" w:color="auto"/>
              <w:left w:val="single" w:sz="4" w:space="0" w:color="auto"/>
              <w:bottom w:val="single" w:sz="4" w:space="0" w:color="auto"/>
            </w:tcBorders>
            <w:shd w:val="clear" w:color="auto" w:fill="FFFFCC"/>
            <w:vAlign w:val="center"/>
            <w:hideMark/>
          </w:tcPr>
          <w:p w:rsidR="00EE474A" w:rsidRPr="00317BE2" w:rsidRDefault="00EE474A" w:rsidP="00EF4B76">
            <w:pPr>
              <w:rPr>
                <w:rFonts w:ascii="Arial" w:eastAsia="Times New Roman" w:hAnsi="Arial" w:cs="Arial"/>
                <w:bCs/>
                <w:sz w:val="20"/>
                <w:szCs w:val="20"/>
                <w:lang w:eastAsia="en-GB"/>
              </w:rPr>
            </w:pPr>
            <w:r w:rsidRPr="00317BE2">
              <w:rPr>
                <w:rFonts w:ascii="Arial" w:hAnsi="Arial" w:cs="Arial"/>
                <w:b/>
                <w:bCs/>
                <w:sz w:val="20"/>
                <w:szCs w:val="20"/>
              </w:rPr>
              <w:t>ABSTRACT</w:t>
            </w:r>
          </w:p>
        </w:tc>
        <w:tc>
          <w:tcPr>
            <w:tcW w:w="1216" w:type="dxa"/>
            <w:tcBorders>
              <w:top w:val="double" w:sz="4" w:space="0" w:color="auto"/>
              <w:right w:val="single" w:sz="4" w:space="0" w:color="auto"/>
            </w:tcBorders>
            <w:shd w:val="clear" w:color="auto" w:fill="FFFFCC"/>
            <w:vAlign w:val="center"/>
          </w:tcPr>
          <w:p w:rsidR="00EE474A" w:rsidRPr="00317BE2" w:rsidRDefault="00EE474A" w:rsidP="00EF4B76">
            <w:pPr>
              <w:jc w:val="center"/>
              <w:rPr>
                <w:rFonts w:ascii="Arial" w:hAnsi="Arial" w:cs="Arial"/>
                <w:iCs/>
                <w:sz w:val="20"/>
                <w:szCs w:val="20"/>
              </w:rPr>
            </w:pPr>
          </w:p>
        </w:tc>
      </w:tr>
      <w:tr w:rsidR="00EE474A" w:rsidRPr="005F4CD3" w:rsidTr="00EF4B76">
        <w:trPr>
          <w:cantSplit/>
          <w:trHeight w:val="538"/>
        </w:trPr>
        <w:tc>
          <w:tcPr>
            <w:tcW w:w="2150" w:type="dxa"/>
            <w:vMerge w:val="restart"/>
            <w:tcBorders>
              <w:top w:val="single" w:sz="4" w:space="0" w:color="auto"/>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 Structured-like summary</w:t>
            </w:r>
          </w:p>
        </w:tc>
        <w:tc>
          <w:tcPr>
            <w:tcW w:w="935" w:type="dxa"/>
            <w:tcBorders>
              <w:top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2a</w:t>
            </w:r>
          </w:p>
        </w:tc>
        <w:tc>
          <w:tcPr>
            <w:tcW w:w="6662" w:type="dxa"/>
            <w:gridSpan w:val="5"/>
            <w:tcBorders>
              <w:top w:val="single" w:sz="4" w:space="0" w:color="auto"/>
            </w:tcBorders>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eastAsia="el-GR"/>
              </w:rPr>
              <w:t>Provide a structured-like abstract, as applicable: background, objective, data sources, selection criteria, data extraction, review appraisal, data synthesis methods, results, limitations, conclusions.</w:t>
            </w:r>
          </w:p>
        </w:tc>
        <w:tc>
          <w:tcPr>
            <w:tcW w:w="1216" w:type="dxa"/>
            <w:tcBorders>
              <w:right w:val="single" w:sz="4" w:space="0" w:color="auto"/>
            </w:tcBorders>
            <w:vAlign w:val="center"/>
          </w:tcPr>
          <w:p w:rsidR="00EE474A" w:rsidRPr="00317BE2" w:rsidRDefault="004B08CE" w:rsidP="00EF4B76">
            <w:pPr>
              <w:jc w:val="center"/>
              <w:rPr>
                <w:rFonts w:ascii="Arial" w:hAnsi="Arial" w:cs="Arial"/>
                <w:iCs/>
                <w:sz w:val="20"/>
                <w:szCs w:val="20"/>
                <w:lang w:val="en-US"/>
              </w:rPr>
            </w:pPr>
            <w:r>
              <w:rPr>
                <w:rFonts w:ascii="Arial" w:hAnsi="Arial" w:cs="Arial"/>
                <w:iCs/>
                <w:sz w:val="20"/>
                <w:szCs w:val="20"/>
                <w:lang w:val="en-US"/>
              </w:rPr>
              <w:t>2</w:t>
            </w:r>
          </w:p>
        </w:tc>
      </w:tr>
      <w:tr w:rsidR="00EE474A" w:rsidRPr="003E534D" w:rsidTr="00EF4B76">
        <w:trPr>
          <w:cantSplit/>
          <w:trHeight w:val="359"/>
        </w:trPr>
        <w:tc>
          <w:tcPr>
            <w:tcW w:w="2150" w:type="dxa"/>
            <w:vMerge/>
            <w:tcBorders>
              <w:left w:val="single" w:sz="4" w:space="0" w:color="auto"/>
              <w:bottom w:val="double" w:sz="6" w:space="0" w:color="auto"/>
            </w:tcBorders>
            <w:vAlign w:val="center"/>
            <w:hideMark/>
          </w:tcPr>
          <w:p w:rsidR="00EE474A" w:rsidRPr="00317BE2" w:rsidRDefault="00EE474A" w:rsidP="00EF4B76">
            <w:pPr>
              <w:rPr>
                <w:rFonts w:ascii="Arial" w:hAnsi="Arial" w:cs="Arial"/>
                <w:iCs/>
                <w:sz w:val="20"/>
                <w:szCs w:val="20"/>
                <w:lang w:val="en-US"/>
              </w:rPr>
            </w:pPr>
          </w:p>
        </w:tc>
        <w:tc>
          <w:tcPr>
            <w:tcW w:w="935" w:type="dxa"/>
            <w:tcBorders>
              <w:bottom w:val="double" w:sz="6"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2b</w:t>
            </w:r>
          </w:p>
        </w:tc>
        <w:tc>
          <w:tcPr>
            <w:tcW w:w="6662" w:type="dxa"/>
            <w:gridSpan w:val="5"/>
            <w:tcBorders>
              <w:bottom w:val="double" w:sz="6"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Report</w:t>
            </w:r>
            <w:r w:rsidRPr="00317BE2">
              <w:rPr>
                <w:rFonts w:ascii="Arial" w:hAnsi="Arial" w:cs="Arial"/>
                <w:sz w:val="20"/>
                <w:szCs w:val="20"/>
                <w:lang w:eastAsia="el-GR"/>
              </w:rPr>
              <w:t xml:space="preserve"> </w:t>
            </w:r>
            <w:r w:rsidRPr="00317BE2">
              <w:rPr>
                <w:rFonts w:ascii="Arial" w:hAnsi="Arial" w:cs="Arial"/>
                <w:sz w:val="20"/>
                <w:szCs w:val="20"/>
              </w:rPr>
              <w:t xml:space="preserve">the main findings of </w:t>
            </w:r>
            <w:r w:rsidRPr="00317BE2">
              <w:rPr>
                <w:rFonts w:ascii="Arial" w:hAnsi="Arial" w:cs="Arial"/>
                <w:sz w:val="20"/>
                <w:szCs w:val="20"/>
                <w:lang w:eastAsia="el-GR"/>
              </w:rPr>
              <w:t>analysis of harms undertaken in the OoSRs or/and in the included SRs.</w:t>
            </w:r>
          </w:p>
        </w:tc>
        <w:tc>
          <w:tcPr>
            <w:tcW w:w="1216" w:type="dxa"/>
            <w:tcBorders>
              <w:bottom w:val="double" w:sz="6" w:space="0" w:color="auto"/>
              <w:right w:val="single" w:sz="4" w:space="0" w:color="auto"/>
            </w:tcBorders>
            <w:vAlign w:val="center"/>
          </w:tcPr>
          <w:p w:rsidR="00EE474A" w:rsidRPr="00317BE2" w:rsidRDefault="004B08CE" w:rsidP="00EF4B76">
            <w:pPr>
              <w:jc w:val="center"/>
              <w:rPr>
                <w:rFonts w:ascii="Arial" w:hAnsi="Arial" w:cs="Arial"/>
                <w:iCs/>
                <w:sz w:val="20"/>
                <w:szCs w:val="20"/>
                <w:lang w:val="en-US"/>
              </w:rPr>
            </w:pPr>
            <w:r>
              <w:rPr>
                <w:rFonts w:ascii="Arial" w:hAnsi="Arial" w:cs="Arial"/>
                <w:iCs/>
                <w:sz w:val="20"/>
                <w:szCs w:val="20"/>
                <w:lang w:val="en-US"/>
              </w:rPr>
              <w:t>2</w:t>
            </w:r>
          </w:p>
        </w:tc>
      </w:tr>
      <w:tr w:rsidR="00EE474A" w:rsidRPr="00317BE2" w:rsidTr="00EF4B76">
        <w:trPr>
          <w:cantSplit/>
          <w:trHeight w:val="392"/>
        </w:trPr>
        <w:tc>
          <w:tcPr>
            <w:tcW w:w="9747" w:type="dxa"/>
            <w:gridSpan w:val="7"/>
            <w:tcBorders>
              <w:top w:val="double" w:sz="6" w:space="0" w:color="auto"/>
              <w:left w:val="single" w:sz="4" w:space="0" w:color="auto"/>
            </w:tcBorders>
            <w:shd w:val="clear" w:color="auto" w:fill="FFFFCC"/>
            <w:vAlign w:val="center"/>
            <w:hideMark/>
          </w:tcPr>
          <w:p w:rsidR="00EE474A" w:rsidRPr="00317BE2" w:rsidRDefault="00EE474A" w:rsidP="00EF4B76">
            <w:pPr>
              <w:rPr>
                <w:rFonts w:ascii="Arial" w:hAnsi="Arial" w:cs="Arial"/>
                <w:iCs/>
                <w:sz w:val="20"/>
                <w:szCs w:val="20"/>
              </w:rPr>
            </w:pPr>
            <w:r w:rsidRPr="00317BE2">
              <w:rPr>
                <w:rFonts w:ascii="Arial" w:hAnsi="Arial" w:cs="Arial"/>
                <w:b/>
                <w:bCs/>
                <w:sz w:val="20"/>
                <w:szCs w:val="20"/>
              </w:rPr>
              <w:t>INTRODUCTION</w:t>
            </w:r>
          </w:p>
        </w:tc>
        <w:tc>
          <w:tcPr>
            <w:tcW w:w="1216" w:type="dxa"/>
            <w:tcBorders>
              <w:top w:val="double" w:sz="6" w:space="0" w:color="auto"/>
              <w:right w:val="single" w:sz="4" w:space="0" w:color="auto"/>
            </w:tcBorders>
            <w:shd w:val="clear" w:color="auto" w:fill="FFFFCC"/>
          </w:tcPr>
          <w:p w:rsidR="00EE474A" w:rsidRPr="00317BE2" w:rsidRDefault="00EE474A" w:rsidP="00EF4B76">
            <w:pPr>
              <w:jc w:val="center"/>
              <w:rPr>
                <w:rFonts w:ascii="Arial" w:hAnsi="Arial" w:cs="Arial"/>
                <w:iCs/>
                <w:sz w:val="20"/>
                <w:szCs w:val="20"/>
              </w:rPr>
            </w:pPr>
          </w:p>
        </w:tc>
      </w:tr>
      <w:tr w:rsidR="00EE474A" w:rsidRPr="003E534D" w:rsidTr="00EF4B76">
        <w:trPr>
          <w:cantSplit/>
          <w:trHeight w:val="404"/>
        </w:trPr>
        <w:tc>
          <w:tcPr>
            <w:tcW w:w="2150" w:type="dxa"/>
            <w:vMerge w:val="restart"/>
            <w:tcBorders>
              <w:left w:val="single" w:sz="4" w:space="0" w:color="auto"/>
            </w:tcBorders>
            <w:vAlign w:val="center"/>
            <w:hideMark/>
          </w:tcPr>
          <w:p w:rsidR="00EE474A" w:rsidRPr="00317BE2" w:rsidRDefault="00EE474A" w:rsidP="00EF4B76">
            <w:pPr>
              <w:rPr>
                <w:rFonts w:ascii="Arial" w:hAnsi="Arial" w:cs="Arial"/>
                <w:iCs/>
                <w:sz w:val="20"/>
                <w:szCs w:val="20"/>
              </w:rPr>
            </w:pPr>
            <w:r w:rsidRPr="00317BE2">
              <w:rPr>
                <w:rFonts w:ascii="Arial" w:hAnsi="Arial" w:cs="Arial"/>
                <w:sz w:val="20"/>
                <w:szCs w:val="20"/>
              </w:rPr>
              <w:t>3. Rationale</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3a</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eastAsia="el-GR"/>
              </w:rPr>
              <w:t xml:space="preserve">Specify the rationale and the scope (wide or narrow agendas) for the overview in the context of an existing body of knowledge on the topic. </w:t>
            </w:r>
          </w:p>
        </w:tc>
        <w:tc>
          <w:tcPr>
            <w:tcW w:w="1216" w:type="dxa"/>
            <w:tcBorders>
              <w:right w:val="single" w:sz="4" w:space="0" w:color="auto"/>
            </w:tcBorders>
            <w:vAlign w:val="center"/>
          </w:tcPr>
          <w:p w:rsidR="00EE474A" w:rsidRPr="00317BE2" w:rsidRDefault="00971F41" w:rsidP="00EF4B76">
            <w:pPr>
              <w:jc w:val="center"/>
              <w:rPr>
                <w:rFonts w:ascii="Arial" w:hAnsi="Arial" w:cs="Arial"/>
                <w:iCs/>
                <w:sz w:val="20"/>
                <w:szCs w:val="20"/>
                <w:lang w:val="en-US"/>
              </w:rPr>
            </w:pPr>
            <w:r>
              <w:rPr>
                <w:rFonts w:ascii="Arial" w:hAnsi="Arial" w:cs="Arial"/>
                <w:iCs/>
                <w:sz w:val="20"/>
                <w:szCs w:val="20"/>
                <w:lang w:val="en-US"/>
              </w:rPr>
              <w:t>3</w:t>
            </w:r>
          </w:p>
        </w:tc>
      </w:tr>
      <w:tr w:rsidR="00EE474A" w:rsidRPr="003E534D" w:rsidTr="00EF4B76">
        <w:trPr>
          <w:cantSplit/>
          <w:trHeight w:val="322"/>
        </w:trPr>
        <w:tc>
          <w:tcPr>
            <w:tcW w:w="2150" w:type="dxa"/>
            <w:vMerge/>
            <w:tcBorders>
              <w:left w:val="single" w:sz="4" w:space="0" w:color="auto"/>
            </w:tcBorders>
            <w:vAlign w:val="center"/>
            <w:hideMark/>
          </w:tcPr>
          <w:p w:rsidR="00EE474A" w:rsidRPr="00317BE2" w:rsidRDefault="00EE474A" w:rsidP="00EF4B76">
            <w:pPr>
              <w:rPr>
                <w:rFonts w:ascii="Arial" w:hAnsi="Arial" w:cs="Arial"/>
                <w:iCs/>
                <w:sz w:val="20"/>
                <w:szCs w:val="20"/>
                <w:lang w:val="en-US"/>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3b</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eastAsia="el-GR"/>
              </w:rPr>
              <w:t>Provide a balanced presentation of potential benefits and harms of the intervention(s).</w:t>
            </w:r>
          </w:p>
        </w:tc>
        <w:tc>
          <w:tcPr>
            <w:tcW w:w="1216" w:type="dxa"/>
            <w:tcBorders>
              <w:right w:val="single" w:sz="4" w:space="0" w:color="auto"/>
            </w:tcBorders>
            <w:vAlign w:val="center"/>
          </w:tcPr>
          <w:p w:rsidR="00EE474A" w:rsidRPr="00317BE2" w:rsidRDefault="00971F41" w:rsidP="00EF4B76">
            <w:pPr>
              <w:jc w:val="center"/>
              <w:rPr>
                <w:rFonts w:ascii="Arial" w:hAnsi="Arial" w:cs="Arial"/>
                <w:iCs/>
                <w:sz w:val="20"/>
                <w:szCs w:val="20"/>
                <w:lang w:val="en-US"/>
              </w:rPr>
            </w:pPr>
            <w:r>
              <w:rPr>
                <w:rFonts w:ascii="Arial" w:hAnsi="Arial" w:cs="Arial"/>
                <w:iCs/>
                <w:sz w:val="20"/>
                <w:szCs w:val="20"/>
                <w:lang w:val="en-US"/>
              </w:rPr>
              <w:t>3</w:t>
            </w:r>
          </w:p>
        </w:tc>
      </w:tr>
      <w:tr w:rsidR="00EE474A" w:rsidRPr="003E534D" w:rsidTr="00EF4B76">
        <w:trPr>
          <w:cantSplit/>
          <w:trHeight w:val="498"/>
        </w:trPr>
        <w:tc>
          <w:tcPr>
            <w:tcW w:w="2150" w:type="dxa"/>
            <w:vMerge/>
            <w:tcBorders>
              <w:left w:val="single" w:sz="4" w:space="0" w:color="auto"/>
            </w:tcBorders>
            <w:vAlign w:val="center"/>
            <w:hideMark/>
          </w:tcPr>
          <w:p w:rsidR="00EE474A" w:rsidRPr="00317BE2" w:rsidRDefault="00EE474A" w:rsidP="00EF4B76">
            <w:pPr>
              <w:rPr>
                <w:rFonts w:ascii="Arial" w:hAnsi="Arial" w:cs="Arial"/>
                <w:iCs/>
                <w:sz w:val="20"/>
                <w:szCs w:val="20"/>
                <w:lang w:val="en-US"/>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3c</w:t>
            </w:r>
            <w:r w:rsidRPr="00317BE2">
              <w:rPr>
                <w:rFonts w:ascii="Arial" w:hAnsi="Arial" w:cs="Arial"/>
                <w:b/>
                <w:color w:val="8496B0" w:themeColor="text2" w:themeTint="99"/>
                <w:sz w:val="20"/>
                <w:szCs w:val="20"/>
                <w:vertAlign w:val="superscript"/>
              </w:rPr>
              <w:t>a</w:t>
            </w:r>
          </w:p>
        </w:tc>
        <w:tc>
          <w:tcPr>
            <w:tcW w:w="6662" w:type="dxa"/>
            <w:gridSpan w:val="5"/>
            <w:vAlign w:val="center"/>
          </w:tcPr>
          <w:p w:rsidR="00EE474A" w:rsidRPr="00317BE2" w:rsidRDefault="00EE474A" w:rsidP="00EF4B76">
            <w:pPr>
              <w:jc w:val="both"/>
              <w:rPr>
                <w:rFonts w:ascii="Arial" w:hAnsi="Arial" w:cs="Arial"/>
                <w:sz w:val="20"/>
                <w:szCs w:val="20"/>
                <w:lang w:val="en-US" w:eastAsia="el-GR"/>
              </w:rPr>
            </w:pPr>
            <w:r w:rsidRPr="00317BE2">
              <w:rPr>
                <w:rFonts w:ascii="Arial" w:hAnsi="Arial" w:cs="Arial"/>
                <w:sz w:val="20"/>
                <w:szCs w:val="20"/>
                <w:lang w:val="en-US"/>
              </w:rPr>
              <w:t>D</w:t>
            </w:r>
            <w:r w:rsidRPr="00317BE2">
              <w:rPr>
                <w:rFonts w:ascii="Arial" w:hAnsi="Arial" w:cs="Arial"/>
                <w:sz w:val="20"/>
                <w:szCs w:val="20"/>
                <w:lang w:val="en-US" w:eastAsia="el-GR"/>
              </w:rPr>
              <w:t xml:space="preserve">efine which events are considered harms </w:t>
            </w:r>
            <w:r w:rsidRPr="00317BE2">
              <w:rPr>
                <w:rFonts w:ascii="Arial" w:hAnsi="Arial" w:cs="Arial"/>
                <w:sz w:val="20"/>
                <w:szCs w:val="20"/>
                <w:lang w:val="en-US"/>
              </w:rPr>
              <w:t>according to previous literature</w:t>
            </w:r>
            <w:r w:rsidRPr="00317BE2">
              <w:rPr>
                <w:rFonts w:ascii="Arial" w:hAnsi="Arial" w:cs="Arial"/>
                <w:sz w:val="20"/>
                <w:szCs w:val="20"/>
                <w:lang w:val="en-US" w:eastAsia="el-GR"/>
              </w:rPr>
              <w:t xml:space="preserve"> and provide a clear rationale for the specific harms included in the OoSRs</w:t>
            </w:r>
            <w:r w:rsidRPr="00317BE2">
              <w:rPr>
                <w:rFonts w:ascii="Arial" w:hAnsi="Arial" w:cs="Arial"/>
                <w:sz w:val="20"/>
                <w:szCs w:val="20"/>
                <w:lang w:val="en-US"/>
              </w:rPr>
              <w:t>.</w:t>
            </w:r>
          </w:p>
        </w:tc>
        <w:tc>
          <w:tcPr>
            <w:tcW w:w="1216" w:type="dxa"/>
            <w:tcBorders>
              <w:right w:val="single" w:sz="4" w:space="0" w:color="auto"/>
            </w:tcBorders>
            <w:vAlign w:val="center"/>
          </w:tcPr>
          <w:p w:rsidR="00EE474A" w:rsidRPr="00317BE2" w:rsidRDefault="00971F41" w:rsidP="00EF4B76">
            <w:pPr>
              <w:jc w:val="center"/>
              <w:rPr>
                <w:rFonts w:ascii="Arial" w:hAnsi="Arial" w:cs="Arial"/>
                <w:iCs/>
                <w:sz w:val="20"/>
                <w:szCs w:val="20"/>
                <w:lang w:val="en-US"/>
              </w:rPr>
            </w:pPr>
            <w:r>
              <w:rPr>
                <w:rFonts w:ascii="Arial" w:hAnsi="Arial" w:cs="Arial"/>
                <w:iCs/>
                <w:sz w:val="20"/>
                <w:szCs w:val="20"/>
                <w:lang w:val="en-US"/>
              </w:rPr>
              <w:t>3</w:t>
            </w:r>
          </w:p>
        </w:tc>
      </w:tr>
      <w:tr w:rsidR="00EE474A" w:rsidRPr="003E534D" w:rsidTr="00EF4B76">
        <w:trPr>
          <w:cantSplit/>
          <w:trHeight w:val="328"/>
        </w:trPr>
        <w:tc>
          <w:tcPr>
            <w:tcW w:w="2150" w:type="dxa"/>
            <w:vMerge w:val="restart"/>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 xml:space="preserve">4. Objectives </w:t>
            </w:r>
          </w:p>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 xml:space="preserve">   (PICOS)</w:t>
            </w:r>
          </w:p>
        </w:tc>
        <w:tc>
          <w:tcPr>
            <w:tcW w:w="935" w:type="dxa"/>
            <w:vMerge w:val="restart"/>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4</w:t>
            </w:r>
          </w:p>
        </w:tc>
        <w:tc>
          <w:tcPr>
            <w:tcW w:w="6662" w:type="dxa"/>
            <w:gridSpan w:val="5"/>
            <w:vAlign w:val="center"/>
          </w:tcPr>
          <w:p w:rsidR="00EE474A" w:rsidRPr="00317BE2" w:rsidRDefault="00EE474A" w:rsidP="00EF4B76">
            <w:pPr>
              <w:autoSpaceDE w:val="0"/>
              <w:autoSpaceDN w:val="0"/>
              <w:adjustRightInd w:val="0"/>
              <w:rPr>
                <w:rFonts w:ascii="Arial" w:hAnsi="Arial" w:cs="Arial"/>
                <w:sz w:val="20"/>
                <w:szCs w:val="20"/>
                <w:lang w:val="en-US"/>
              </w:rPr>
            </w:pPr>
            <w:r w:rsidRPr="00317BE2">
              <w:rPr>
                <w:rFonts w:ascii="Arial" w:hAnsi="Arial" w:cs="Arial"/>
                <w:sz w:val="20"/>
                <w:szCs w:val="20"/>
                <w:lang w:val="en-US"/>
              </w:rPr>
              <w:t xml:space="preserve">Provide an explicit statement of research question(s) that specifies PICOS: </w:t>
            </w:r>
          </w:p>
        </w:tc>
        <w:tc>
          <w:tcPr>
            <w:tcW w:w="1216" w:type="dxa"/>
            <w:vMerge w:val="restart"/>
            <w:tcBorders>
              <w:right w:val="single" w:sz="4" w:space="0" w:color="auto"/>
            </w:tcBorders>
            <w:vAlign w:val="center"/>
          </w:tcPr>
          <w:p w:rsidR="00EE474A" w:rsidRPr="00317BE2" w:rsidRDefault="00EE474A" w:rsidP="001572E0">
            <w:pPr>
              <w:jc w:val="center"/>
              <w:rPr>
                <w:rFonts w:ascii="Arial" w:hAnsi="Arial" w:cs="Arial"/>
                <w:iCs/>
                <w:sz w:val="20"/>
                <w:szCs w:val="20"/>
                <w:lang w:val="en-US"/>
              </w:rPr>
            </w:pPr>
            <w:r>
              <w:rPr>
                <w:rFonts w:ascii="Arial" w:hAnsi="Arial" w:cs="Arial"/>
                <w:iCs/>
                <w:sz w:val="20"/>
                <w:szCs w:val="20"/>
                <w:lang w:val="en-US"/>
              </w:rPr>
              <w:t>5</w:t>
            </w:r>
          </w:p>
        </w:tc>
      </w:tr>
      <w:tr w:rsidR="00EE474A" w:rsidRPr="00317BE2" w:rsidTr="00EF4B76">
        <w:trPr>
          <w:cantSplit/>
          <w:trHeight w:val="360"/>
        </w:trPr>
        <w:tc>
          <w:tcPr>
            <w:tcW w:w="2150" w:type="dxa"/>
            <w:vMerge/>
            <w:tcBorders>
              <w:left w:val="single" w:sz="4" w:space="0" w:color="auto"/>
            </w:tcBorders>
            <w:vAlign w:val="center"/>
            <w:hideMark/>
          </w:tcPr>
          <w:p w:rsidR="00EE474A" w:rsidRPr="00317BE2" w:rsidRDefault="00EE474A" w:rsidP="00EF4B76">
            <w:pPr>
              <w:rPr>
                <w:rFonts w:ascii="Arial" w:hAnsi="Arial" w:cs="Arial"/>
                <w:iCs/>
                <w:sz w:val="20"/>
                <w:szCs w:val="20"/>
                <w:lang w:val="en-US"/>
              </w:rPr>
            </w:pPr>
          </w:p>
        </w:tc>
        <w:tc>
          <w:tcPr>
            <w:tcW w:w="935" w:type="dxa"/>
            <w:vMerge/>
            <w:vAlign w:val="center"/>
            <w:hideMark/>
          </w:tcPr>
          <w:p w:rsidR="00EE474A" w:rsidRPr="00317BE2" w:rsidRDefault="00EE474A" w:rsidP="00EF4B76">
            <w:pPr>
              <w:pStyle w:val="Default"/>
              <w:spacing w:before="40" w:after="40"/>
              <w:rPr>
                <w:rFonts w:ascii="Arial" w:hAnsi="Arial" w:cs="Arial"/>
                <w:sz w:val="20"/>
                <w:szCs w:val="20"/>
              </w:rPr>
            </w:pPr>
          </w:p>
        </w:tc>
        <w:tc>
          <w:tcPr>
            <w:tcW w:w="1146" w:type="dxa"/>
            <w:vAlign w:val="center"/>
          </w:tcPr>
          <w:tbl>
            <w:tblPr>
              <w:tblStyle w:val="TableGrid"/>
              <w:tblpPr w:leftFromText="180" w:rightFromText="180" w:vertAnchor="text" w:tblpXSpec="right" w:tblpY="1"/>
              <w:tblOverlap w:val="never"/>
              <w:tblW w:w="0" w:type="auto"/>
              <w:tblLayout w:type="fixed"/>
              <w:tblLook w:val="04A0" w:firstRow="1" w:lastRow="0" w:firstColumn="1" w:lastColumn="0" w:noHBand="0" w:noVBand="1"/>
            </w:tblPr>
            <w:tblGrid>
              <w:gridCol w:w="236"/>
            </w:tblGrid>
            <w:tr w:rsidR="00EE474A" w:rsidRPr="00653AE7" w:rsidTr="00EF4B76">
              <w:trPr>
                <w:trHeight w:val="257"/>
              </w:trPr>
              <w:tc>
                <w:tcPr>
                  <w:tcW w:w="223" w:type="dxa"/>
                  <w:vAlign w:val="center"/>
                </w:tcPr>
                <w:p w:rsidR="00EE474A" w:rsidRPr="00653AE7" w:rsidRDefault="00EE474A" w:rsidP="00EF4B76">
                  <w:pPr>
                    <w:pStyle w:val="ListParagraph"/>
                    <w:autoSpaceDE w:val="0"/>
                    <w:autoSpaceDN w:val="0"/>
                    <w:adjustRightInd w:val="0"/>
                    <w:ind w:left="0"/>
                    <w:rPr>
                      <w:rFonts w:ascii="Arial" w:hAnsi="Arial" w:cs="Arial"/>
                      <w:sz w:val="18"/>
                      <w:szCs w:val="18"/>
                      <w:lang w:val="en-US"/>
                    </w:rPr>
                  </w:pPr>
                </w:p>
              </w:tc>
            </w:tr>
          </w:tbl>
          <w:p w:rsidR="00EE474A" w:rsidRPr="00653AE7" w:rsidRDefault="00EE474A" w:rsidP="00EF4B76">
            <w:pPr>
              <w:pStyle w:val="ListParagraph"/>
              <w:numPr>
                <w:ilvl w:val="0"/>
                <w:numId w:val="1"/>
              </w:numPr>
              <w:autoSpaceDE w:val="0"/>
              <w:autoSpaceDN w:val="0"/>
              <w:adjustRightInd w:val="0"/>
              <w:ind w:left="175" w:hanging="141"/>
              <w:rPr>
                <w:rFonts w:ascii="Arial" w:hAnsi="Arial" w:cs="Arial"/>
                <w:sz w:val="18"/>
                <w:szCs w:val="18"/>
              </w:rPr>
            </w:pPr>
            <w:r w:rsidRPr="00653AE7">
              <w:rPr>
                <w:rFonts w:ascii="Arial" w:hAnsi="Arial" w:cs="Arial"/>
                <w:sz w:val="18"/>
                <w:szCs w:val="18"/>
                <w:lang w:val="en-US"/>
              </w:rPr>
              <w:t xml:space="preserve"> </w:t>
            </w:r>
            <w:r w:rsidRPr="00653AE7">
              <w:rPr>
                <w:rFonts w:ascii="Arial" w:hAnsi="Arial" w:cs="Arial"/>
                <w:sz w:val="18"/>
                <w:szCs w:val="18"/>
              </w:rPr>
              <w:t>Participants</w:t>
            </w:r>
          </w:p>
        </w:tc>
        <w:tc>
          <w:tcPr>
            <w:tcW w:w="1469" w:type="dxa"/>
            <w:vAlign w:val="center"/>
          </w:tcPr>
          <w:tbl>
            <w:tblPr>
              <w:tblStyle w:val="TableGrid"/>
              <w:tblpPr w:leftFromText="180" w:rightFromText="180" w:vertAnchor="text" w:horzAnchor="margin" w:tblpXSpec="right" w:tblpY="-186"/>
              <w:tblOverlap w:val="never"/>
              <w:tblW w:w="0" w:type="auto"/>
              <w:tblLayout w:type="fixed"/>
              <w:tblLook w:val="04A0" w:firstRow="1" w:lastRow="0" w:firstColumn="1" w:lastColumn="0" w:noHBand="0" w:noVBand="1"/>
            </w:tblPr>
            <w:tblGrid>
              <w:gridCol w:w="236"/>
            </w:tblGrid>
            <w:tr w:rsidR="00EE474A" w:rsidRPr="00653AE7" w:rsidTr="00EF4B76">
              <w:trPr>
                <w:trHeight w:val="257"/>
              </w:trPr>
              <w:tc>
                <w:tcPr>
                  <w:tcW w:w="223" w:type="dxa"/>
                  <w:vAlign w:val="center"/>
                </w:tcPr>
                <w:p w:rsidR="00EE474A" w:rsidRPr="00653AE7" w:rsidRDefault="00EE474A" w:rsidP="00EF4B76">
                  <w:pPr>
                    <w:pStyle w:val="ListParagraph"/>
                    <w:autoSpaceDE w:val="0"/>
                    <w:autoSpaceDN w:val="0"/>
                    <w:adjustRightInd w:val="0"/>
                    <w:ind w:left="0"/>
                    <w:rPr>
                      <w:rFonts w:ascii="Arial" w:hAnsi="Arial" w:cs="Arial"/>
                      <w:sz w:val="18"/>
                      <w:szCs w:val="18"/>
                    </w:rPr>
                  </w:pPr>
                </w:p>
              </w:tc>
            </w:tr>
          </w:tbl>
          <w:p w:rsidR="00EE474A" w:rsidRPr="00653AE7" w:rsidRDefault="00EE474A" w:rsidP="00EF4B76">
            <w:pPr>
              <w:pStyle w:val="ListParagraph"/>
              <w:numPr>
                <w:ilvl w:val="0"/>
                <w:numId w:val="1"/>
              </w:numPr>
              <w:autoSpaceDE w:val="0"/>
              <w:autoSpaceDN w:val="0"/>
              <w:adjustRightInd w:val="0"/>
              <w:ind w:left="175" w:hanging="141"/>
              <w:rPr>
                <w:rFonts w:ascii="Arial" w:hAnsi="Arial" w:cs="Arial"/>
                <w:sz w:val="18"/>
                <w:szCs w:val="18"/>
              </w:rPr>
            </w:pPr>
            <w:r w:rsidRPr="00653AE7">
              <w:rPr>
                <w:rFonts w:ascii="Arial" w:hAnsi="Arial" w:cs="Arial"/>
                <w:sz w:val="18"/>
                <w:szCs w:val="18"/>
              </w:rPr>
              <w:t>Interventions</w:t>
            </w:r>
          </w:p>
        </w:tc>
        <w:tc>
          <w:tcPr>
            <w:tcW w:w="1469" w:type="dxa"/>
            <w:vAlign w:val="center"/>
          </w:tcPr>
          <w:tbl>
            <w:tblPr>
              <w:tblStyle w:val="TableGrid"/>
              <w:tblpPr w:leftFromText="180" w:rightFromText="180" w:vertAnchor="text" w:horzAnchor="margin" w:tblpXSpec="right" w:tblpY="-166"/>
              <w:tblOverlap w:val="never"/>
              <w:tblW w:w="0" w:type="auto"/>
              <w:tblLayout w:type="fixed"/>
              <w:tblLook w:val="04A0" w:firstRow="1" w:lastRow="0" w:firstColumn="1" w:lastColumn="0" w:noHBand="0" w:noVBand="1"/>
            </w:tblPr>
            <w:tblGrid>
              <w:gridCol w:w="236"/>
            </w:tblGrid>
            <w:tr w:rsidR="00EE474A" w:rsidRPr="00653AE7" w:rsidTr="00EF4B76">
              <w:trPr>
                <w:trHeight w:val="257"/>
              </w:trPr>
              <w:tc>
                <w:tcPr>
                  <w:tcW w:w="223" w:type="dxa"/>
                  <w:vAlign w:val="center"/>
                </w:tcPr>
                <w:p w:rsidR="00EE474A" w:rsidRPr="00653AE7" w:rsidRDefault="00EE474A" w:rsidP="00EF4B76">
                  <w:pPr>
                    <w:pStyle w:val="ListParagraph"/>
                    <w:autoSpaceDE w:val="0"/>
                    <w:autoSpaceDN w:val="0"/>
                    <w:adjustRightInd w:val="0"/>
                    <w:ind w:left="0"/>
                    <w:rPr>
                      <w:rFonts w:ascii="Arial" w:hAnsi="Arial" w:cs="Arial"/>
                      <w:sz w:val="18"/>
                      <w:szCs w:val="18"/>
                    </w:rPr>
                  </w:pPr>
                </w:p>
              </w:tc>
            </w:tr>
          </w:tbl>
          <w:p w:rsidR="00EE474A" w:rsidRPr="00653AE7" w:rsidRDefault="00EE474A" w:rsidP="00EF4B76">
            <w:pPr>
              <w:pStyle w:val="ListParagraph"/>
              <w:numPr>
                <w:ilvl w:val="0"/>
                <w:numId w:val="1"/>
              </w:numPr>
              <w:autoSpaceDE w:val="0"/>
              <w:autoSpaceDN w:val="0"/>
              <w:adjustRightInd w:val="0"/>
              <w:ind w:left="175" w:hanging="141"/>
              <w:rPr>
                <w:rFonts w:ascii="Arial" w:hAnsi="Arial" w:cs="Arial"/>
                <w:sz w:val="18"/>
                <w:szCs w:val="18"/>
              </w:rPr>
            </w:pPr>
            <w:r w:rsidRPr="00653AE7">
              <w:rPr>
                <w:rFonts w:ascii="Arial" w:hAnsi="Arial" w:cs="Arial"/>
                <w:sz w:val="18"/>
                <w:szCs w:val="18"/>
              </w:rPr>
              <w:t>Comparators</w:t>
            </w:r>
          </w:p>
        </w:tc>
        <w:tc>
          <w:tcPr>
            <w:tcW w:w="1469" w:type="dxa"/>
            <w:vAlign w:val="center"/>
          </w:tcPr>
          <w:tbl>
            <w:tblPr>
              <w:tblStyle w:val="TableGrid"/>
              <w:tblpPr w:leftFromText="180" w:rightFromText="180" w:vertAnchor="text" w:horzAnchor="margin" w:tblpXSpec="right" w:tblpY="-156"/>
              <w:tblOverlap w:val="never"/>
              <w:tblW w:w="0" w:type="auto"/>
              <w:tblLayout w:type="fixed"/>
              <w:tblLook w:val="04A0" w:firstRow="1" w:lastRow="0" w:firstColumn="1" w:lastColumn="0" w:noHBand="0" w:noVBand="1"/>
            </w:tblPr>
            <w:tblGrid>
              <w:gridCol w:w="236"/>
            </w:tblGrid>
            <w:tr w:rsidR="00EE474A" w:rsidRPr="00653AE7" w:rsidTr="00EF4B76">
              <w:trPr>
                <w:trHeight w:val="257"/>
              </w:trPr>
              <w:tc>
                <w:tcPr>
                  <w:tcW w:w="223" w:type="dxa"/>
                  <w:vAlign w:val="center"/>
                </w:tcPr>
                <w:p w:rsidR="00EE474A" w:rsidRPr="00653AE7" w:rsidRDefault="00EE474A" w:rsidP="00EF4B76">
                  <w:pPr>
                    <w:pStyle w:val="ListParagraph"/>
                    <w:autoSpaceDE w:val="0"/>
                    <w:autoSpaceDN w:val="0"/>
                    <w:adjustRightInd w:val="0"/>
                    <w:ind w:left="0"/>
                    <w:rPr>
                      <w:rFonts w:ascii="Arial" w:hAnsi="Arial" w:cs="Arial"/>
                      <w:sz w:val="18"/>
                      <w:szCs w:val="18"/>
                    </w:rPr>
                  </w:pPr>
                </w:p>
              </w:tc>
            </w:tr>
          </w:tbl>
          <w:p w:rsidR="00EE474A" w:rsidRPr="00653AE7" w:rsidRDefault="00EE474A" w:rsidP="00EF4B76">
            <w:pPr>
              <w:pStyle w:val="ListParagraph"/>
              <w:numPr>
                <w:ilvl w:val="0"/>
                <w:numId w:val="1"/>
              </w:numPr>
              <w:autoSpaceDE w:val="0"/>
              <w:autoSpaceDN w:val="0"/>
              <w:adjustRightInd w:val="0"/>
              <w:ind w:left="175" w:hanging="141"/>
              <w:rPr>
                <w:rFonts w:ascii="Arial" w:hAnsi="Arial" w:cs="Arial"/>
                <w:sz w:val="18"/>
                <w:szCs w:val="18"/>
              </w:rPr>
            </w:pPr>
            <w:r w:rsidRPr="00653AE7">
              <w:rPr>
                <w:rFonts w:ascii="Arial" w:hAnsi="Arial" w:cs="Arial"/>
                <w:sz w:val="18"/>
                <w:szCs w:val="18"/>
              </w:rPr>
              <w:t>Outcomes</w:t>
            </w:r>
          </w:p>
        </w:tc>
        <w:tc>
          <w:tcPr>
            <w:tcW w:w="1109" w:type="dxa"/>
            <w:vAlign w:val="center"/>
          </w:tcPr>
          <w:tbl>
            <w:tblPr>
              <w:tblStyle w:val="TableGrid"/>
              <w:tblpPr w:leftFromText="180" w:rightFromText="180" w:vertAnchor="text" w:horzAnchor="margin" w:tblpXSpec="right" w:tblpY="-166"/>
              <w:tblOverlap w:val="never"/>
              <w:tblW w:w="0" w:type="auto"/>
              <w:tblLayout w:type="fixed"/>
              <w:tblLook w:val="04A0" w:firstRow="1" w:lastRow="0" w:firstColumn="1" w:lastColumn="0" w:noHBand="0" w:noVBand="1"/>
            </w:tblPr>
            <w:tblGrid>
              <w:gridCol w:w="236"/>
            </w:tblGrid>
            <w:tr w:rsidR="00EE474A" w:rsidRPr="00653AE7" w:rsidTr="00EF4B76">
              <w:trPr>
                <w:trHeight w:val="257"/>
              </w:trPr>
              <w:tc>
                <w:tcPr>
                  <w:tcW w:w="223" w:type="dxa"/>
                  <w:vAlign w:val="center"/>
                </w:tcPr>
                <w:p w:rsidR="00EE474A" w:rsidRPr="00653AE7" w:rsidRDefault="00EE474A" w:rsidP="00EF4B76">
                  <w:pPr>
                    <w:pStyle w:val="ListParagraph"/>
                    <w:autoSpaceDE w:val="0"/>
                    <w:autoSpaceDN w:val="0"/>
                    <w:adjustRightInd w:val="0"/>
                    <w:ind w:left="0"/>
                    <w:rPr>
                      <w:rFonts w:ascii="Arial" w:hAnsi="Arial" w:cs="Arial"/>
                      <w:sz w:val="18"/>
                      <w:szCs w:val="18"/>
                    </w:rPr>
                  </w:pPr>
                </w:p>
              </w:tc>
            </w:tr>
          </w:tbl>
          <w:p w:rsidR="00EE474A" w:rsidRPr="00653AE7" w:rsidRDefault="00EE474A" w:rsidP="00EF4B76">
            <w:pPr>
              <w:pStyle w:val="ListParagraph"/>
              <w:numPr>
                <w:ilvl w:val="0"/>
                <w:numId w:val="1"/>
              </w:numPr>
              <w:autoSpaceDE w:val="0"/>
              <w:autoSpaceDN w:val="0"/>
              <w:adjustRightInd w:val="0"/>
              <w:ind w:left="175" w:hanging="141"/>
              <w:rPr>
                <w:rFonts w:ascii="Arial" w:hAnsi="Arial" w:cs="Arial"/>
                <w:sz w:val="18"/>
                <w:szCs w:val="18"/>
              </w:rPr>
            </w:pPr>
            <w:r w:rsidRPr="00653AE7">
              <w:rPr>
                <w:rFonts w:ascii="Arial" w:hAnsi="Arial" w:cs="Arial"/>
                <w:sz w:val="18"/>
                <w:szCs w:val="18"/>
              </w:rPr>
              <w:t>Study design</w:t>
            </w:r>
          </w:p>
        </w:tc>
        <w:tc>
          <w:tcPr>
            <w:tcW w:w="1216" w:type="dxa"/>
            <w:vMerge/>
            <w:tcBorders>
              <w:right w:val="single" w:sz="4" w:space="0" w:color="auto"/>
            </w:tcBorders>
            <w:vAlign w:val="center"/>
          </w:tcPr>
          <w:p w:rsidR="00EE474A" w:rsidRPr="00317BE2" w:rsidRDefault="00EE474A" w:rsidP="00EF4B76">
            <w:pPr>
              <w:pStyle w:val="ListParagraph"/>
              <w:jc w:val="center"/>
              <w:rPr>
                <w:rFonts w:ascii="Arial" w:hAnsi="Arial" w:cs="Arial"/>
                <w:iCs/>
                <w:sz w:val="20"/>
                <w:szCs w:val="20"/>
              </w:rPr>
            </w:pPr>
          </w:p>
        </w:tc>
      </w:tr>
      <w:tr w:rsidR="00EE474A" w:rsidRPr="00317BE2" w:rsidTr="00EF4B76">
        <w:trPr>
          <w:cantSplit/>
          <w:trHeight w:val="349"/>
        </w:trPr>
        <w:tc>
          <w:tcPr>
            <w:tcW w:w="9747" w:type="dxa"/>
            <w:gridSpan w:val="7"/>
            <w:tcBorders>
              <w:top w:val="double" w:sz="4" w:space="0" w:color="auto"/>
              <w:left w:val="single" w:sz="6" w:space="0" w:color="auto"/>
              <w:bottom w:val="single" w:sz="6" w:space="0" w:color="auto"/>
              <w:right w:val="single" w:sz="6" w:space="0" w:color="auto"/>
            </w:tcBorders>
            <w:shd w:val="clear" w:color="auto" w:fill="FFFFCC"/>
            <w:vAlign w:val="center"/>
            <w:hideMark/>
          </w:tcPr>
          <w:p w:rsidR="00EE474A" w:rsidRPr="00317BE2" w:rsidRDefault="00EE474A" w:rsidP="00EF4B76">
            <w:pPr>
              <w:rPr>
                <w:rStyle w:val="st"/>
                <w:rFonts w:ascii="Arial" w:hAnsi="Arial" w:cs="Arial"/>
                <w:sz w:val="20"/>
                <w:szCs w:val="20"/>
              </w:rPr>
            </w:pPr>
            <w:r w:rsidRPr="00317BE2">
              <w:rPr>
                <w:rFonts w:ascii="Arial" w:hAnsi="Arial" w:cs="Arial"/>
                <w:b/>
                <w:bCs/>
                <w:sz w:val="20"/>
                <w:szCs w:val="20"/>
              </w:rPr>
              <w:t>METHODS</w:t>
            </w:r>
          </w:p>
        </w:tc>
        <w:tc>
          <w:tcPr>
            <w:tcW w:w="1216" w:type="dxa"/>
            <w:tcBorders>
              <w:top w:val="double" w:sz="4" w:space="0" w:color="auto"/>
              <w:left w:val="single" w:sz="6" w:space="0" w:color="auto"/>
              <w:bottom w:val="single" w:sz="6" w:space="0" w:color="auto"/>
              <w:right w:val="single" w:sz="6" w:space="0" w:color="auto"/>
            </w:tcBorders>
            <w:shd w:val="clear" w:color="auto" w:fill="FFFFCC"/>
            <w:vAlign w:val="center"/>
          </w:tcPr>
          <w:p w:rsidR="00EE474A" w:rsidRPr="00317BE2" w:rsidRDefault="00EE474A" w:rsidP="00EF4B76">
            <w:pPr>
              <w:jc w:val="center"/>
              <w:rPr>
                <w:rFonts w:ascii="Arial" w:hAnsi="Arial" w:cs="Arial"/>
                <w:iCs/>
                <w:sz w:val="20"/>
                <w:szCs w:val="20"/>
              </w:rPr>
            </w:pPr>
          </w:p>
        </w:tc>
      </w:tr>
      <w:tr w:rsidR="00EE474A" w:rsidRPr="000F30E6" w:rsidTr="00EF4B76">
        <w:trPr>
          <w:cantSplit/>
          <w:trHeight w:val="317"/>
        </w:trPr>
        <w:tc>
          <w:tcPr>
            <w:tcW w:w="2150" w:type="dxa"/>
            <w:vMerge w:val="restart"/>
            <w:tcBorders>
              <w:top w:val="single" w:sz="6" w:space="0" w:color="auto"/>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 xml:space="preserve">5. Protocol and registration </w:t>
            </w:r>
          </w:p>
        </w:tc>
        <w:tc>
          <w:tcPr>
            <w:tcW w:w="935" w:type="dxa"/>
            <w:tcBorders>
              <w:top w:val="single" w:sz="6"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5a</w:t>
            </w:r>
          </w:p>
        </w:tc>
        <w:tc>
          <w:tcPr>
            <w:tcW w:w="6662" w:type="dxa"/>
            <w:gridSpan w:val="5"/>
            <w:tcBorders>
              <w:top w:val="single" w:sz="6" w:space="0" w:color="auto"/>
            </w:tcBorders>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Indicate clearly if a protocol exists or not.</w:t>
            </w:r>
          </w:p>
        </w:tc>
        <w:tc>
          <w:tcPr>
            <w:tcW w:w="1216" w:type="dxa"/>
            <w:tcBorders>
              <w:top w:val="single" w:sz="6" w:space="0" w:color="auto"/>
              <w:right w:val="single" w:sz="4" w:space="0" w:color="auto"/>
            </w:tcBorders>
            <w:vAlign w:val="center"/>
          </w:tcPr>
          <w:p w:rsidR="00EE474A" w:rsidRPr="000F30E6" w:rsidRDefault="0031107A" w:rsidP="00EF4B76">
            <w:pPr>
              <w:jc w:val="center"/>
              <w:rPr>
                <w:rFonts w:ascii="Arial" w:hAnsi="Arial" w:cs="Arial"/>
                <w:iCs/>
                <w:sz w:val="20"/>
                <w:szCs w:val="20"/>
                <w:lang w:val="en-CA"/>
              </w:rPr>
            </w:pPr>
            <w:r>
              <w:rPr>
                <w:rFonts w:ascii="Arial" w:hAnsi="Arial" w:cs="Arial"/>
                <w:iCs/>
                <w:sz w:val="20"/>
                <w:szCs w:val="20"/>
                <w:lang w:val="en-CA"/>
              </w:rPr>
              <w:t>4</w:t>
            </w:r>
          </w:p>
        </w:tc>
      </w:tr>
      <w:tr w:rsidR="00EE474A" w:rsidRPr="003E534D" w:rsidTr="00EF4B76">
        <w:trPr>
          <w:cantSplit/>
          <w:trHeight w:val="270"/>
        </w:trPr>
        <w:tc>
          <w:tcPr>
            <w:tcW w:w="2150" w:type="dxa"/>
            <w:vMerge/>
            <w:tcBorders>
              <w:left w:val="single" w:sz="4" w:space="0" w:color="auto"/>
            </w:tcBorders>
            <w:hideMark/>
          </w:tcPr>
          <w:p w:rsidR="00EE474A" w:rsidRPr="00317BE2" w:rsidRDefault="00EE474A" w:rsidP="00EF4B76">
            <w:pPr>
              <w:rPr>
                <w:rFonts w:ascii="Arial" w:hAnsi="Arial" w:cs="Arial"/>
                <w:b/>
                <w:iCs/>
                <w:sz w:val="20"/>
                <w:szCs w:val="20"/>
                <w:lang w:val="en-US"/>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5b</w:t>
            </w:r>
          </w:p>
        </w:tc>
        <w:tc>
          <w:tcPr>
            <w:tcW w:w="6662" w:type="dxa"/>
            <w:gridSpan w:val="5"/>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 xml:space="preserve">If registered, provide the name of the registry (such as </w:t>
            </w:r>
            <w:r w:rsidRPr="00317BE2">
              <w:rPr>
                <w:rFonts w:ascii="Arial" w:hAnsi="Arial" w:cs="Arial"/>
                <w:sz w:val="20"/>
                <w:szCs w:val="20"/>
                <w:lang w:val="en-US"/>
              </w:rPr>
              <w:t xml:space="preserve">a valid </w:t>
            </w:r>
            <w:r w:rsidRPr="00317BE2">
              <w:rPr>
                <w:rFonts w:ascii="Arial" w:hAnsi="Arial" w:cs="Arial"/>
                <w:sz w:val="20"/>
                <w:szCs w:val="20"/>
              </w:rPr>
              <w:t>Web address, PROSPERO).</w:t>
            </w:r>
          </w:p>
        </w:tc>
        <w:tc>
          <w:tcPr>
            <w:tcW w:w="1216" w:type="dxa"/>
            <w:tcBorders>
              <w:right w:val="single" w:sz="4" w:space="0" w:color="auto"/>
            </w:tcBorders>
            <w:vAlign w:val="center"/>
          </w:tcPr>
          <w:p w:rsidR="00EE474A" w:rsidRPr="00317BE2" w:rsidRDefault="0031107A" w:rsidP="00EF4B76">
            <w:pPr>
              <w:jc w:val="center"/>
              <w:rPr>
                <w:rFonts w:ascii="Arial" w:hAnsi="Arial" w:cs="Arial"/>
                <w:iCs/>
                <w:sz w:val="20"/>
                <w:szCs w:val="20"/>
                <w:lang w:val="en-US"/>
              </w:rPr>
            </w:pPr>
            <w:r>
              <w:rPr>
                <w:rFonts w:ascii="Arial" w:hAnsi="Arial" w:cs="Arial"/>
                <w:iCs/>
                <w:sz w:val="20"/>
                <w:szCs w:val="20"/>
                <w:lang w:val="en-US"/>
              </w:rPr>
              <w:t>4</w:t>
            </w:r>
          </w:p>
        </w:tc>
      </w:tr>
      <w:tr w:rsidR="00EE474A" w:rsidRPr="003E534D" w:rsidTr="00EF4B76">
        <w:trPr>
          <w:cantSplit/>
          <w:trHeight w:val="374"/>
        </w:trPr>
        <w:tc>
          <w:tcPr>
            <w:tcW w:w="2150" w:type="dxa"/>
            <w:vMerge w:val="restart"/>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 xml:space="preserve">6. Eligibility criteria </w:t>
            </w:r>
          </w:p>
          <w:p w:rsidR="00EE474A" w:rsidRPr="00317BE2" w:rsidRDefault="00EE474A" w:rsidP="00EF4B76">
            <w:pPr>
              <w:pStyle w:val="Default"/>
              <w:spacing w:before="40" w:after="40"/>
              <w:ind w:left="142"/>
              <w:rPr>
                <w:rFonts w:ascii="Arial" w:hAnsi="Arial" w:cs="Arial"/>
                <w:sz w:val="20"/>
                <w:szCs w:val="20"/>
              </w:rPr>
            </w:pPr>
            <w:r w:rsidRPr="00317BE2">
              <w:rPr>
                <w:rFonts w:ascii="Arial" w:hAnsi="Arial" w:cs="Arial"/>
                <w:sz w:val="20"/>
                <w:szCs w:val="20"/>
              </w:rPr>
              <w:t>&amp; outcomes of interest</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6a</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lang w:val="en-US"/>
              </w:rPr>
            </w:pPr>
            <w:r w:rsidRPr="00317BE2">
              <w:rPr>
                <w:rFonts w:ascii="Arial" w:hAnsi="Arial" w:cs="Arial"/>
                <w:sz w:val="20"/>
                <w:szCs w:val="20"/>
              </w:rPr>
              <w:t>Specify inclusion and exclusion criteria for study design, participants, interventions and comparators in detail.</w:t>
            </w:r>
          </w:p>
        </w:tc>
        <w:tc>
          <w:tcPr>
            <w:tcW w:w="1216" w:type="dxa"/>
            <w:tcBorders>
              <w:right w:val="single" w:sz="4" w:space="0" w:color="auto"/>
            </w:tcBorders>
            <w:vAlign w:val="center"/>
          </w:tcPr>
          <w:p w:rsidR="00EE474A" w:rsidRPr="00317BE2" w:rsidRDefault="0031107A" w:rsidP="00EF4B76">
            <w:pPr>
              <w:jc w:val="center"/>
              <w:rPr>
                <w:rFonts w:ascii="Arial" w:hAnsi="Arial" w:cs="Arial"/>
                <w:iCs/>
                <w:sz w:val="20"/>
                <w:szCs w:val="20"/>
                <w:lang w:val="en-US"/>
              </w:rPr>
            </w:pPr>
            <w:r>
              <w:rPr>
                <w:rFonts w:ascii="Arial" w:hAnsi="Arial" w:cs="Arial"/>
                <w:iCs/>
                <w:sz w:val="20"/>
                <w:szCs w:val="20"/>
                <w:lang w:val="en-US"/>
              </w:rPr>
              <w:t>5-6</w:t>
            </w:r>
          </w:p>
        </w:tc>
      </w:tr>
      <w:tr w:rsidR="00EE474A" w:rsidRPr="003E534D" w:rsidTr="00EF4B76">
        <w:trPr>
          <w:cantSplit/>
          <w:trHeight w:val="400"/>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6b</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 xml:space="preserve">List (and define </w:t>
            </w:r>
            <w:r w:rsidRPr="00317BE2">
              <w:rPr>
                <w:rFonts w:ascii="Arial" w:hAnsi="Arial" w:cs="Arial"/>
                <w:sz w:val="20"/>
                <w:szCs w:val="20"/>
                <w:lang w:eastAsia="el-GR"/>
              </w:rPr>
              <w:t xml:space="preserve">whenever it is necessary) </w:t>
            </w:r>
            <w:r w:rsidRPr="00317BE2">
              <w:rPr>
                <w:rFonts w:ascii="Arial" w:hAnsi="Arial" w:cs="Arial"/>
                <w:sz w:val="20"/>
                <w:szCs w:val="20"/>
              </w:rPr>
              <w:t>the outcomes</w:t>
            </w:r>
            <w:r w:rsidRPr="00317BE2">
              <w:rPr>
                <w:rFonts w:ascii="Arial" w:hAnsi="Arial" w:cs="Arial"/>
                <w:sz w:val="20"/>
                <w:szCs w:val="20"/>
                <w:lang w:val="en-US"/>
              </w:rPr>
              <w:t xml:space="preserve"> for which data were </w:t>
            </w:r>
            <w:r w:rsidRPr="00317BE2">
              <w:rPr>
                <w:rFonts w:ascii="Arial" w:hAnsi="Arial" w:cs="Arial"/>
                <w:sz w:val="20"/>
                <w:szCs w:val="20"/>
              </w:rPr>
              <w:t>recorded, ideally include prioritization of main and additional outcomes.</w:t>
            </w:r>
          </w:p>
        </w:tc>
        <w:tc>
          <w:tcPr>
            <w:tcW w:w="1216" w:type="dxa"/>
            <w:tcBorders>
              <w:right w:val="single" w:sz="4" w:space="0" w:color="auto"/>
            </w:tcBorders>
            <w:vAlign w:val="center"/>
          </w:tcPr>
          <w:p w:rsidR="00EE474A" w:rsidRPr="00317BE2" w:rsidRDefault="00094A97" w:rsidP="00EF4B76">
            <w:pPr>
              <w:jc w:val="center"/>
              <w:rPr>
                <w:rFonts w:ascii="Arial" w:hAnsi="Arial" w:cs="Arial"/>
                <w:iCs/>
                <w:sz w:val="20"/>
                <w:szCs w:val="20"/>
                <w:lang w:val="en-US"/>
              </w:rPr>
            </w:pPr>
            <w:r>
              <w:rPr>
                <w:rFonts w:ascii="Arial" w:hAnsi="Arial" w:cs="Arial"/>
                <w:iCs/>
                <w:sz w:val="20"/>
                <w:szCs w:val="20"/>
                <w:lang w:val="en-US"/>
              </w:rPr>
              <w:t>5</w:t>
            </w:r>
          </w:p>
        </w:tc>
      </w:tr>
      <w:tr w:rsidR="00EE474A" w:rsidRPr="003E534D" w:rsidTr="00EF4B76">
        <w:trPr>
          <w:cantSplit/>
          <w:trHeight w:val="422"/>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6c</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 xml:space="preserve">Include adverse events as </w:t>
            </w:r>
            <w:r w:rsidRPr="00317BE2">
              <w:rPr>
                <w:rFonts w:ascii="Arial" w:hAnsi="Arial" w:cs="Arial"/>
                <w:sz w:val="20"/>
                <w:szCs w:val="20"/>
                <w:lang w:val="en-US"/>
              </w:rPr>
              <w:t xml:space="preserve">(primary or secondary) </w:t>
            </w:r>
            <w:r w:rsidRPr="00317BE2">
              <w:rPr>
                <w:rFonts w:ascii="Arial" w:hAnsi="Arial" w:cs="Arial"/>
                <w:sz w:val="20"/>
                <w:szCs w:val="20"/>
              </w:rPr>
              <w:t xml:space="preserve">outcome of interest. </w:t>
            </w:r>
            <w:r w:rsidRPr="00317BE2">
              <w:rPr>
                <w:rFonts w:ascii="Arial" w:hAnsi="Arial" w:cs="Arial"/>
                <w:sz w:val="20"/>
                <w:szCs w:val="20"/>
                <w:lang w:val="en-US"/>
              </w:rPr>
              <w:t xml:space="preserve">Define them and </w:t>
            </w:r>
            <w:r w:rsidRPr="00317BE2">
              <w:rPr>
                <w:rFonts w:ascii="Arial" w:hAnsi="Arial" w:cs="Arial"/>
                <w:sz w:val="20"/>
                <w:szCs w:val="20"/>
              </w:rPr>
              <w:t xml:space="preserve">grade their severity </w:t>
            </w:r>
            <w:r w:rsidRPr="00317BE2">
              <w:rPr>
                <w:rFonts w:ascii="Arial" w:hAnsi="Arial" w:cs="Arial"/>
                <w:sz w:val="20"/>
                <w:szCs w:val="20"/>
                <w:lang w:eastAsia="el-GR"/>
              </w:rPr>
              <w:t>(such as mild, moderate, severe, fatal; severity could also be described in the appendix)</w:t>
            </w:r>
            <w:r w:rsidRPr="00317BE2">
              <w:rPr>
                <w:rFonts w:ascii="Arial" w:hAnsi="Arial" w:cs="Arial"/>
                <w:sz w:val="20"/>
                <w:szCs w:val="20"/>
                <w:lang w:val="en-US"/>
              </w:rPr>
              <w:t>,</w:t>
            </w:r>
            <w:r w:rsidRPr="00317BE2">
              <w:rPr>
                <w:rFonts w:ascii="Arial" w:hAnsi="Arial" w:cs="Arial"/>
                <w:sz w:val="20"/>
                <w:szCs w:val="20"/>
              </w:rPr>
              <w:t xml:space="preserve"> if appropriate.</w:t>
            </w:r>
          </w:p>
        </w:tc>
        <w:tc>
          <w:tcPr>
            <w:tcW w:w="1216" w:type="dxa"/>
            <w:tcBorders>
              <w:right w:val="single" w:sz="4" w:space="0" w:color="auto"/>
            </w:tcBorders>
            <w:vAlign w:val="center"/>
          </w:tcPr>
          <w:p w:rsidR="00EE474A" w:rsidRPr="00317BE2" w:rsidRDefault="008B6FB5" w:rsidP="00EF4B76">
            <w:pPr>
              <w:jc w:val="center"/>
              <w:rPr>
                <w:rFonts w:ascii="Arial" w:hAnsi="Arial" w:cs="Arial"/>
                <w:iCs/>
                <w:sz w:val="20"/>
                <w:szCs w:val="20"/>
                <w:lang w:val="en-US"/>
              </w:rPr>
            </w:pPr>
            <w:r>
              <w:rPr>
                <w:rFonts w:ascii="Arial" w:hAnsi="Arial" w:cs="Arial"/>
                <w:iCs/>
                <w:sz w:val="20"/>
                <w:szCs w:val="20"/>
                <w:lang w:val="en-US"/>
              </w:rPr>
              <w:t>5</w:t>
            </w:r>
          </w:p>
        </w:tc>
      </w:tr>
      <w:tr w:rsidR="00EE474A" w:rsidRPr="003E534D" w:rsidTr="00EF4B76">
        <w:trPr>
          <w:cantSplit/>
          <w:trHeight w:val="650"/>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6d</w:t>
            </w:r>
            <w:r w:rsidRPr="00317BE2">
              <w:rPr>
                <w:rFonts w:ascii="Arial" w:hAnsi="Arial" w:cs="Arial"/>
                <w:b/>
                <w:color w:val="8496B0" w:themeColor="text2" w:themeTint="99"/>
                <w:sz w:val="20"/>
                <w:szCs w:val="20"/>
                <w:vertAlign w:val="superscript"/>
              </w:rPr>
              <w:t>b</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 xml:space="preserve">Specify report characteristics (such as language restrictions, publication status, and years considered) used as criteria for eligibility for the </w:t>
            </w:r>
            <w:r w:rsidRPr="00317BE2">
              <w:rPr>
                <w:rFonts w:ascii="Arial" w:hAnsi="Arial" w:cs="Arial"/>
                <w:sz w:val="20"/>
                <w:szCs w:val="20"/>
                <w:lang w:val="en-US"/>
              </w:rPr>
              <w:t>OoSRs (see also item 7).</w:t>
            </w:r>
          </w:p>
        </w:tc>
        <w:tc>
          <w:tcPr>
            <w:tcW w:w="1216" w:type="dxa"/>
            <w:tcBorders>
              <w:right w:val="single" w:sz="4" w:space="0" w:color="auto"/>
            </w:tcBorders>
            <w:vAlign w:val="center"/>
          </w:tcPr>
          <w:p w:rsidR="00EE474A" w:rsidRPr="00317BE2" w:rsidRDefault="008B6FB5" w:rsidP="00EF4B76">
            <w:pPr>
              <w:jc w:val="center"/>
              <w:rPr>
                <w:rFonts w:ascii="Arial" w:hAnsi="Arial" w:cs="Arial"/>
                <w:iCs/>
                <w:sz w:val="20"/>
                <w:szCs w:val="20"/>
                <w:lang w:val="en-US"/>
              </w:rPr>
            </w:pPr>
            <w:r>
              <w:rPr>
                <w:rFonts w:ascii="Arial" w:hAnsi="Arial" w:cs="Arial"/>
                <w:iCs/>
                <w:sz w:val="20"/>
                <w:szCs w:val="20"/>
                <w:lang w:val="en-US"/>
              </w:rPr>
              <w:t>4</w:t>
            </w:r>
          </w:p>
        </w:tc>
      </w:tr>
      <w:tr w:rsidR="00EE474A" w:rsidRPr="003E534D" w:rsidTr="00EF4B76">
        <w:trPr>
          <w:cantSplit/>
          <w:trHeight w:val="308"/>
        </w:trPr>
        <w:tc>
          <w:tcPr>
            <w:tcW w:w="2150" w:type="dxa"/>
            <w:vMerge w:val="restart"/>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lang w:val="en-US"/>
              </w:rPr>
              <w:t xml:space="preserve">7. </w:t>
            </w:r>
            <w:r w:rsidRPr="00317BE2">
              <w:rPr>
                <w:rFonts w:ascii="Arial" w:hAnsi="Arial" w:cs="Arial"/>
                <w:sz w:val="20"/>
                <w:szCs w:val="20"/>
              </w:rPr>
              <w:t xml:space="preserve">Information sources </w:t>
            </w:r>
          </w:p>
        </w:tc>
        <w:tc>
          <w:tcPr>
            <w:tcW w:w="935" w:type="dxa"/>
            <w:vAlign w:val="center"/>
            <w:hideMark/>
          </w:tcPr>
          <w:p w:rsidR="00EE474A" w:rsidRPr="00317BE2" w:rsidRDefault="00EE474A" w:rsidP="00EF4B76">
            <w:pPr>
              <w:pStyle w:val="Default"/>
              <w:spacing w:before="40" w:after="40"/>
              <w:rPr>
                <w:rFonts w:ascii="Arial" w:hAnsi="Arial" w:cs="Arial"/>
                <w:sz w:val="20"/>
                <w:szCs w:val="20"/>
                <w:lang w:val="en-US"/>
              </w:rPr>
            </w:pPr>
            <w:r w:rsidRPr="00317BE2">
              <w:rPr>
                <w:rFonts w:ascii="Arial" w:hAnsi="Arial" w:cs="Arial"/>
                <w:sz w:val="20"/>
                <w:szCs w:val="20"/>
                <w:lang w:val="el-GR"/>
              </w:rPr>
              <w:t>7</w:t>
            </w:r>
            <w:r w:rsidRPr="00317BE2">
              <w:rPr>
                <w:rFonts w:ascii="Arial" w:hAnsi="Arial" w:cs="Arial"/>
                <w:sz w:val="20"/>
                <w:szCs w:val="20"/>
                <w:lang w:val="en-US"/>
              </w:rPr>
              <w:t>a</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Search at least two electronic bases.</w:t>
            </w:r>
          </w:p>
        </w:tc>
        <w:tc>
          <w:tcPr>
            <w:tcW w:w="1216" w:type="dxa"/>
            <w:tcBorders>
              <w:right w:val="single" w:sz="4" w:space="0" w:color="auto"/>
            </w:tcBorders>
            <w:vAlign w:val="center"/>
          </w:tcPr>
          <w:p w:rsidR="00EE474A" w:rsidRPr="00317BE2" w:rsidRDefault="002041FC" w:rsidP="00EF4B76">
            <w:pPr>
              <w:jc w:val="center"/>
              <w:rPr>
                <w:rFonts w:ascii="Arial" w:hAnsi="Arial" w:cs="Arial"/>
                <w:iCs/>
                <w:sz w:val="20"/>
                <w:szCs w:val="20"/>
                <w:lang w:val="en-US"/>
              </w:rPr>
            </w:pPr>
            <w:r>
              <w:rPr>
                <w:rFonts w:ascii="Arial" w:hAnsi="Arial" w:cs="Arial"/>
                <w:iCs/>
                <w:sz w:val="20"/>
                <w:szCs w:val="20"/>
                <w:lang w:val="en-US"/>
              </w:rPr>
              <w:t>4</w:t>
            </w:r>
          </w:p>
        </w:tc>
      </w:tr>
      <w:tr w:rsidR="00EE474A" w:rsidRPr="003E534D" w:rsidTr="00EF4B76">
        <w:trPr>
          <w:cantSplit/>
          <w:trHeight w:val="411"/>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7b</w:t>
            </w:r>
          </w:p>
        </w:tc>
        <w:tc>
          <w:tcPr>
            <w:tcW w:w="6662" w:type="dxa"/>
            <w:gridSpan w:val="5"/>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 xml:space="preserve">Search supplementary sources (e.g. </w:t>
            </w:r>
            <w:r w:rsidRPr="00317BE2">
              <w:rPr>
                <w:rFonts w:ascii="Arial" w:hAnsi="Arial" w:cs="Arial"/>
                <w:sz w:val="20"/>
                <w:szCs w:val="20"/>
                <w:lang w:eastAsia="el-GR"/>
              </w:rPr>
              <w:t>hand-searching, reference lists, related reviews and guidelines, protocol registries</w:t>
            </w:r>
            <w:r w:rsidRPr="00317BE2">
              <w:rPr>
                <w:rFonts w:ascii="Arial" w:hAnsi="Arial" w:cs="Arial"/>
                <w:sz w:val="20"/>
                <w:szCs w:val="20"/>
              </w:rPr>
              <w:t>,</w:t>
            </w:r>
            <w:r w:rsidRPr="00317BE2">
              <w:rPr>
                <w:rFonts w:ascii="Arial" w:hAnsi="Arial" w:cs="Arial"/>
                <w:sz w:val="20"/>
                <w:szCs w:val="20"/>
                <w:lang w:eastAsia="el-GR"/>
              </w:rPr>
              <w:t xml:space="preserve"> conference abstracts, and other gray literature).</w:t>
            </w:r>
          </w:p>
        </w:tc>
        <w:tc>
          <w:tcPr>
            <w:tcW w:w="1216" w:type="dxa"/>
            <w:tcBorders>
              <w:right w:val="single" w:sz="4" w:space="0" w:color="auto"/>
            </w:tcBorders>
            <w:vAlign w:val="center"/>
          </w:tcPr>
          <w:p w:rsidR="00EE474A" w:rsidRPr="00317BE2" w:rsidRDefault="002041FC" w:rsidP="00EF4B76">
            <w:pPr>
              <w:jc w:val="center"/>
              <w:rPr>
                <w:rFonts w:ascii="Arial" w:hAnsi="Arial" w:cs="Arial"/>
                <w:iCs/>
                <w:sz w:val="20"/>
                <w:szCs w:val="20"/>
                <w:lang w:val="en-US"/>
              </w:rPr>
            </w:pPr>
            <w:r>
              <w:rPr>
                <w:rFonts w:ascii="Arial" w:hAnsi="Arial" w:cs="Arial"/>
                <w:iCs/>
                <w:sz w:val="20"/>
                <w:szCs w:val="20"/>
                <w:lang w:val="en-US"/>
              </w:rPr>
              <w:t>4</w:t>
            </w:r>
          </w:p>
        </w:tc>
      </w:tr>
      <w:tr w:rsidR="00EE474A" w:rsidRPr="003E534D" w:rsidTr="00EF4B76">
        <w:trPr>
          <w:cantSplit/>
          <w:trHeight w:val="281"/>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7c</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Report the date last searched and/or dates of coverage for each database.</w:t>
            </w:r>
          </w:p>
        </w:tc>
        <w:tc>
          <w:tcPr>
            <w:tcW w:w="1216" w:type="dxa"/>
            <w:tcBorders>
              <w:right w:val="single" w:sz="4" w:space="0" w:color="auto"/>
            </w:tcBorders>
            <w:vAlign w:val="center"/>
          </w:tcPr>
          <w:p w:rsidR="00EE474A" w:rsidRPr="00317BE2" w:rsidRDefault="002041FC" w:rsidP="00EF4B76">
            <w:pPr>
              <w:jc w:val="center"/>
              <w:rPr>
                <w:rFonts w:ascii="Arial" w:hAnsi="Arial" w:cs="Arial"/>
                <w:iCs/>
                <w:sz w:val="20"/>
                <w:szCs w:val="20"/>
                <w:lang w:val="en-US"/>
              </w:rPr>
            </w:pPr>
            <w:r>
              <w:rPr>
                <w:rFonts w:ascii="Arial" w:hAnsi="Arial" w:cs="Arial"/>
                <w:iCs/>
                <w:sz w:val="20"/>
                <w:szCs w:val="20"/>
                <w:lang w:val="en-US"/>
              </w:rPr>
              <w:t>4</w:t>
            </w:r>
          </w:p>
        </w:tc>
      </w:tr>
      <w:tr w:rsidR="00EE474A" w:rsidRPr="003E534D" w:rsidTr="00EF4B76">
        <w:trPr>
          <w:cantSplit/>
          <w:trHeight w:val="678"/>
        </w:trPr>
        <w:tc>
          <w:tcPr>
            <w:tcW w:w="2150" w:type="dxa"/>
            <w:vMerge w:val="restart"/>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8. Search strategy</w:t>
            </w:r>
            <w:r w:rsidRPr="00317BE2">
              <w:rPr>
                <w:rFonts w:ascii="Arial" w:hAnsi="Arial" w:cs="Arial"/>
                <w:b/>
                <w:color w:val="8496B0" w:themeColor="text2" w:themeTint="99"/>
                <w:sz w:val="20"/>
                <w:szCs w:val="20"/>
                <w:vertAlign w:val="superscript"/>
              </w:rPr>
              <w:t>c</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8a</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eastAsia="el-GR"/>
              </w:rPr>
              <w:t xml:space="preserve">Specify full electronic search strategy (algorithm) </w:t>
            </w:r>
            <w:r w:rsidRPr="00317BE2">
              <w:rPr>
                <w:rFonts w:ascii="Arial" w:hAnsi="Arial" w:cs="Arial"/>
                <w:sz w:val="20"/>
                <w:szCs w:val="20"/>
                <w:lang w:val="en-US"/>
              </w:rPr>
              <w:t>for at least one database</w:t>
            </w:r>
            <w:r w:rsidRPr="00317BE2">
              <w:rPr>
                <w:rFonts w:ascii="Arial" w:hAnsi="Arial" w:cs="Arial"/>
                <w:sz w:val="20"/>
                <w:szCs w:val="20"/>
                <w:lang w:val="en-US" w:eastAsia="el-GR"/>
              </w:rPr>
              <w:t xml:space="preserve"> including any limits used (e.g. language and date restrictions-</w:t>
            </w:r>
            <w:r w:rsidRPr="00317BE2">
              <w:rPr>
                <w:rFonts w:ascii="Arial" w:hAnsi="Arial" w:cs="Arial"/>
                <w:color w:val="000000"/>
                <w:sz w:val="20"/>
                <w:szCs w:val="20"/>
                <w:lang w:val="en-US"/>
              </w:rPr>
              <w:t>see also subitems 6d and 7c</w:t>
            </w:r>
            <w:r w:rsidRPr="00317BE2">
              <w:rPr>
                <w:rFonts w:ascii="Arial" w:hAnsi="Arial" w:cs="Arial"/>
                <w:sz w:val="20"/>
                <w:szCs w:val="20"/>
                <w:lang w:val="en-US" w:eastAsia="el-GR"/>
              </w:rPr>
              <w:t>) such that it could be repeated.</w:t>
            </w:r>
          </w:p>
        </w:tc>
        <w:tc>
          <w:tcPr>
            <w:tcW w:w="1216" w:type="dxa"/>
            <w:tcBorders>
              <w:right w:val="single" w:sz="4" w:space="0" w:color="auto"/>
            </w:tcBorders>
            <w:vAlign w:val="center"/>
          </w:tcPr>
          <w:p w:rsidR="00EE474A" w:rsidRPr="00317BE2" w:rsidRDefault="002041FC" w:rsidP="00EF4B76">
            <w:pPr>
              <w:jc w:val="center"/>
              <w:rPr>
                <w:rFonts w:ascii="Arial" w:hAnsi="Arial" w:cs="Arial"/>
                <w:iCs/>
                <w:sz w:val="20"/>
                <w:szCs w:val="20"/>
                <w:lang w:val="en-US"/>
              </w:rPr>
            </w:pPr>
            <w:r>
              <w:rPr>
                <w:rFonts w:ascii="Arial" w:hAnsi="Arial" w:cs="Arial"/>
                <w:iCs/>
                <w:sz w:val="20"/>
                <w:szCs w:val="20"/>
                <w:lang w:val="en-US"/>
              </w:rPr>
              <w:t>Appendix 2</w:t>
            </w:r>
          </w:p>
        </w:tc>
      </w:tr>
      <w:tr w:rsidR="00EE474A" w:rsidRPr="002C0595" w:rsidTr="00EF4B76">
        <w:trPr>
          <w:cantSplit/>
          <w:trHeight w:val="401"/>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lang w:val="en-US"/>
              </w:rPr>
            </w:pPr>
            <w:r w:rsidRPr="00317BE2">
              <w:rPr>
                <w:rFonts w:ascii="Arial" w:hAnsi="Arial" w:cs="Arial"/>
                <w:sz w:val="20"/>
                <w:szCs w:val="20"/>
              </w:rPr>
              <w:t>8</w:t>
            </w:r>
            <w:r w:rsidRPr="00317BE2">
              <w:rPr>
                <w:rFonts w:ascii="Arial" w:hAnsi="Arial" w:cs="Arial"/>
                <w:sz w:val="20"/>
                <w:szCs w:val="20"/>
                <w:lang w:val="en-US"/>
              </w:rPr>
              <w:t>b</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color w:val="000000"/>
                <w:kern w:val="1"/>
                <w:sz w:val="20"/>
                <w:szCs w:val="20"/>
                <w:lang w:val="en-US"/>
              </w:rPr>
              <w:t>Present any additional search process (e.g. algorithm or filter for adverse events, searches in pertinent websites) specifically to identify adverse events that have been investigated.</w:t>
            </w:r>
          </w:p>
        </w:tc>
        <w:tc>
          <w:tcPr>
            <w:tcW w:w="1216" w:type="dxa"/>
            <w:tcBorders>
              <w:right w:val="single" w:sz="4" w:space="0" w:color="auto"/>
            </w:tcBorders>
            <w:vAlign w:val="center"/>
          </w:tcPr>
          <w:p w:rsidR="00EE474A" w:rsidRPr="00317BE2" w:rsidRDefault="00B776B9" w:rsidP="00EF4B76">
            <w:pPr>
              <w:jc w:val="center"/>
              <w:rPr>
                <w:rFonts w:ascii="Arial" w:hAnsi="Arial" w:cs="Arial"/>
                <w:iCs/>
                <w:sz w:val="20"/>
                <w:szCs w:val="20"/>
                <w:lang w:val="en-US"/>
              </w:rPr>
            </w:pPr>
            <w:r>
              <w:rPr>
                <w:rFonts w:ascii="Arial" w:hAnsi="Arial" w:cs="Arial"/>
                <w:iCs/>
                <w:sz w:val="20"/>
                <w:szCs w:val="20"/>
                <w:lang w:val="en-US"/>
              </w:rPr>
              <w:t>4</w:t>
            </w:r>
          </w:p>
        </w:tc>
      </w:tr>
      <w:tr w:rsidR="00EE474A" w:rsidRPr="003E534D" w:rsidTr="00EF4B76">
        <w:trPr>
          <w:cantSplit/>
          <w:trHeight w:val="367"/>
        </w:trPr>
        <w:tc>
          <w:tcPr>
            <w:tcW w:w="2150" w:type="dxa"/>
            <w:vMerge w:val="restart"/>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9. Data management &amp; selection process</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9a</w:t>
            </w:r>
            <w:r w:rsidRPr="00317BE2">
              <w:rPr>
                <w:rFonts w:ascii="Arial" w:hAnsi="Arial" w:cs="Arial"/>
                <w:b/>
                <w:color w:val="8496B0" w:themeColor="text2" w:themeTint="99"/>
                <w:sz w:val="20"/>
                <w:szCs w:val="20"/>
                <w:vertAlign w:val="superscript"/>
              </w:rPr>
              <w:t>d</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rPr>
              <w:t>Describe the software that was used to manage records and data throughout the OoSRs.</w:t>
            </w:r>
          </w:p>
        </w:tc>
        <w:tc>
          <w:tcPr>
            <w:tcW w:w="1216" w:type="dxa"/>
            <w:tcBorders>
              <w:right w:val="single" w:sz="4" w:space="0" w:color="auto"/>
            </w:tcBorders>
            <w:vAlign w:val="center"/>
          </w:tcPr>
          <w:p w:rsidR="00EE474A" w:rsidRPr="00317BE2" w:rsidRDefault="00B776B9" w:rsidP="00EF4B76">
            <w:pPr>
              <w:jc w:val="center"/>
              <w:rPr>
                <w:rFonts w:ascii="Arial" w:hAnsi="Arial" w:cs="Arial"/>
                <w:iCs/>
                <w:sz w:val="20"/>
                <w:szCs w:val="20"/>
                <w:lang w:val="en-US"/>
              </w:rPr>
            </w:pPr>
            <w:r>
              <w:rPr>
                <w:rFonts w:ascii="Arial" w:hAnsi="Arial" w:cs="Arial"/>
                <w:iCs/>
                <w:sz w:val="20"/>
                <w:szCs w:val="20"/>
                <w:lang w:val="en-US"/>
              </w:rPr>
              <w:t>6</w:t>
            </w:r>
          </w:p>
        </w:tc>
      </w:tr>
      <w:tr w:rsidR="00EE474A" w:rsidRPr="003E534D" w:rsidTr="00EF4B76">
        <w:trPr>
          <w:cantSplit/>
          <w:trHeight w:val="625"/>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9b</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rPr>
              <w:t>Define what is a SR and</w:t>
            </w:r>
            <w:r w:rsidRPr="00317BE2">
              <w:rPr>
                <w:rFonts w:ascii="Arial" w:hAnsi="Arial" w:cs="Arial"/>
                <w:sz w:val="20"/>
                <w:szCs w:val="20"/>
                <w:lang w:val="en-US" w:eastAsia="el-GR"/>
              </w:rPr>
              <w:t xml:space="preserve"> provide the process for selecting SRs and its relevant details (</w:t>
            </w:r>
            <w:r w:rsidRPr="00317BE2">
              <w:rPr>
                <w:rFonts w:ascii="Arial" w:hAnsi="Arial" w:cs="Arial"/>
                <w:sz w:val="20"/>
                <w:szCs w:val="20"/>
                <w:lang w:val="en-US"/>
              </w:rPr>
              <w:t>screening the title and abstract or full text by at least two reviewers, selection by multiple independent investigators and resolving disagreements by consensus).</w:t>
            </w:r>
          </w:p>
        </w:tc>
        <w:tc>
          <w:tcPr>
            <w:tcW w:w="1216" w:type="dxa"/>
            <w:tcBorders>
              <w:right w:val="single" w:sz="4" w:space="0" w:color="auto"/>
            </w:tcBorders>
            <w:vAlign w:val="center"/>
          </w:tcPr>
          <w:p w:rsidR="00EE474A" w:rsidRPr="00317BE2" w:rsidRDefault="00B776B9" w:rsidP="00EF4B76">
            <w:pPr>
              <w:jc w:val="center"/>
              <w:rPr>
                <w:rFonts w:ascii="Arial" w:hAnsi="Arial" w:cs="Arial"/>
                <w:iCs/>
                <w:sz w:val="20"/>
                <w:szCs w:val="20"/>
                <w:lang w:val="en-US"/>
              </w:rPr>
            </w:pPr>
            <w:r>
              <w:rPr>
                <w:rFonts w:ascii="Arial" w:hAnsi="Arial" w:cs="Arial"/>
                <w:iCs/>
                <w:sz w:val="20"/>
                <w:szCs w:val="20"/>
                <w:lang w:val="en-US"/>
              </w:rPr>
              <w:t>6</w:t>
            </w:r>
          </w:p>
        </w:tc>
      </w:tr>
      <w:tr w:rsidR="00EE474A" w:rsidRPr="003E534D" w:rsidTr="00EF4B76">
        <w:trPr>
          <w:cantSplit/>
          <w:trHeight w:val="540"/>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9c</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color w:val="000000"/>
                <w:kern w:val="1"/>
                <w:sz w:val="20"/>
                <w:szCs w:val="20"/>
                <w:lang w:val="en-US"/>
              </w:rPr>
              <w:t>Report any attempt to handle overlapping (include one review among multiple potential candidates by choosing for example the most updated SR, the most methodologically rigorous SR or the SR with larger number of primary studies).</w:t>
            </w:r>
          </w:p>
        </w:tc>
        <w:tc>
          <w:tcPr>
            <w:tcW w:w="1216" w:type="dxa"/>
            <w:tcBorders>
              <w:right w:val="single" w:sz="4" w:space="0" w:color="auto"/>
            </w:tcBorders>
            <w:vAlign w:val="center"/>
          </w:tcPr>
          <w:p w:rsidR="00EE474A" w:rsidRPr="00317BE2" w:rsidRDefault="002A6B96" w:rsidP="00EF4B76">
            <w:pPr>
              <w:jc w:val="center"/>
              <w:rPr>
                <w:rFonts w:ascii="Arial" w:hAnsi="Arial" w:cs="Arial"/>
                <w:iCs/>
                <w:sz w:val="20"/>
                <w:szCs w:val="20"/>
                <w:lang w:val="en-US"/>
              </w:rPr>
            </w:pPr>
            <w:r>
              <w:rPr>
                <w:rFonts w:ascii="Arial" w:hAnsi="Arial" w:cs="Arial"/>
                <w:iCs/>
                <w:sz w:val="20"/>
                <w:szCs w:val="20"/>
                <w:lang w:val="en-US"/>
              </w:rPr>
              <w:t>7</w:t>
            </w:r>
          </w:p>
        </w:tc>
      </w:tr>
      <w:tr w:rsidR="00EE474A" w:rsidRPr="003E534D" w:rsidTr="00EF4B76">
        <w:trPr>
          <w:cantSplit/>
          <w:trHeight w:val="534"/>
        </w:trPr>
        <w:tc>
          <w:tcPr>
            <w:tcW w:w="2150" w:type="dxa"/>
            <w:tcBorders>
              <w:left w:val="single" w:sz="4" w:space="0" w:color="auto"/>
            </w:tcBorders>
            <w:vAlign w:val="center"/>
            <w:hideMark/>
          </w:tcPr>
          <w:p w:rsidR="00EE474A" w:rsidRPr="00317BE2" w:rsidRDefault="00EE474A" w:rsidP="00EF4B76">
            <w:pPr>
              <w:autoSpaceDE w:val="0"/>
              <w:autoSpaceDN w:val="0"/>
              <w:adjustRightInd w:val="0"/>
              <w:rPr>
                <w:rFonts w:ascii="Arial" w:eastAsia="Times New Roman" w:hAnsi="Arial" w:cs="Arial"/>
                <w:sz w:val="20"/>
                <w:szCs w:val="20"/>
                <w:lang w:val="en-US" w:eastAsia="el-GR"/>
              </w:rPr>
            </w:pPr>
            <w:r w:rsidRPr="00317BE2">
              <w:rPr>
                <w:rFonts w:ascii="Arial" w:hAnsi="Arial" w:cs="Arial"/>
                <w:sz w:val="20"/>
                <w:szCs w:val="20"/>
                <w:lang w:val="en-US" w:eastAsia="el-GR"/>
              </w:rPr>
              <w:t xml:space="preserve">10. </w:t>
            </w:r>
            <w:r w:rsidRPr="00317BE2">
              <w:rPr>
                <w:rFonts w:ascii="Arial" w:eastAsia="Times New Roman" w:hAnsi="Arial" w:cs="Arial"/>
                <w:sz w:val="20"/>
                <w:szCs w:val="20"/>
                <w:lang w:val="en-US" w:eastAsia="el-GR"/>
              </w:rPr>
              <w:t>Additional search for</w:t>
            </w:r>
            <w:r w:rsidRPr="00317BE2">
              <w:rPr>
                <w:rFonts w:ascii="Arial" w:hAnsi="Arial" w:cs="Arial"/>
                <w:sz w:val="20"/>
                <w:szCs w:val="20"/>
                <w:lang w:val="en-US" w:eastAsia="el-GR"/>
              </w:rPr>
              <w:t xml:space="preserve"> </w:t>
            </w:r>
            <w:r w:rsidRPr="00317BE2">
              <w:rPr>
                <w:rFonts w:ascii="Arial" w:eastAsia="Times New Roman" w:hAnsi="Arial" w:cs="Arial"/>
                <w:sz w:val="20"/>
                <w:szCs w:val="20"/>
                <w:lang w:val="en-US" w:eastAsia="el-GR"/>
              </w:rPr>
              <w:t>primary studies</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10</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Report additional search to identify eligible primary studies (e.g. searching in more databases or update the search) and its relevant details.</w:t>
            </w:r>
          </w:p>
        </w:tc>
        <w:tc>
          <w:tcPr>
            <w:tcW w:w="1216" w:type="dxa"/>
            <w:tcBorders>
              <w:right w:val="single" w:sz="4" w:space="0" w:color="auto"/>
            </w:tcBorders>
            <w:vAlign w:val="center"/>
          </w:tcPr>
          <w:p w:rsidR="00EE474A" w:rsidRPr="00317BE2" w:rsidRDefault="002A6B96" w:rsidP="00EF4B76">
            <w:pPr>
              <w:jc w:val="center"/>
              <w:rPr>
                <w:rFonts w:ascii="Arial" w:hAnsi="Arial" w:cs="Arial"/>
                <w:iCs/>
                <w:sz w:val="20"/>
                <w:szCs w:val="20"/>
                <w:lang w:val="en-US"/>
              </w:rPr>
            </w:pPr>
            <w:r>
              <w:rPr>
                <w:rFonts w:ascii="Arial" w:hAnsi="Arial" w:cs="Arial"/>
                <w:iCs/>
                <w:sz w:val="20"/>
                <w:szCs w:val="20"/>
                <w:lang w:val="en-US"/>
              </w:rPr>
              <w:t>4</w:t>
            </w:r>
          </w:p>
        </w:tc>
      </w:tr>
      <w:tr w:rsidR="00EE474A" w:rsidRPr="003E534D" w:rsidTr="00EF4B76">
        <w:trPr>
          <w:cantSplit/>
          <w:trHeight w:val="410"/>
        </w:trPr>
        <w:tc>
          <w:tcPr>
            <w:tcW w:w="2150" w:type="dxa"/>
            <w:vMerge w:val="restart"/>
            <w:tcBorders>
              <w:left w:val="single" w:sz="4" w:space="0" w:color="auto"/>
            </w:tcBorders>
            <w:vAlign w:val="center"/>
            <w:hideMark/>
          </w:tcPr>
          <w:p w:rsidR="00EE474A" w:rsidRPr="00317BE2" w:rsidRDefault="00EE474A" w:rsidP="00EF4B76">
            <w:pPr>
              <w:autoSpaceDE w:val="0"/>
              <w:autoSpaceDN w:val="0"/>
              <w:adjustRightInd w:val="0"/>
              <w:rPr>
                <w:rFonts w:ascii="Arial" w:hAnsi="Arial" w:cs="Arial"/>
                <w:sz w:val="20"/>
                <w:szCs w:val="20"/>
              </w:rPr>
            </w:pPr>
            <w:r w:rsidRPr="00317BE2">
              <w:rPr>
                <w:rFonts w:ascii="Arial" w:hAnsi="Arial" w:cs="Arial"/>
                <w:sz w:val="20"/>
                <w:szCs w:val="20"/>
                <w:lang w:eastAsia="el-GR"/>
              </w:rPr>
              <w:t xml:space="preserve">11. </w:t>
            </w:r>
            <w:r w:rsidRPr="00317BE2">
              <w:rPr>
                <w:rFonts w:ascii="Arial" w:hAnsi="Arial" w:cs="Arial"/>
                <w:sz w:val="20"/>
                <w:szCs w:val="20"/>
              </w:rPr>
              <w:t>Data collection process</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11a</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 xml:space="preserve">Describe the method </w:t>
            </w:r>
            <w:r w:rsidRPr="00317BE2">
              <w:rPr>
                <w:rFonts w:ascii="Arial" w:hAnsi="Arial" w:cs="Arial"/>
                <w:sz w:val="20"/>
                <w:szCs w:val="20"/>
                <w:lang w:eastAsia="el-GR"/>
              </w:rPr>
              <w:t xml:space="preserve">of data extraction from included SRs </w:t>
            </w:r>
            <w:r w:rsidRPr="00317BE2">
              <w:rPr>
                <w:rFonts w:ascii="Arial" w:hAnsi="Arial" w:cs="Arial"/>
                <w:sz w:val="20"/>
                <w:szCs w:val="20"/>
              </w:rPr>
              <w:t>(e.g. data collection form, extraction in duplicate and independently, resolving disagreements by consensus).</w:t>
            </w:r>
          </w:p>
        </w:tc>
        <w:tc>
          <w:tcPr>
            <w:tcW w:w="1216" w:type="dxa"/>
            <w:tcBorders>
              <w:right w:val="single" w:sz="4" w:space="0" w:color="auto"/>
            </w:tcBorders>
            <w:vAlign w:val="center"/>
          </w:tcPr>
          <w:p w:rsidR="00EE474A" w:rsidRPr="00317BE2" w:rsidRDefault="002A6B96" w:rsidP="003074B2">
            <w:pPr>
              <w:jc w:val="center"/>
              <w:rPr>
                <w:rFonts w:ascii="Arial" w:hAnsi="Arial" w:cs="Arial"/>
                <w:iCs/>
                <w:sz w:val="20"/>
                <w:szCs w:val="20"/>
                <w:lang w:val="en-US"/>
              </w:rPr>
            </w:pPr>
            <w:r>
              <w:rPr>
                <w:rFonts w:ascii="Arial" w:hAnsi="Arial" w:cs="Arial"/>
                <w:iCs/>
                <w:sz w:val="20"/>
                <w:szCs w:val="20"/>
                <w:lang w:val="en-US"/>
              </w:rPr>
              <w:t>6</w:t>
            </w:r>
          </w:p>
        </w:tc>
      </w:tr>
      <w:tr w:rsidR="00EE474A" w:rsidRPr="00387818" w:rsidTr="00EF4B76">
        <w:trPr>
          <w:cantSplit/>
          <w:trHeight w:val="547"/>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11b</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Report any processes for obtaining, confirming or updating data from investigators (e</w:t>
            </w:r>
            <w:r w:rsidRPr="00317BE2">
              <w:rPr>
                <w:rFonts w:ascii="Arial" w:hAnsi="Arial" w:cs="Arial"/>
                <w:sz w:val="20"/>
                <w:szCs w:val="20"/>
                <w:lang w:val="en-US"/>
              </w:rPr>
              <w:t>.</w:t>
            </w:r>
            <w:r w:rsidRPr="00317BE2">
              <w:rPr>
                <w:rFonts w:ascii="Arial" w:hAnsi="Arial" w:cs="Arial"/>
                <w:sz w:val="20"/>
                <w:szCs w:val="20"/>
              </w:rPr>
              <w:t xml:space="preserve">g. contact with authors </w:t>
            </w:r>
            <w:r w:rsidRPr="00317BE2">
              <w:rPr>
                <w:rFonts w:ascii="Arial" w:hAnsi="Arial" w:cs="Arial"/>
                <w:sz w:val="20"/>
                <w:szCs w:val="20"/>
                <w:lang w:eastAsia="el-GR"/>
              </w:rPr>
              <w:t>of included reviews, obtain data from primary studies of included reviews).</w:t>
            </w:r>
          </w:p>
        </w:tc>
        <w:tc>
          <w:tcPr>
            <w:tcW w:w="1216" w:type="dxa"/>
            <w:tcBorders>
              <w:right w:val="single" w:sz="4" w:space="0" w:color="auto"/>
            </w:tcBorders>
            <w:vAlign w:val="center"/>
          </w:tcPr>
          <w:p w:rsidR="00EE474A" w:rsidRPr="00317BE2" w:rsidRDefault="00EE474A" w:rsidP="00EF4B76">
            <w:pPr>
              <w:jc w:val="center"/>
              <w:rPr>
                <w:rFonts w:ascii="Arial" w:hAnsi="Arial" w:cs="Arial"/>
                <w:iCs/>
                <w:sz w:val="20"/>
                <w:szCs w:val="20"/>
                <w:lang w:val="en-US"/>
              </w:rPr>
            </w:pPr>
          </w:p>
        </w:tc>
      </w:tr>
      <w:tr w:rsidR="00EE474A" w:rsidRPr="003E534D" w:rsidTr="00EF4B76">
        <w:trPr>
          <w:cantSplit/>
          <w:trHeight w:val="633"/>
        </w:trPr>
        <w:tc>
          <w:tcPr>
            <w:tcW w:w="2150" w:type="dxa"/>
            <w:tcBorders>
              <w:left w:val="single" w:sz="4" w:space="0" w:color="auto"/>
            </w:tcBorders>
            <w:vAlign w:val="center"/>
            <w:hideMark/>
          </w:tcPr>
          <w:p w:rsidR="00EE474A" w:rsidRPr="00317BE2" w:rsidRDefault="00EE474A" w:rsidP="00EF4B76">
            <w:pPr>
              <w:pStyle w:val="Default"/>
              <w:rPr>
                <w:rFonts w:ascii="Arial" w:hAnsi="Arial" w:cs="Arial"/>
                <w:sz w:val="20"/>
                <w:szCs w:val="20"/>
              </w:rPr>
            </w:pPr>
            <w:r w:rsidRPr="00317BE2">
              <w:rPr>
                <w:rFonts w:ascii="Arial" w:hAnsi="Arial" w:cs="Arial"/>
                <w:sz w:val="20"/>
                <w:szCs w:val="20"/>
              </w:rPr>
              <w:t>12. Data items</w:t>
            </w:r>
          </w:p>
        </w:tc>
        <w:tc>
          <w:tcPr>
            <w:tcW w:w="935" w:type="dxa"/>
            <w:vAlign w:val="center"/>
            <w:hideMark/>
          </w:tcPr>
          <w:p w:rsidR="00EE474A" w:rsidRPr="00317BE2" w:rsidRDefault="00EE474A" w:rsidP="00EF4B76">
            <w:pPr>
              <w:pStyle w:val="Default"/>
              <w:rPr>
                <w:rFonts w:ascii="Arial" w:hAnsi="Arial" w:cs="Arial"/>
                <w:sz w:val="20"/>
                <w:szCs w:val="20"/>
              </w:rPr>
            </w:pPr>
            <w:r w:rsidRPr="00317BE2">
              <w:rPr>
                <w:rFonts w:ascii="Arial" w:hAnsi="Arial" w:cs="Arial"/>
                <w:sz w:val="20"/>
                <w:szCs w:val="20"/>
              </w:rPr>
              <w:t>12</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rPr>
            </w:pPr>
            <w:r w:rsidRPr="00317BE2">
              <w:rPr>
                <w:rFonts w:ascii="Arial" w:eastAsia="Times New Roman" w:hAnsi="Arial" w:cs="Arial"/>
                <w:sz w:val="20"/>
                <w:szCs w:val="20"/>
                <w:lang w:val="en-US" w:eastAsia="el-GR"/>
              </w:rPr>
              <w:t xml:space="preserve">List (and define whenever is necessary) the specific </w:t>
            </w:r>
            <w:r w:rsidRPr="00317BE2">
              <w:rPr>
                <w:rFonts w:ascii="Arial" w:hAnsi="Arial" w:cs="Arial"/>
                <w:sz w:val="20"/>
                <w:szCs w:val="20"/>
                <w:lang w:val="en-US" w:eastAsia="el-GR"/>
              </w:rPr>
              <w:t>variables</w:t>
            </w:r>
            <w:r w:rsidRPr="00317BE2">
              <w:rPr>
                <w:rFonts w:ascii="Arial" w:eastAsia="Times New Roman" w:hAnsi="Arial" w:cs="Arial"/>
                <w:sz w:val="20"/>
                <w:szCs w:val="20"/>
                <w:lang w:val="en-US" w:eastAsia="el-GR"/>
              </w:rPr>
              <w:t xml:space="preserve"> </w:t>
            </w:r>
            <w:r w:rsidRPr="00317BE2">
              <w:rPr>
                <w:rFonts w:ascii="Arial" w:hAnsi="Arial" w:cs="Arial"/>
                <w:sz w:val="20"/>
                <w:szCs w:val="20"/>
                <w:lang w:val="en-US"/>
              </w:rPr>
              <w:t>for which data were recorded</w:t>
            </w:r>
            <w:r w:rsidRPr="00317BE2">
              <w:rPr>
                <w:rFonts w:ascii="Arial" w:hAnsi="Arial" w:cs="Arial"/>
                <w:i/>
                <w:sz w:val="20"/>
                <w:szCs w:val="20"/>
                <w:lang w:val="en-US"/>
              </w:rPr>
              <w:t xml:space="preserve"> </w:t>
            </w:r>
            <w:r w:rsidRPr="00317BE2">
              <w:rPr>
                <w:rFonts w:ascii="Arial" w:eastAsia="Times New Roman" w:hAnsi="Arial" w:cs="Arial"/>
                <w:sz w:val="20"/>
                <w:szCs w:val="20"/>
                <w:lang w:val="en-US" w:eastAsia="el-GR"/>
              </w:rPr>
              <w:t xml:space="preserve">(e.g. PICOS items, </w:t>
            </w:r>
            <w:r w:rsidRPr="00317BE2">
              <w:rPr>
                <w:rFonts w:ascii="Arial" w:eastAsia="Times New Roman" w:hAnsi="Arial" w:cs="Arial"/>
                <w:sz w:val="20"/>
                <w:szCs w:val="20"/>
                <w:lang w:val="en-US"/>
              </w:rPr>
              <w:t>number of included studies and participants, dose, length of follow up</w:t>
            </w:r>
            <w:r w:rsidRPr="00317BE2">
              <w:rPr>
                <w:rFonts w:ascii="Arial" w:eastAsia="Times New Roman" w:hAnsi="Arial" w:cs="Arial"/>
                <w:sz w:val="20"/>
                <w:szCs w:val="20"/>
                <w:lang w:val="en-US" w:eastAsia="el-GR"/>
              </w:rPr>
              <w:t>, results, funding sources)</w:t>
            </w:r>
            <w:r w:rsidRPr="00317BE2">
              <w:rPr>
                <w:rFonts w:ascii="Arial" w:eastAsia="Times New Roman" w:hAnsi="Arial" w:cs="Arial"/>
                <w:sz w:val="20"/>
                <w:szCs w:val="20"/>
                <w:lang w:val="en-US"/>
              </w:rPr>
              <w:t xml:space="preserve"> and any </w:t>
            </w:r>
            <w:r w:rsidRPr="00317BE2">
              <w:rPr>
                <w:rFonts w:ascii="Arial" w:hAnsi="Arial" w:cs="Arial"/>
                <w:sz w:val="20"/>
                <w:szCs w:val="20"/>
                <w:lang w:val="en-US"/>
              </w:rPr>
              <w:t xml:space="preserve">data </w:t>
            </w:r>
            <w:r w:rsidRPr="00317BE2">
              <w:rPr>
                <w:rFonts w:ascii="Arial" w:eastAsia="Times New Roman" w:hAnsi="Arial" w:cs="Arial"/>
                <w:sz w:val="20"/>
                <w:szCs w:val="20"/>
                <w:lang w:val="en-US"/>
              </w:rPr>
              <w:t>assumptions and simplifications made.</w:t>
            </w:r>
          </w:p>
        </w:tc>
        <w:tc>
          <w:tcPr>
            <w:tcW w:w="1216" w:type="dxa"/>
            <w:tcBorders>
              <w:right w:val="single" w:sz="4" w:space="0" w:color="auto"/>
            </w:tcBorders>
            <w:vAlign w:val="center"/>
          </w:tcPr>
          <w:p w:rsidR="00EE474A" w:rsidRPr="00317BE2" w:rsidRDefault="002757D9" w:rsidP="00EF4B76">
            <w:pPr>
              <w:jc w:val="center"/>
              <w:rPr>
                <w:rFonts w:ascii="Arial" w:hAnsi="Arial" w:cs="Arial"/>
                <w:iCs/>
                <w:sz w:val="20"/>
                <w:szCs w:val="20"/>
                <w:lang w:val="en-US"/>
              </w:rPr>
            </w:pPr>
            <w:r>
              <w:rPr>
                <w:rFonts w:ascii="Arial" w:hAnsi="Arial" w:cs="Arial"/>
                <w:iCs/>
                <w:sz w:val="20"/>
                <w:szCs w:val="20"/>
                <w:lang w:val="en-US"/>
              </w:rPr>
              <w:t>P</w:t>
            </w:r>
            <w:r w:rsidR="00EE474A">
              <w:rPr>
                <w:rFonts w:ascii="Arial" w:hAnsi="Arial" w:cs="Arial"/>
                <w:iCs/>
                <w:sz w:val="20"/>
                <w:szCs w:val="20"/>
                <w:lang w:val="en-US"/>
              </w:rPr>
              <w:t>rotocol</w:t>
            </w:r>
          </w:p>
        </w:tc>
      </w:tr>
      <w:tr w:rsidR="00EE474A" w:rsidRPr="003E534D" w:rsidTr="00EF4B76">
        <w:trPr>
          <w:cantSplit/>
          <w:trHeight w:val="538"/>
        </w:trPr>
        <w:tc>
          <w:tcPr>
            <w:tcW w:w="2150" w:type="dxa"/>
            <w:vMerge w:val="restart"/>
            <w:tcBorders>
              <w:left w:val="single" w:sz="4" w:space="0" w:color="auto"/>
            </w:tcBorders>
            <w:vAlign w:val="center"/>
            <w:hideMark/>
          </w:tcPr>
          <w:p w:rsidR="00EE474A" w:rsidRPr="00317BE2" w:rsidRDefault="00EE474A" w:rsidP="00EF4B76">
            <w:pPr>
              <w:pStyle w:val="Default"/>
              <w:spacing w:before="40" w:after="40"/>
              <w:ind w:left="326" w:hanging="326"/>
              <w:rPr>
                <w:rFonts w:ascii="Arial" w:hAnsi="Arial" w:cs="Arial"/>
                <w:sz w:val="20"/>
                <w:szCs w:val="20"/>
                <w:lang w:val="en-US"/>
              </w:rPr>
            </w:pPr>
            <w:r w:rsidRPr="00317BE2">
              <w:rPr>
                <w:rFonts w:ascii="Arial" w:hAnsi="Arial" w:cs="Arial"/>
                <w:sz w:val="20"/>
                <w:szCs w:val="20"/>
                <w:lang w:eastAsia="el-GR"/>
              </w:rPr>
              <w:t>13. Assessment of methodological quality &amp; quality of evidence</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13a</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lang w:val="en-US"/>
              </w:rPr>
            </w:pPr>
            <w:r w:rsidRPr="00317BE2">
              <w:rPr>
                <w:rFonts w:ascii="Arial" w:hAnsi="Arial" w:cs="Arial"/>
                <w:sz w:val="20"/>
                <w:szCs w:val="20"/>
                <w:lang w:eastAsia="el-GR"/>
              </w:rPr>
              <w:t>State the evaluation of reporting or/and methodological quality (eg. using PRISMA or PRISMA-harms, AMSTAR or R-AMSTAR) of the included reviews.</w:t>
            </w:r>
          </w:p>
        </w:tc>
        <w:tc>
          <w:tcPr>
            <w:tcW w:w="1216" w:type="dxa"/>
            <w:tcBorders>
              <w:right w:val="single" w:sz="4" w:space="0" w:color="auto"/>
            </w:tcBorders>
            <w:vAlign w:val="center"/>
          </w:tcPr>
          <w:p w:rsidR="00EE474A" w:rsidRPr="00317BE2" w:rsidRDefault="00F72AB4" w:rsidP="00EF4B76">
            <w:pPr>
              <w:jc w:val="center"/>
              <w:rPr>
                <w:rFonts w:ascii="Arial" w:hAnsi="Arial" w:cs="Arial"/>
                <w:iCs/>
                <w:sz w:val="20"/>
                <w:szCs w:val="20"/>
                <w:lang w:val="en-US"/>
              </w:rPr>
            </w:pPr>
            <w:r>
              <w:rPr>
                <w:rFonts w:ascii="Arial" w:hAnsi="Arial" w:cs="Arial"/>
                <w:iCs/>
                <w:sz w:val="20"/>
                <w:szCs w:val="20"/>
                <w:lang w:val="en-US"/>
              </w:rPr>
              <w:t>7</w:t>
            </w:r>
          </w:p>
        </w:tc>
      </w:tr>
      <w:tr w:rsidR="00EE474A" w:rsidRPr="003E534D" w:rsidTr="00EF4B76">
        <w:trPr>
          <w:cantSplit/>
          <w:trHeight w:val="545"/>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13b</w:t>
            </w:r>
            <w:r w:rsidRPr="00317BE2">
              <w:rPr>
                <w:rFonts w:ascii="Arial" w:hAnsi="Arial" w:cs="Arial"/>
                <w:b/>
                <w:color w:val="8496B0" w:themeColor="text2" w:themeTint="99"/>
                <w:sz w:val="20"/>
                <w:szCs w:val="20"/>
                <w:vertAlign w:val="superscript"/>
              </w:rPr>
              <w:t>e</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 xml:space="preserve">State the evaluation of quality </w:t>
            </w:r>
            <w:r w:rsidRPr="00317BE2">
              <w:rPr>
                <w:rFonts w:ascii="Arial" w:hAnsi="Arial" w:cs="Arial"/>
                <w:sz w:val="20"/>
                <w:szCs w:val="20"/>
              </w:rPr>
              <w:t>for individual studies that were included in the SRs</w:t>
            </w:r>
            <w:r w:rsidRPr="00317BE2">
              <w:rPr>
                <w:rFonts w:ascii="Arial" w:hAnsi="Arial" w:cs="Arial"/>
                <w:sz w:val="20"/>
                <w:szCs w:val="20"/>
                <w:lang w:eastAsia="el-GR"/>
              </w:rPr>
              <w:t xml:space="preserve"> (inform whether tools such as Jadad or RoB of Cochrane were used by the included reviews) and for the additional primary studies.</w:t>
            </w:r>
          </w:p>
        </w:tc>
        <w:tc>
          <w:tcPr>
            <w:tcW w:w="1216" w:type="dxa"/>
            <w:tcBorders>
              <w:right w:val="single" w:sz="4" w:space="0" w:color="auto"/>
            </w:tcBorders>
            <w:vAlign w:val="center"/>
          </w:tcPr>
          <w:p w:rsidR="00EE474A" w:rsidRPr="00317BE2" w:rsidRDefault="00594323" w:rsidP="00EF4B76">
            <w:pPr>
              <w:jc w:val="center"/>
              <w:rPr>
                <w:rFonts w:ascii="Arial" w:hAnsi="Arial" w:cs="Arial"/>
                <w:iCs/>
                <w:sz w:val="20"/>
                <w:szCs w:val="20"/>
                <w:lang w:val="en-US"/>
              </w:rPr>
            </w:pPr>
            <w:r>
              <w:rPr>
                <w:rFonts w:ascii="Arial" w:hAnsi="Arial" w:cs="Arial"/>
                <w:iCs/>
                <w:sz w:val="20"/>
                <w:szCs w:val="20"/>
                <w:lang w:val="en-US"/>
              </w:rPr>
              <w:t>5</w:t>
            </w:r>
          </w:p>
        </w:tc>
      </w:tr>
      <w:tr w:rsidR="00EE474A" w:rsidRPr="003E534D" w:rsidTr="00EF4B76">
        <w:trPr>
          <w:cantSplit/>
          <w:trHeight w:val="377"/>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13c</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State the evaluation of quality of evidence (e.g. using GRADE approach).</w:t>
            </w:r>
          </w:p>
        </w:tc>
        <w:tc>
          <w:tcPr>
            <w:tcW w:w="1216" w:type="dxa"/>
            <w:tcBorders>
              <w:right w:val="single" w:sz="4" w:space="0" w:color="auto"/>
            </w:tcBorders>
            <w:vAlign w:val="center"/>
          </w:tcPr>
          <w:p w:rsidR="00EE474A" w:rsidRPr="00317BE2" w:rsidRDefault="00F72AB4" w:rsidP="00EF4B76">
            <w:pPr>
              <w:jc w:val="center"/>
              <w:rPr>
                <w:rFonts w:ascii="Arial" w:hAnsi="Arial" w:cs="Arial"/>
                <w:iCs/>
                <w:sz w:val="20"/>
                <w:szCs w:val="20"/>
                <w:lang w:val="en-US"/>
              </w:rPr>
            </w:pPr>
            <w:r>
              <w:rPr>
                <w:rFonts w:ascii="Arial" w:hAnsi="Arial" w:cs="Arial"/>
                <w:iCs/>
                <w:sz w:val="20"/>
                <w:szCs w:val="20"/>
                <w:lang w:val="en-US"/>
              </w:rPr>
              <w:t>7</w:t>
            </w:r>
          </w:p>
        </w:tc>
      </w:tr>
      <w:tr w:rsidR="00EE474A" w:rsidRPr="003E534D" w:rsidTr="00EF4B76">
        <w:trPr>
          <w:cantSplit/>
          <w:trHeight w:val="341"/>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13d</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 xml:space="preserve">Describe the methods </w:t>
            </w:r>
            <w:r w:rsidRPr="00317BE2">
              <w:rPr>
                <w:rFonts w:ascii="Arial" w:hAnsi="Arial" w:cs="Arial"/>
                <w:sz w:val="20"/>
                <w:szCs w:val="20"/>
              </w:rPr>
              <w:t>(e.g. piloted forms, independently, in duplicate)</w:t>
            </w:r>
            <w:r w:rsidRPr="00317BE2">
              <w:rPr>
                <w:rFonts w:ascii="Arial" w:hAnsi="Arial" w:cs="Arial"/>
                <w:sz w:val="20"/>
                <w:szCs w:val="20"/>
                <w:lang w:eastAsia="el-GR"/>
              </w:rPr>
              <w:t xml:space="preserve"> used for the quality assessment.</w:t>
            </w:r>
          </w:p>
        </w:tc>
        <w:tc>
          <w:tcPr>
            <w:tcW w:w="1216" w:type="dxa"/>
            <w:tcBorders>
              <w:right w:val="single" w:sz="4" w:space="0" w:color="auto"/>
            </w:tcBorders>
            <w:vAlign w:val="center"/>
          </w:tcPr>
          <w:p w:rsidR="00EE474A" w:rsidRPr="00317BE2" w:rsidRDefault="00F72AB4" w:rsidP="00EF4B76">
            <w:pPr>
              <w:jc w:val="center"/>
              <w:rPr>
                <w:rFonts w:ascii="Arial" w:hAnsi="Arial" w:cs="Arial"/>
                <w:iCs/>
                <w:sz w:val="20"/>
                <w:szCs w:val="20"/>
                <w:lang w:val="en-US"/>
              </w:rPr>
            </w:pPr>
            <w:r>
              <w:rPr>
                <w:rFonts w:ascii="Arial" w:hAnsi="Arial" w:cs="Arial"/>
                <w:iCs/>
                <w:sz w:val="20"/>
                <w:szCs w:val="20"/>
                <w:lang w:val="en-US"/>
              </w:rPr>
              <w:t>6-8</w:t>
            </w:r>
          </w:p>
        </w:tc>
      </w:tr>
      <w:tr w:rsidR="00EE474A" w:rsidRPr="005F4CD3" w:rsidTr="00EF4B76">
        <w:trPr>
          <w:cantSplit/>
          <w:trHeight w:val="398"/>
        </w:trPr>
        <w:tc>
          <w:tcPr>
            <w:tcW w:w="2150" w:type="dxa"/>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lang w:val="en-US"/>
              </w:rPr>
              <w:t xml:space="preserve">14. </w:t>
            </w:r>
            <w:r w:rsidRPr="00317BE2">
              <w:rPr>
                <w:rFonts w:ascii="Arial" w:eastAsiaTheme="minorHAnsi" w:hAnsi="Arial" w:cs="Arial"/>
                <w:bCs/>
                <w:sz w:val="20"/>
                <w:szCs w:val="20"/>
                <w:lang w:val="el-GR"/>
              </w:rPr>
              <w:t>Meta-bias(es)</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14</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Specify any planned assessment of meta-bias(es) (such as publication bias or selective reporting across studies, ROBIS tool).</w:t>
            </w:r>
          </w:p>
        </w:tc>
        <w:tc>
          <w:tcPr>
            <w:tcW w:w="1216" w:type="dxa"/>
            <w:tcBorders>
              <w:right w:val="single" w:sz="4" w:space="0" w:color="auto"/>
            </w:tcBorders>
            <w:vAlign w:val="center"/>
          </w:tcPr>
          <w:p w:rsidR="00EE474A" w:rsidRPr="00317BE2" w:rsidRDefault="00F72AB4" w:rsidP="00EA270D">
            <w:pPr>
              <w:jc w:val="center"/>
              <w:rPr>
                <w:rFonts w:ascii="Arial" w:hAnsi="Arial" w:cs="Arial"/>
                <w:iCs/>
                <w:sz w:val="20"/>
                <w:szCs w:val="20"/>
                <w:lang w:val="en-US"/>
              </w:rPr>
            </w:pPr>
            <w:r>
              <w:rPr>
                <w:rFonts w:ascii="Arial" w:hAnsi="Arial" w:cs="Arial"/>
                <w:iCs/>
                <w:sz w:val="20"/>
                <w:szCs w:val="20"/>
                <w:lang w:val="en-US"/>
              </w:rPr>
              <w:t>7</w:t>
            </w:r>
          </w:p>
        </w:tc>
      </w:tr>
      <w:tr w:rsidR="00EE474A" w:rsidRPr="005F4CD3" w:rsidTr="00EF4B76">
        <w:trPr>
          <w:cantSplit/>
          <w:trHeight w:val="690"/>
        </w:trPr>
        <w:tc>
          <w:tcPr>
            <w:tcW w:w="2150" w:type="dxa"/>
            <w:vMerge w:val="restart"/>
            <w:tcBorders>
              <w:left w:val="single" w:sz="4" w:space="0" w:color="auto"/>
              <w:bottom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lang w:val="en-US" w:eastAsia="el-GR"/>
              </w:rPr>
              <w:t>15. Data synthesis</w:t>
            </w:r>
          </w:p>
        </w:tc>
        <w:tc>
          <w:tcPr>
            <w:tcW w:w="935" w:type="dxa"/>
            <w:tcBorders>
              <w:bottom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15a</w:t>
            </w:r>
          </w:p>
        </w:tc>
        <w:tc>
          <w:tcPr>
            <w:tcW w:w="6662" w:type="dxa"/>
            <w:gridSpan w:val="5"/>
            <w:tcBorders>
              <w:bottom w:val="single" w:sz="4"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Specify clearly the method (narrative, meta-analysis or network meta-analysis) of handling or synthesizing data and their details (e.g. state the principal summary measures that wer</w:t>
            </w:r>
            <w:r>
              <w:rPr>
                <w:rFonts w:ascii="Arial" w:hAnsi="Arial" w:cs="Arial"/>
                <w:sz w:val="20"/>
                <w:szCs w:val="20"/>
                <w:lang w:eastAsia="el-GR"/>
              </w:rPr>
              <w:t xml:space="preserve">e extracted or calculated, how </w:t>
            </w:r>
            <w:r w:rsidRPr="00317BE2">
              <w:rPr>
                <w:rFonts w:ascii="Arial" w:hAnsi="Arial" w:cs="Arial"/>
                <w:sz w:val="20"/>
                <w:szCs w:val="20"/>
                <w:lang w:eastAsia="el-GR"/>
              </w:rPr>
              <w:t>heterogeneity was assessed, what statistical approaches were used if</w:t>
            </w:r>
            <w:r w:rsidRPr="00317BE2">
              <w:rPr>
                <w:rFonts w:ascii="Arial" w:hAnsi="Arial" w:cs="Arial"/>
                <w:sz w:val="20"/>
                <w:szCs w:val="20"/>
              </w:rPr>
              <w:t xml:space="preserve"> a quantitative synthesis has been conducted</w:t>
            </w:r>
            <w:r w:rsidRPr="00317BE2">
              <w:rPr>
                <w:rFonts w:ascii="Arial" w:hAnsi="Arial" w:cs="Arial"/>
                <w:sz w:val="20"/>
                <w:szCs w:val="20"/>
                <w:lang w:eastAsia="el-GR"/>
              </w:rPr>
              <w:t>).</w:t>
            </w:r>
          </w:p>
        </w:tc>
        <w:tc>
          <w:tcPr>
            <w:tcW w:w="1216" w:type="dxa"/>
            <w:tcBorders>
              <w:bottom w:val="single" w:sz="4" w:space="0" w:color="auto"/>
              <w:right w:val="single" w:sz="4" w:space="0" w:color="auto"/>
            </w:tcBorders>
            <w:vAlign w:val="center"/>
          </w:tcPr>
          <w:p w:rsidR="00EE474A" w:rsidRPr="00317BE2" w:rsidRDefault="00207D3C" w:rsidP="00EF4B76">
            <w:pPr>
              <w:jc w:val="center"/>
              <w:rPr>
                <w:rFonts w:ascii="Arial" w:hAnsi="Arial" w:cs="Arial"/>
                <w:iCs/>
                <w:sz w:val="20"/>
                <w:szCs w:val="20"/>
                <w:lang w:val="en-US"/>
              </w:rPr>
            </w:pPr>
            <w:r>
              <w:rPr>
                <w:rFonts w:ascii="Arial" w:hAnsi="Arial" w:cs="Arial"/>
                <w:iCs/>
                <w:sz w:val="20"/>
                <w:szCs w:val="20"/>
                <w:lang w:val="en-US"/>
              </w:rPr>
              <w:t>8</w:t>
            </w:r>
          </w:p>
        </w:tc>
      </w:tr>
      <w:tr w:rsidR="00EE474A" w:rsidRPr="003E534D" w:rsidTr="00EF4B76">
        <w:trPr>
          <w:cantSplit/>
          <w:trHeight w:val="212"/>
        </w:trPr>
        <w:tc>
          <w:tcPr>
            <w:tcW w:w="2150" w:type="dxa"/>
            <w:vMerge/>
            <w:tcBorders>
              <w:left w:val="single" w:sz="4" w:space="0" w:color="auto"/>
              <w:bottom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tcBorders>
              <w:bottom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15b</w:t>
            </w:r>
          </w:p>
        </w:tc>
        <w:tc>
          <w:tcPr>
            <w:tcW w:w="6662" w:type="dxa"/>
            <w:gridSpan w:val="5"/>
            <w:tcBorders>
              <w:bottom w:val="single" w:sz="4"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Describe the software that was used to analyze the data if a quantitative synthesis has been conducted.</w:t>
            </w:r>
          </w:p>
        </w:tc>
        <w:tc>
          <w:tcPr>
            <w:tcW w:w="1216" w:type="dxa"/>
            <w:tcBorders>
              <w:bottom w:val="single" w:sz="4" w:space="0" w:color="auto"/>
              <w:right w:val="single" w:sz="4" w:space="0" w:color="auto"/>
            </w:tcBorders>
            <w:vAlign w:val="center"/>
          </w:tcPr>
          <w:p w:rsidR="00EE474A" w:rsidRPr="00317BE2" w:rsidRDefault="00207D3C" w:rsidP="00207D3C">
            <w:pPr>
              <w:jc w:val="center"/>
              <w:rPr>
                <w:rFonts w:ascii="Arial" w:hAnsi="Arial" w:cs="Arial"/>
                <w:iCs/>
                <w:sz w:val="20"/>
                <w:szCs w:val="20"/>
                <w:lang w:val="en-US"/>
              </w:rPr>
            </w:pPr>
            <w:r>
              <w:rPr>
                <w:rFonts w:ascii="Arial" w:hAnsi="Arial" w:cs="Arial"/>
                <w:iCs/>
                <w:sz w:val="20"/>
                <w:szCs w:val="20"/>
                <w:lang w:val="en-US"/>
              </w:rPr>
              <w:t>8</w:t>
            </w:r>
          </w:p>
        </w:tc>
      </w:tr>
      <w:tr w:rsidR="00EE474A" w:rsidRPr="00387818" w:rsidTr="00EF4B76">
        <w:trPr>
          <w:cantSplit/>
          <w:trHeight w:val="257"/>
        </w:trPr>
        <w:tc>
          <w:tcPr>
            <w:tcW w:w="2150" w:type="dxa"/>
            <w:vMerge/>
            <w:tcBorders>
              <w:left w:val="single" w:sz="4" w:space="0" w:color="auto"/>
              <w:bottom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tcBorders>
              <w:bottom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15c</w:t>
            </w:r>
          </w:p>
        </w:tc>
        <w:tc>
          <w:tcPr>
            <w:tcW w:w="6662" w:type="dxa"/>
            <w:gridSpan w:val="5"/>
            <w:tcBorders>
              <w:bottom w:val="single" w:sz="4" w:space="0" w:color="auto"/>
            </w:tcBorders>
            <w:vAlign w:val="center"/>
          </w:tcPr>
          <w:p w:rsidR="00EE474A" w:rsidRPr="00317BE2" w:rsidRDefault="00EE474A" w:rsidP="00EF4B76">
            <w:pPr>
              <w:pStyle w:val="Default"/>
              <w:jc w:val="both"/>
              <w:rPr>
                <w:rFonts w:ascii="Arial" w:hAnsi="Arial" w:cs="Arial"/>
                <w:sz w:val="20"/>
                <w:szCs w:val="20"/>
              </w:rPr>
            </w:pPr>
            <w:r w:rsidRPr="00317BE2">
              <w:rPr>
                <w:rFonts w:ascii="Arial" w:hAnsi="Arial" w:cs="Arial"/>
                <w:sz w:val="20"/>
                <w:szCs w:val="20"/>
              </w:rPr>
              <w:t>Report if zero events are included in the studies and how they were handled in statistical analyses, if relevant.</w:t>
            </w:r>
          </w:p>
        </w:tc>
        <w:tc>
          <w:tcPr>
            <w:tcW w:w="1216" w:type="dxa"/>
            <w:tcBorders>
              <w:bottom w:val="single" w:sz="4" w:space="0" w:color="auto"/>
              <w:right w:val="single" w:sz="4" w:space="0" w:color="auto"/>
            </w:tcBorders>
            <w:vAlign w:val="center"/>
          </w:tcPr>
          <w:p w:rsidR="00EE474A" w:rsidRPr="00317BE2" w:rsidRDefault="00EE474A" w:rsidP="00EF4B76">
            <w:pPr>
              <w:jc w:val="center"/>
              <w:rPr>
                <w:rFonts w:ascii="Arial" w:hAnsi="Arial" w:cs="Arial"/>
                <w:iCs/>
                <w:sz w:val="20"/>
                <w:szCs w:val="20"/>
                <w:lang w:val="en-US"/>
              </w:rPr>
            </w:pPr>
          </w:p>
        </w:tc>
      </w:tr>
      <w:tr w:rsidR="00EE474A" w:rsidRPr="003E534D" w:rsidTr="00EF4B76">
        <w:trPr>
          <w:cantSplit/>
          <w:trHeight w:val="357"/>
        </w:trPr>
        <w:tc>
          <w:tcPr>
            <w:tcW w:w="2150" w:type="dxa"/>
            <w:vMerge/>
            <w:tcBorders>
              <w:top w:val="single" w:sz="4" w:space="0" w:color="auto"/>
              <w:left w:val="single" w:sz="4" w:space="0" w:color="auto"/>
              <w:bottom w:val="double" w:sz="6"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tcBorders>
              <w:top w:val="single" w:sz="4" w:space="0" w:color="auto"/>
              <w:bottom w:val="double" w:sz="6"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15d</w:t>
            </w:r>
          </w:p>
        </w:tc>
        <w:tc>
          <w:tcPr>
            <w:tcW w:w="6662" w:type="dxa"/>
            <w:gridSpan w:val="5"/>
            <w:tcBorders>
              <w:top w:val="single" w:sz="4" w:space="0" w:color="auto"/>
              <w:bottom w:val="double" w:sz="6"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Describe methods of any pre-specified additional analyses (such as sensitivity or subgroup analyses, meta-regression).</w:t>
            </w:r>
          </w:p>
        </w:tc>
        <w:tc>
          <w:tcPr>
            <w:tcW w:w="1216" w:type="dxa"/>
            <w:tcBorders>
              <w:top w:val="single" w:sz="4" w:space="0" w:color="auto"/>
              <w:bottom w:val="double" w:sz="6" w:space="0" w:color="auto"/>
              <w:right w:val="single" w:sz="4" w:space="0" w:color="auto"/>
            </w:tcBorders>
            <w:vAlign w:val="center"/>
          </w:tcPr>
          <w:p w:rsidR="00EE474A" w:rsidRPr="00317BE2" w:rsidRDefault="00207D3C" w:rsidP="00EF4B76">
            <w:pPr>
              <w:jc w:val="center"/>
              <w:rPr>
                <w:rFonts w:ascii="Arial" w:hAnsi="Arial" w:cs="Arial"/>
                <w:iCs/>
                <w:sz w:val="20"/>
                <w:szCs w:val="20"/>
                <w:lang w:val="en-US"/>
              </w:rPr>
            </w:pPr>
            <w:r>
              <w:rPr>
                <w:rFonts w:ascii="Arial" w:hAnsi="Arial" w:cs="Arial"/>
                <w:iCs/>
                <w:sz w:val="20"/>
                <w:szCs w:val="20"/>
                <w:lang w:val="en-US"/>
              </w:rPr>
              <w:t>8</w:t>
            </w:r>
          </w:p>
        </w:tc>
      </w:tr>
      <w:tr w:rsidR="00EE474A" w:rsidRPr="00317BE2" w:rsidTr="00EF4B76">
        <w:trPr>
          <w:cantSplit/>
          <w:trHeight w:val="382"/>
        </w:trPr>
        <w:tc>
          <w:tcPr>
            <w:tcW w:w="9747" w:type="dxa"/>
            <w:gridSpan w:val="7"/>
            <w:tcBorders>
              <w:top w:val="double" w:sz="6" w:space="0" w:color="auto"/>
              <w:left w:val="single" w:sz="4" w:space="0" w:color="auto"/>
              <w:bottom w:val="single" w:sz="4" w:space="0" w:color="auto"/>
            </w:tcBorders>
            <w:shd w:val="clear" w:color="auto" w:fill="FFFFCC"/>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b/>
                <w:sz w:val="20"/>
                <w:szCs w:val="20"/>
              </w:rPr>
              <w:t>RESULTS</w:t>
            </w:r>
          </w:p>
        </w:tc>
        <w:tc>
          <w:tcPr>
            <w:tcW w:w="1216" w:type="dxa"/>
            <w:tcBorders>
              <w:top w:val="double" w:sz="6" w:space="0" w:color="auto"/>
              <w:right w:val="single" w:sz="4" w:space="0" w:color="auto"/>
            </w:tcBorders>
            <w:shd w:val="clear" w:color="auto" w:fill="FFFFCC"/>
            <w:vAlign w:val="center"/>
          </w:tcPr>
          <w:p w:rsidR="00EE474A" w:rsidRPr="00317BE2" w:rsidRDefault="00EE474A" w:rsidP="00EF4B76">
            <w:pPr>
              <w:jc w:val="center"/>
              <w:rPr>
                <w:rFonts w:ascii="Arial" w:hAnsi="Arial" w:cs="Arial"/>
                <w:iCs/>
                <w:sz w:val="20"/>
                <w:szCs w:val="20"/>
              </w:rPr>
            </w:pPr>
          </w:p>
        </w:tc>
      </w:tr>
      <w:tr w:rsidR="00EE474A" w:rsidRPr="003E534D" w:rsidTr="00EF4B76">
        <w:trPr>
          <w:cantSplit/>
          <w:trHeight w:val="681"/>
        </w:trPr>
        <w:tc>
          <w:tcPr>
            <w:tcW w:w="2150" w:type="dxa"/>
            <w:vMerge w:val="restart"/>
            <w:tcBorders>
              <w:top w:val="single" w:sz="4" w:space="0" w:color="auto"/>
              <w:left w:val="single" w:sz="4" w:space="0" w:color="auto"/>
            </w:tcBorders>
            <w:vAlign w:val="center"/>
            <w:hideMark/>
          </w:tcPr>
          <w:p w:rsidR="00EE474A" w:rsidRPr="00317BE2" w:rsidRDefault="00EE474A" w:rsidP="00EF4B76">
            <w:pPr>
              <w:pStyle w:val="Default"/>
              <w:spacing w:before="40" w:after="40"/>
              <w:ind w:left="284" w:hanging="284"/>
              <w:rPr>
                <w:rFonts w:ascii="Arial" w:hAnsi="Arial" w:cs="Arial"/>
                <w:sz w:val="20"/>
                <w:szCs w:val="20"/>
              </w:rPr>
            </w:pPr>
            <w:r w:rsidRPr="00317BE2">
              <w:rPr>
                <w:rFonts w:ascii="Arial" w:hAnsi="Arial" w:cs="Arial"/>
                <w:sz w:val="20"/>
                <w:szCs w:val="20"/>
                <w:lang w:val="en-US" w:eastAsia="el-GR"/>
              </w:rPr>
              <w:t>16. Review &amp; primary study selection</w:t>
            </w:r>
          </w:p>
        </w:tc>
        <w:tc>
          <w:tcPr>
            <w:tcW w:w="935" w:type="dxa"/>
            <w:tcBorders>
              <w:top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16a</w:t>
            </w:r>
          </w:p>
        </w:tc>
        <w:tc>
          <w:tcPr>
            <w:tcW w:w="6662" w:type="dxa"/>
            <w:gridSpan w:val="5"/>
            <w:tcBorders>
              <w:top w:val="single" w:sz="4" w:space="0" w:color="auto"/>
            </w:tcBorders>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eastAsia="el-GR"/>
              </w:rPr>
              <w:t>Provide the details of review selection (e.g. numbers of reviews screened, retrieved, and included and excluded in the overview) and the number of the additional eligible primary studies that were included, ideally with a flow diagram of the overview process.</w:t>
            </w:r>
          </w:p>
        </w:tc>
        <w:tc>
          <w:tcPr>
            <w:tcW w:w="1216" w:type="dxa"/>
            <w:tcBorders>
              <w:right w:val="single" w:sz="4" w:space="0" w:color="auto"/>
            </w:tcBorders>
            <w:vAlign w:val="center"/>
          </w:tcPr>
          <w:p w:rsidR="00EE474A" w:rsidRPr="00317BE2" w:rsidRDefault="00A8664C" w:rsidP="00491914">
            <w:pPr>
              <w:jc w:val="center"/>
              <w:rPr>
                <w:rFonts w:ascii="Arial" w:hAnsi="Arial" w:cs="Arial"/>
                <w:iCs/>
                <w:sz w:val="20"/>
                <w:szCs w:val="20"/>
                <w:lang w:val="en-US"/>
              </w:rPr>
            </w:pPr>
            <w:r>
              <w:rPr>
                <w:rFonts w:ascii="Arial" w:hAnsi="Arial" w:cs="Arial"/>
                <w:iCs/>
                <w:sz w:val="20"/>
                <w:szCs w:val="20"/>
                <w:lang w:val="en-US"/>
              </w:rPr>
              <w:t>8-9</w:t>
            </w:r>
          </w:p>
        </w:tc>
      </w:tr>
      <w:tr w:rsidR="00EE474A" w:rsidRPr="003E534D" w:rsidTr="00EF4B76">
        <w:trPr>
          <w:cantSplit/>
          <w:trHeight w:val="232"/>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16b</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CA" w:eastAsia="el-GR"/>
              </w:rPr>
              <w:t>P</w:t>
            </w:r>
            <w:r w:rsidRPr="00317BE2">
              <w:rPr>
                <w:rFonts w:ascii="Arial" w:hAnsi="Arial" w:cs="Arial"/>
                <w:sz w:val="20"/>
                <w:szCs w:val="20"/>
                <w:lang w:val="en-US" w:eastAsia="el-GR"/>
              </w:rPr>
              <w:t>resent a flow diagram that gives separately the number of studies focused on harms outcomes.</w:t>
            </w:r>
          </w:p>
        </w:tc>
        <w:tc>
          <w:tcPr>
            <w:tcW w:w="1216" w:type="dxa"/>
            <w:tcBorders>
              <w:right w:val="single" w:sz="4" w:space="0" w:color="auto"/>
            </w:tcBorders>
            <w:vAlign w:val="center"/>
          </w:tcPr>
          <w:p w:rsidR="00EE474A" w:rsidRPr="00453AEB" w:rsidRDefault="00EE474A" w:rsidP="00EF4B76">
            <w:pPr>
              <w:jc w:val="center"/>
              <w:rPr>
                <w:rFonts w:ascii="Arial" w:hAnsi="Arial" w:cs="Arial"/>
                <w:iCs/>
                <w:sz w:val="20"/>
                <w:szCs w:val="20"/>
                <w:lang w:val="en-US"/>
              </w:rPr>
            </w:pPr>
            <w:r>
              <w:rPr>
                <w:rFonts w:ascii="Arial" w:hAnsi="Arial" w:cs="Arial"/>
                <w:iCs/>
                <w:sz w:val="20"/>
                <w:szCs w:val="20"/>
                <w:lang w:val="en-US"/>
              </w:rPr>
              <w:t>Figure 1</w:t>
            </w:r>
          </w:p>
        </w:tc>
      </w:tr>
      <w:tr w:rsidR="00EE474A" w:rsidRPr="003E534D" w:rsidTr="00EF4B76">
        <w:trPr>
          <w:cantSplit/>
          <w:trHeight w:val="209"/>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16c</w:t>
            </w:r>
            <w:r w:rsidRPr="00317BE2">
              <w:rPr>
                <w:rFonts w:ascii="Arial" w:hAnsi="Arial" w:cs="Arial"/>
                <w:b/>
                <w:color w:val="8496B0" w:themeColor="text2" w:themeTint="99"/>
                <w:sz w:val="20"/>
                <w:szCs w:val="20"/>
                <w:vertAlign w:val="superscript"/>
              </w:rPr>
              <w:t>c</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List the studies (full citation) that were excluded after reading the full text and provide reasons.</w:t>
            </w:r>
          </w:p>
        </w:tc>
        <w:tc>
          <w:tcPr>
            <w:tcW w:w="1216" w:type="dxa"/>
            <w:tcBorders>
              <w:right w:val="single" w:sz="4" w:space="0" w:color="auto"/>
            </w:tcBorders>
            <w:vAlign w:val="center"/>
          </w:tcPr>
          <w:p w:rsidR="00EE474A" w:rsidRPr="00317BE2" w:rsidRDefault="00EE474A" w:rsidP="00EF4B76">
            <w:pPr>
              <w:jc w:val="center"/>
              <w:rPr>
                <w:rFonts w:ascii="Arial" w:hAnsi="Arial" w:cs="Arial"/>
                <w:iCs/>
                <w:sz w:val="20"/>
                <w:szCs w:val="20"/>
                <w:lang w:val="en-US"/>
              </w:rPr>
            </w:pPr>
            <w:r>
              <w:rPr>
                <w:rFonts w:ascii="Arial" w:hAnsi="Arial" w:cs="Arial"/>
                <w:iCs/>
                <w:sz w:val="20"/>
                <w:szCs w:val="20"/>
                <w:lang w:val="en-US"/>
              </w:rPr>
              <w:t xml:space="preserve">Table </w:t>
            </w:r>
            <w:r w:rsidR="00997E4E">
              <w:rPr>
                <w:rFonts w:ascii="Arial" w:hAnsi="Arial" w:cs="Arial"/>
                <w:iCs/>
                <w:sz w:val="20"/>
                <w:szCs w:val="20"/>
                <w:lang w:val="en-US"/>
              </w:rPr>
              <w:t>S</w:t>
            </w:r>
            <w:r w:rsidR="00FF2505">
              <w:rPr>
                <w:rFonts w:ascii="Arial" w:hAnsi="Arial" w:cs="Arial"/>
                <w:iCs/>
                <w:sz w:val="20"/>
                <w:szCs w:val="20"/>
                <w:lang w:val="en-US"/>
              </w:rPr>
              <w:t>3</w:t>
            </w:r>
          </w:p>
        </w:tc>
      </w:tr>
      <w:tr w:rsidR="00EE474A" w:rsidRPr="003E534D" w:rsidTr="00EF4B76">
        <w:trPr>
          <w:cantSplit/>
          <w:trHeight w:val="675"/>
        </w:trPr>
        <w:tc>
          <w:tcPr>
            <w:tcW w:w="2150" w:type="dxa"/>
            <w:vMerge w:val="restart"/>
            <w:tcBorders>
              <w:left w:val="single" w:sz="4" w:space="0" w:color="auto"/>
            </w:tcBorders>
            <w:vAlign w:val="center"/>
            <w:hideMark/>
          </w:tcPr>
          <w:p w:rsidR="00EE474A" w:rsidRPr="005F20EC" w:rsidRDefault="00EE474A" w:rsidP="00EF4B76">
            <w:pPr>
              <w:pStyle w:val="Default"/>
              <w:spacing w:before="40" w:after="40"/>
              <w:ind w:left="284" w:hanging="284"/>
              <w:jc w:val="center"/>
              <w:rPr>
                <w:rFonts w:ascii="Arial" w:hAnsi="Arial" w:cs="Arial"/>
                <w:sz w:val="20"/>
                <w:szCs w:val="20"/>
                <w:lang w:val="en-US" w:eastAsia="el-GR"/>
              </w:rPr>
            </w:pPr>
            <w:r w:rsidRPr="00317BE2">
              <w:rPr>
                <w:rFonts w:ascii="Arial" w:hAnsi="Arial" w:cs="Arial"/>
                <w:sz w:val="20"/>
                <w:szCs w:val="20"/>
                <w:lang w:val="en-US" w:eastAsia="el-GR"/>
              </w:rPr>
              <w:t xml:space="preserve">17. </w:t>
            </w:r>
            <w:r w:rsidRPr="00317BE2">
              <w:rPr>
                <w:rFonts w:ascii="Arial" w:hAnsi="Arial" w:cs="Arial"/>
                <w:sz w:val="20"/>
                <w:szCs w:val="20"/>
                <w:lang w:val="el-GR" w:eastAsia="el-GR"/>
              </w:rPr>
              <w:t xml:space="preserve">Review </w:t>
            </w:r>
            <w:r>
              <w:rPr>
                <w:rFonts w:ascii="Arial" w:hAnsi="Arial" w:cs="Arial"/>
                <w:sz w:val="20"/>
                <w:szCs w:val="20"/>
                <w:lang w:val="en-US" w:eastAsia="el-GR"/>
              </w:rPr>
              <w:t xml:space="preserve">&amp; primary study </w:t>
            </w:r>
            <w:r w:rsidRPr="00317BE2">
              <w:rPr>
                <w:rFonts w:ascii="Arial" w:hAnsi="Arial" w:cs="Arial"/>
                <w:sz w:val="20"/>
                <w:szCs w:val="20"/>
                <w:lang w:val="el-GR" w:eastAsia="el-GR"/>
              </w:rPr>
              <w:t>characteristics</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17a</w:t>
            </w:r>
            <w:r w:rsidRPr="00317BE2">
              <w:rPr>
                <w:rFonts w:ascii="Arial" w:hAnsi="Arial" w:cs="Arial"/>
                <w:b/>
                <w:color w:val="8496B0" w:themeColor="text2" w:themeTint="99"/>
                <w:sz w:val="20"/>
                <w:szCs w:val="20"/>
                <w:vertAlign w:val="superscript"/>
              </w:rPr>
              <w:t>c</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eastAsia="el-GR"/>
              </w:rPr>
              <w:t>Describe characteristics of each included SR in tables (such as title or author, search date, PICOS, design and number of studies included, number and age range of participants, dose/frequency, follow up period [treatment duration], review limitations, results or conclusion) and of each additional primary study.</w:t>
            </w:r>
          </w:p>
        </w:tc>
        <w:tc>
          <w:tcPr>
            <w:tcW w:w="1216" w:type="dxa"/>
            <w:tcBorders>
              <w:right w:val="single" w:sz="4" w:space="0" w:color="auto"/>
            </w:tcBorders>
            <w:vAlign w:val="center"/>
          </w:tcPr>
          <w:p w:rsidR="00EE474A" w:rsidRPr="00317BE2" w:rsidRDefault="00EE474A" w:rsidP="00EF4B76">
            <w:pPr>
              <w:jc w:val="center"/>
              <w:rPr>
                <w:rFonts w:ascii="Arial" w:hAnsi="Arial" w:cs="Arial"/>
                <w:iCs/>
                <w:sz w:val="20"/>
                <w:szCs w:val="20"/>
                <w:lang w:val="en-US"/>
              </w:rPr>
            </w:pPr>
            <w:r>
              <w:rPr>
                <w:rFonts w:ascii="Arial" w:hAnsi="Arial" w:cs="Arial"/>
                <w:iCs/>
                <w:sz w:val="20"/>
                <w:szCs w:val="20"/>
                <w:lang w:val="en-US"/>
              </w:rPr>
              <w:t>Table 1</w:t>
            </w:r>
          </w:p>
        </w:tc>
      </w:tr>
      <w:tr w:rsidR="00EE474A" w:rsidRPr="003E534D" w:rsidTr="00EF4B76">
        <w:trPr>
          <w:cantSplit/>
          <w:trHeight w:val="347"/>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17b</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For each included SR report language and publication status restrictions that have been used.</w:t>
            </w:r>
          </w:p>
        </w:tc>
        <w:tc>
          <w:tcPr>
            <w:tcW w:w="1216" w:type="dxa"/>
            <w:tcBorders>
              <w:right w:val="single" w:sz="4" w:space="0" w:color="auto"/>
            </w:tcBorders>
            <w:vAlign w:val="center"/>
          </w:tcPr>
          <w:p w:rsidR="00EE474A" w:rsidRPr="00317BE2" w:rsidRDefault="00A8664C" w:rsidP="00EF4B76">
            <w:pPr>
              <w:jc w:val="center"/>
              <w:rPr>
                <w:rFonts w:ascii="Arial" w:hAnsi="Arial" w:cs="Arial"/>
                <w:iCs/>
                <w:sz w:val="20"/>
                <w:szCs w:val="20"/>
                <w:lang w:val="en-US"/>
              </w:rPr>
            </w:pPr>
            <w:r>
              <w:rPr>
                <w:rFonts w:ascii="Arial" w:hAnsi="Arial" w:cs="Arial"/>
                <w:iCs/>
                <w:sz w:val="20"/>
                <w:szCs w:val="20"/>
                <w:lang w:val="en-US"/>
              </w:rPr>
              <w:t>8-9</w:t>
            </w:r>
          </w:p>
        </w:tc>
      </w:tr>
      <w:tr w:rsidR="00EE474A" w:rsidRPr="003E534D" w:rsidTr="00EF4B76">
        <w:trPr>
          <w:cantSplit/>
          <w:trHeight w:val="326"/>
        </w:trPr>
        <w:tc>
          <w:tcPr>
            <w:tcW w:w="2150" w:type="dxa"/>
            <w:vMerge w:val="restart"/>
            <w:tcBorders>
              <w:left w:val="single" w:sz="4" w:space="0" w:color="auto"/>
            </w:tcBorders>
            <w:vAlign w:val="center"/>
            <w:hideMark/>
          </w:tcPr>
          <w:p w:rsidR="00EE474A" w:rsidRPr="00317BE2" w:rsidRDefault="00EE474A" w:rsidP="00EF4B76">
            <w:pPr>
              <w:rPr>
                <w:rFonts w:ascii="Arial" w:hAnsi="Arial" w:cs="Arial"/>
                <w:i/>
                <w:iCs/>
                <w:sz w:val="20"/>
                <w:szCs w:val="20"/>
                <w:vertAlign w:val="superscript"/>
                <w:lang w:eastAsia="el-GR"/>
              </w:rPr>
            </w:pPr>
            <w:r w:rsidRPr="00317BE2">
              <w:rPr>
                <w:rFonts w:ascii="Arial" w:hAnsi="Arial" w:cs="Arial"/>
                <w:sz w:val="20"/>
                <w:szCs w:val="20"/>
              </w:rPr>
              <w:t>18. Overlapping</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18</w:t>
            </w:r>
          </w:p>
        </w:tc>
        <w:tc>
          <w:tcPr>
            <w:tcW w:w="6662" w:type="dxa"/>
            <w:gridSpan w:val="5"/>
            <w:vAlign w:val="center"/>
          </w:tcPr>
          <w:p w:rsidR="00EE474A" w:rsidRPr="00317BE2" w:rsidRDefault="00EE474A" w:rsidP="00EF4B76">
            <w:pPr>
              <w:pStyle w:val="Default"/>
              <w:spacing w:line="276" w:lineRule="auto"/>
              <w:rPr>
                <w:rFonts w:ascii="Arial" w:hAnsi="Arial" w:cs="Arial"/>
                <w:sz w:val="20"/>
                <w:szCs w:val="20"/>
                <w:lang w:val="en-US" w:eastAsia="el-GR"/>
              </w:rPr>
            </w:pPr>
            <w:r w:rsidRPr="00317BE2">
              <w:rPr>
                <w:rFonts w:ascii="Arial" w:hAnsi="Arial" w:cs="Arial"/>
                <w:sz w:val="20"/>
                <w:szCs w:val="20"/>
                <w:lang w:val="en-US" w:eastAsia="el-GR"/>
              </w:rPr>
              <w:t>Present or/and discuss about overlapping of studies within SRs (at least one of the following):</w:t>
            </w:r>
          </w:p>
        </w:tc>
        <w:tc>
          <w:tcPr>
            <w:tcW w:w="1216" w:type="dxa"/>
            <w:tcBorders>
              <w:right w:val="single" w:sz="4" w:space="0" w:color="auto"/>
            </w:tcBorders>
            <w:vAlign w:val="center"/>
          </w:tcPr>
          <w:p w:rsidR="00EE474A" w:rsidRPr="00317BE2" w:rsidRDefault="00EA270D" w:rsidP="00EF4B76">
            <w:pPr>
              <w:jc w:val="center"/>
              <w:rPr>
                <w:rFonts w:ascii="Arial" w:hAnsi="Arial" w:cs="Arial"/>
                <w:iCs/>
                <w:sz w:val="20"/>
                <w:szCs w:val="20"/>
                <w:lang w:val="en-US"/>
              </w:rPr>
            </w:pPr>
            <w:r>
              <w:rPr>
                <w:rFonts w:ascii="Arial" w:hAnsi="Arial" w:cs="Arial"/>
                <w:iCs/>
                <w:sz w:val="20"/>
                <w:szCs w:val="20"/>
                <w:lang w:val="en-US"/>
              </w:rPr>
              <w:t>13-14</w:t>
            </w:r>
          </w:p>
        </w:tc>
      </w:tr>
      <w:tr w:rsidR="00EE474A" w:rsidRPr="003E534D" w:rsidTr="00EF4B76">
        <w:trPr>
          <w:cantSplit/>
          <w:trHeight w:val="268"/>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p>
        </w:tc>
        <w:tc>
          <w:tcPr>
            <w:tcW w:w="6662" w:type="dxa"/>
            <w:gridSpan w:val="5"/>
          </w:tcPr>
          <w:p w:rsidR="00EE474A" w:rsidRPr="00317BE2" w:rsidRDefault="00EE474A" w:rsidP="00EF4B76">
            <w:pPr>
              <w:pStyle w:val="Default"/>
              <w:numPr>
                <w:ilvl w:val="0"/>
                <w:numId w:val="2"/>
              </w:numPr>
              <w:spacing w:before="40" w:after="40"/>
              <w:ind w:left="459" w:hanging="284"/>
              <w:rPr>
                <w:rFonts w:ascii="Arial" w:hAnsi="Arial" w:cs="Arial"/>
                <w:sz w:val="20"/>
                <w:szCs w:val="20"/>
              </w:rPr>
            </w:pPr>
            <w:r w:rsidRPr="00317BE2">
              <w:rPr>
                <w:rFonts w:ascii="Arial" w:hAnsi="Arial" w:cs="Arial"/>
                <w:sz w:val="20"/>
                <w:szCs w:val="20"/>
                <w:lang w:val="en-US" w:eastAsia="el-GR"/>
              </w:rPr>
              <w:t>Present measures of overlap (such as CCA).</w:t>
            </w:r>
          </w:p>
        </w:tc>
        <w:tc>
          <w:tcPr>
            <w:tcW w:w="1216" w:type="dxa"/>
            <w:tcBorders>
              <w:right w:val="single" w:sz="4" w:space="0" w:color="auto"/>
            </w:tcBorders>
            <w:vAlign w:val="center"/>
          </w:tcPr>
          <w:p w:rsidR="00EE474A" w:rsidRPr="00317BE2" w:rsidRDefault="00EA270D" w:rsidP="00EF4B76">
            <w:pPr>
              <w:jc w:val="center"/>
              <w:rPr>
                <w:rFonts w:ascii="Arial" w:hAnsi="Arial" w:cs="Arial"/>
                <w:iCs/>
                <w:sz w:val="20"/>
                <w:szCs w:val="20"/>
                <w:lang w:val="en-US"/>
              </w:rPr>
            </w:pPr>
            <w:r>
              <w:rPr>
                <w:rFonts w:ascii="Arial" w:hAnsi="Arial" w:cs="Arial"/>
                <w:iCs/>
                <w:sz w:val="20"/>
                <w:szCs w:val="20"/>
                <w:lang w:val="en-US"/>
              </w:rPr>
              <w:t>13-14</w:t>
            </w:r>
          </w:p>
        </w:tc>
      </w:tr>
      <w:tr w:rsidR="00EE474A" w:rsidRPr="00317BE2" w:rsidTr="00EF4B76">
        <w:trPr>
          <w:cantSplit/>
          <w:trHeight w:val="238"/>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p>
        </w:tc>
        <w:tc>
          <w:tcPr>
            <w:tcW w:w="6662" w:type="dxa"/>
            <w:gridSpan w:val="5"/>
          </w:tcPr>
          <w:p w:rsidR="00EE474A" w:rsidRPr="00317BE2" w:rsidRDefault="00EE474A" w:rsidP="00EF4B76">
            <w:pPr>
              <w:pStyle w:val="Default"/>
              <w:numPr>
                <w:ilvl w:val="0"/>
                <w:numId w:val="2"/>
              </w:numPr>
              <w:spacing w:before="40" w:after="40"/>
              <w:ind w:left="459" w:hanging="284"/>
              <w:rPr>
                <w:rFonts w:ascii="Arial" w:hAnsi="Arial" w:cs="Arial"/>
                <w:sz w:val="20"/>
                <w:szCs w:val="20"/>
              </w:rPr>
            </w:pPr>
            <w:r w:rsidRPr="00317BE2">
              <w:rPr>
                <w:rFonts w:ascii="Arial" w:hAnsi="Arial" w:cs="Arial"/>
                <w:sz w:val="20"/>
                <w:szCs w:val="20"/>
                <w:lang w:val="en-US" w:eastAsia="el-GR"/>
              </w:rPr>
              <w:t>Provide citation matrix.</w:t>
            </w:r>
            <w:r w:rsidRPr="00317BE2">
              <w:rPr>
                <w:rFonts w:ascii="Arial" w:hAnsi="Arial" w:cs="Arial"/>
                <w:b/>
                <w:color w:val="8496B0" w:themeColor="text2" w:themeTint="99"/>
                <w:sz w:val="20"/>
                <w:szCs w:val="20"/>
                <w:vertAlign w:val="superscript"/>
              </w:rPr>
              <w:t>c</w:t>
            </w:r>
          </w:p>
        </w:tc>
        <w:tc>
          <w:tcPr>
            <w:tcW w:w="1216" w:type="dxa"/>
            <w:tcBorders>
              <w:right w:val="single" w:sz="4" w:space="0" w:color="auto"/>
            </w:tcBorders>
            <w:vAlign w:val="center"/>
          </w:tcPr>
          <w:p w:rsidR="00EE474A" w:rsidRPr="005F20EC" w:rsidRDefault="00236D3B" w:rsidP="00EF4B76">
            <w:pPr>
              <w:jc w:val="center"/>
              <w:rPr>
                <w:rFonts w:ascii="Arial" w:hAnsi="Arial" w:cs="Arial"/>
                <w:iCs/>
                <w:sz w:val="20"/>
                <w:szCs w:val="20"/>
                <w:lang w:val="en-US"/>
              </w:rPr>
            </w:pPr>
            <w:r>
              <w:rPr>
                <w:rFonts w:ascii="Arial" w:hAnsi="Arial" w:cs="Arial"/>
                <w:iCs/>
                <w:sz w:val="20"/>
                <w:szCs w:val="20"/>
                <w:lang w:val="en-US"/>
              </w:rPr>
              <w:t>Table S4</w:t>
            </w:r>
          </w:p>
        </w:tc>
      </w:tr>
      <w:tr w:rsidR="00EE474A" w:rsidRPr="003E534D" w:rsidTr="00EF4B76">
        <w:trPr>
          <w:cantSplit/>
          <w:trHeight w:val="270"/>
        </w:trPr>
        <w:tc>
          <w:tcPr>
            <w:tcW w:w="2150" w:type="dxa"/>
            <w:vMerge/>
            <w:tcBorders>
              <w:left w:val="single" w:sz="4" w:space="0" w:color="auto"/>
            </w:tcBorders>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p>
        </w:tc>
        <w:tc>
          <w:tcPr>
            <w:tcW w:w="6662" w:type="dxa"/>
            <w:gridSpan w:val="5"/>
          </w:tcPr>
          <w:p w:rsidR="00EE474A" w:rsidRPr="00317BE2" w:rsidRDefault="00EE474A" w:rsidP="00EF4B76">
            <w:pPr>
              <w:pStyle w:val="Default"/>
              <w:numPr>
                <w:ilvl w:val="0"/>
                <w:numId w:val="2"/>
              </w:numPr>
              <w:spacing w:before="40" w:after="40"/>
              <w:ind w:left="459" w:hanging="284"/>
              <w:rPr>
                <w:rFonts w:ascii="Arial" w:hAnsi="Arial" w:cs="Arial"/>
                <w:sz w:val="20"/>
                <w:szCs w:val="20"/>
              </w:rPr>
            </w:pPr>
            <w:r w:rsidRPr="00317BE2">
              <w:rPr>
                <w:rFonts w:ascii="Arial" w:hAnsi="Arial" w:cs="Arial"/>
                <w:sz w:val="20"/>
                <w:szCs w:val="20"/>
                <w:lang w:eastAsia="el-GR"/>
              </w:rPr>
              <w:t xml:space="preserve">Give the </w:t>
            </w:r>
            <w:r w:rsidRPr="00317BE2">
              <w:rPr>
                <w:rFonts w:ascii="Arial" w:hAnsi="Arial" w:cs="Arial"/>
                <w:bCs/>
                <w:sz w:val="20"/>
                <w:szCs w:val="20"/>
              </w:rPr>
              <w:t>number of index publications or/and discuss about overlapping.</w:t>
            </w:r>
            <w:r w:rsidRPr="00317BE2">
              <w:rPr>
                <w:rFonts w:ascii="Arial" w:hAnsi="Arial" w:cs="Arial"/>
                <w:b/>
                <w:color w:val="8496B0" w:themeColor="text2" w:themeTint="99"/>
                <w:sz w:val="20"/>
                <w:szCs w:val="20"/>
                <w:vertAlign w:val="superscript"/>
              </w:rPr>
              <w:t>f</w:t>
            </w:r>
          </w:p>
        </w:tc>
        <w:tc>
          <w:tcPr>
            <w:tcW w:w="1216" w:type="dxa"/>
            <w:tcBorders>
              <w:right w:val="single" w:sz="4" w:space="0" w:color="auto"/>
            </w:tcBorders>
            <w:vAlign w:val="center"/>
          </w:tcPr>
          <w:p w:rsidR="00EE474A" w:rsidRPr="00317BE2" w:rsidRDefault="00EA270D" w:rsidP="00EF4B76">
            <w:pPr>
              <w:jc w:val="center"/>
              <w:rPr>
                <w:rFonts w:ascii="Arial" w:hAnsi="Arial" w:cs="Arial"/>
                <w:iCs/>
                <w:sz w:val="20"/>
                <w:szCs w:val="20"/>
                <w:lang w:val="en-US"/>
              </w:rPr>
            </w:pPr>
            <w:r>
              <w:rPr>
                <w:rFonts w:ascii="Arial" w:hAnsi="Arial" w:cs="Arial"/>
                <w:iCs/>
                <w:sz w:val="20"/>
                <w:szCs w:val="20"/>
                <w:lang w:val="en-US"/>
              </w:rPr>
              <w:t>13-14</w:t>
            </w:r>
          </w:p>
        </w:tc>
      </w:tr>
      <w:tr w:rsidR="00EE474A" w:rsidRPr="003E534D" w:rsidTr="00EF4B76">
        <w:trPr>
          <w:cantSplit/>
          <w:trHeight w:val="332"/>
        </w:trPr>
        <w:tc>
          <w:tcPr>
            <w:tcW w:w="2150" w:type="dxa"/>
            <w:vMerge w:val="restart"/>
            <w:tcBorders>
              <w:left w:val="single" w:sz="4" w:space="0" w:color="auto"/>
            </w:tcBorders>
            <w:vAlign w:val="center"/>
            <w:hideMark/>
          </w:tcPr>
          <w:p w:rsidR="00EE474A" w:rsidRPr="00317BE2" w:rsidRDefault="00EE474A" w:rsidP="00EF4B76">
            <w:pPr>
              <w:pStyle w:val="Default"/>
              <w:spacing w:before="40" w:after="40"/>
              <w:ind w:left="326" w:hanging="326"/>
              <w:rPr>
                <w:rFonts w:ascii="Arial" w:hAnsi="Arial" w:cs="Arial"/>
                <w:sz w:val="20"/>
                <w:szCs w:val="20"/>
              </w:rPr>
            </w:pPr>
            <w:r w:rsidRPr="00317BE2">
              <w:rPr>
                <w:rFonts w:ascii="Arial" w:hAnsi="Arial" w:cs="Arial"/>
                <w:sz w:val="20"/>
                <w:szCs w:val="20"/>
                <w:lang w:eastAsia="el-GR"/>
              </w:rPr>
              <w:t>19. Present assessment of methodological quality &amp; quality of evidence</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19</w:t>
            </w:r>
          </w:p>
        </w:tc>
        <w:tc>
          <w:tcPr>
            <w:tcW w:w="6662" w:type="dxa"/>
            <w:gridSpan w:val="5"/>
            <w:vAlign w:val="center"/>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lang w:eastAsia="el-GR"/>
              </w:rPr>
              <w:t>Present results in text or/and tables</w:t>
            </w:r>
            <w:r w:rsidRPr="00317BE2">
              <w:rPr>
                <w:rFonts w:ascii="Arial" w:hAnsi="Arial" w:cs="Arial"/>
                <w:b/>
                <w:color w:val="8496B0" w:themeColor="text2" w:themeTint="99"/>
                <w:sz w:val="20"/>
                <w:szCs w:val="20"/>
                <w:vertAlign w:val="superscript"/>
              </w:rPr>
              <w:t>c</w:t>
            </w:r>
            <w:r w:rsidRPr="00317BE2">
              <w:rPr>
                <w:rFonts w:ascii="Arial" w:hAnsi="Arial" w:cs="Arial"/>
                <w:sz w:val="20"/>
                <w:szCs w:val="20"/>
                <w:lang w:eastAsia="el-GR"/>
              </w:rPr>
              <w:t xml:space="preserve"> of any quality assessment (see</w:t>
            </w:r>
            <w:r w:rsidRPr="00317BE2">
              <w:rPr>
                <w:rFonts w:ascii="Arial" w:hAnsi="Arial" w:cs="Arial"/>
                <w:sz w:val="20"/>
                <w:szCs w:val="20"/>
                <w:lang w:val="en-US" w:eastAsia="el-GR"/>
              </w:rPr>
              <w:t xml:space="preserve"> also</w:t>
            </w:r>
            <w:r w:rsidRPr="00317BE2">
              <w:rPr>
                <w:rFonts w:ascii="Arial" w:hAnsi="Arial" w:cs="Arial"/>
                <w:sz w:val="20"/>
                <w:szCs w:val="20"/>
                <w:lang w:eastAsia="el-GR"/>
              </w:rPr>
              <w:t xml:space="preserve"> subitems 13a-c):</w:t>
            </w:r>
          </w:p>
        </w:tc>
        <w:tc>
          <w:tcPr>
            <w:tcW w:w="1216" w:type="dxa"/>
            <w:tcBorders>
              <w:right w:val="single" w:sz="4" w:space="0" w:color="auto"/>
            </w:tcBorders>
            <w:vAlign w:val="center"/>
          </w:tcPr>
          <w:p w:rsidR="00EE474A" w:rsidRPr="00317BE2" w:rsidRDefault="002E264E" w:rsidP="00EF4B76">
            <w:pPr>
              <w:jc w:val="center"/>
              <w:rPr>
                <w:rFonts w:ascii="Arial" w:hAnsi="Arial" w:cs="Arial"/>
                <w:iCs/>
                <w:sz w:val="20"/>
                <w:szCs w:val="20"/>
                <w:lang w:val="en-US"/>
              </w:rPr>
            </w:pPr>
            <w:r>
              <w:rPr>
                <w:rFonts w:ascii="Arial" w:hAnsi="Arial" w:cs="Arial"/>
                <w:iCs/>
                <w:sz w:val="20"/>
                <w:szCs w:val="20"/>
                <w:lang w:val="en-US"/>
              </w:rPr>
              <w:t>13-14</w:t>
            </w:r>
            <w:r w:rsidR="00EE474A">
              <w:rPr>
                <w:rFonts w:ascii="Arial" w:hAnsi="Arial" w:cs="Arial"/>
                <w:iCs/>
                <w:sz w:val="20"/>
                <w:szCs w:val="20"/>
                <w:lang w:val="en-US"/>
              </w:rPr>
              <w:t>, Tables 2-6</w:t>
            </w:r>
          </w:p>
        </w:tc>
      </w:tr>
      <w:tr w:rsidR="00EE474A" w:rsidRPr="003E534D" w:rsidTr="00EF4B76">
        <w:trPr>
          <w:cantSplit/>
          <w:trHeight w:val="239"/>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p>
        </w:tc>
        <w:tc>
          <w:tcPr>
            <w:tcW w:w="6662" w:type="dxa"/>
            <w:gridSpan w:val="5"/>
            <w:vAlign w:val="center"/>
          </w:tcPr>
          <w:p w:rsidR="00EE474A" w:rsidRPr="00317BE2" w:rsidRDefault="00EE474A" w:rsidP="00EF4B76">
            <w:pPr>
              <w:pStyle w:val="Default"/>
              <w:numPr>
                <w:ilvl w:val="0"/>
                <w:numId w:val="3"/>
              </w:numPr>
              <w:spacing w:before="40" w:after="40"/>
              <w:ind w:left="459" w:hanging="284"/>
              <w:rPr>
                <w:rFonts w:ascii="Arial" w:hAnsi="Arial" w:cs="Arial"/>
                <w:sz w:val="20"/>
                <w:szCs w:val="20"/>
                <w:lang w:eastAsia="el-GR"/>
              </w:rPr>
            </w:pPr>
            <w:r w:rsidRPr="00317BE2">
              <w:rPr>
                <w:rFonts w:ascii="Arial" w:hAnsi="Arial" w:cs="Arial"/>
                <w:sz w:val="20"/>
                <w:szCs w:val="20"/>
                <w:lang w:eastAsia="el-GR"/>
              </w:rPr>
              <w:t>Reporting or/and methodological quality of the included SRs.</w:t>
            </w:r>
          </w:p>
        </w:tc>
        <w:tc>
          <w:tcPr>
            <w:tcW w:w="1216" w:type="dxa"/>
            <w:tcBorders>
              <w:right w:val="single" w:sz="4" w:space="0" w:color="auto"/>
            </w:tcBorders>
            <w:vAlign w:val="center"/>
          </w:tcPr>
          <w:p w:rsidR="00EE474A" w:rsidRDefault="002E264E" w:rsidP="00EF4B76">
            <w:pPr>
              <w:jc w:val="center"/>
              <w:rPr>
                <w:rFonts w:ascii="Arial" w:hAnsi="Arial" w:cs="Arial"/>
                <w:iCs/>
                <w:sz w:val="20"/>
                <w:szCs w:val="20"/>
                <w:lang w:val="en-US"/>
              </w:rPr>
            </w:pPr>
            <w:r>
              <w:rPr>
                <w:rFonts w:ascii="Arial" w:hAnsi="Arial" w:cs="Arial"/>
                <w:iCs/>
                <w:sz w:val="20"/>
                <w:szCs w:val="20"/>
                <w:lang w:val="en-US"/>
              </w:rPr>
              <w:t>13-14</w:t>
            </w:r>
            <w:r w:rsidR="00EE474A">
              <w:rPr>
                <w:rFonts w:ascii="Arial" w:hAnsi="Arial" w:cs="Arial"/>
                <w:iCs/>
                <w:sz w:val="20"/>
                <w:szCs w:val="20"/>
                <w:lang w:val="en-US"/>
              </w:rPr>
              <w:t xml:space="preserve">, </w:t>
            </w:r>
          </w:p>
          <w:p w:rsidR="00EE474A" w:rsidRPr="00317BE2" w:rsidRDefault="0037406B" w:rsidP="00EF4B76">
            <w:pPr>
              <w:jc w:val="center"/>
              <w:rPr>
                <w:rFonts w:ascii="Arial" w:hAnsi="Arial" w:cs="Arial"/>
                <w:iCs/>
                <w:sz w:val="20"/>
                <w:szCs w:val="20"/>
                <w:lang w:val="en-US"/>
              </w:rPr>
            </w:pPr>
            <w:r>
              <w:rPr>
                <w:rFonts w:ascii="Arial" w:hAnsi="Arial" w:cs="Arial"/>
                <w:iCs/>
                <w:sz w:val="20"/>
                <w:szCs w:val="20"/>
                <w:lang w:val="en-US"/>
              </w:rPr>
              <w:t>Table S5</w:t>
            </w:r>
          </w:p>
        </w:tc>
      </w:tr>
      <w:tr w:rsidR="00EE474A" w:rsidRPr="003E534D" w:rsidTr="00EF4B76">
        <w:trPr>
          <w:cantSplit/>
          <w:trHeight w:val="229"/>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p>
        </w:tc>
        <w:tc>
          <w:tcPr>
            <w:tcW w:w="6662" w:type="dxa"/>
            <w:gridSpan w:val="5"/>
            <w:vAlign w:val="center"/>
          </w:tcPr>
          <w:p w:rsidR="00EE474A" w:rsidRPr="00317BE2" w:rsidRDefault="00EE474A" w:rsidP="00EF4B76">
            <w:pPr>
              <w:pStyle w:val="Default"/>
              <w:numPr>
                <w:ilvl w:val="0"/>
                <w:numId w:val="3"/>
              </w:numPr>
              <w:spacing w:before="40" w:after="40"/>
              <w:ind w:left="459" w:hanging="284"/>
              <w:jc w:val="both"/>
              <w:rPr>
                <w:rFonts w:ascii="Arial" w:hAnsi="Arial" w:cs="Arial"/>
                <w:sz w:val="20"/>
                <w:szCs w:val="20"/>
              </w:rPr>
            </w:pPr>
            <w:r w:rsidRPr="00317BE2">
              <w:rPr>
                <w:rFonts w:ascii="Arial" w:hAnsi="Arial" w:cs="Arial"/>
                <w:sz w:val="20"/>
                <w:szCs w:val="20"/>
                <w:lang w:eastAsia="el-GR"/>
              </w:rPr>
              <w:t xml:space="preserve">Inform for the quality </w:t>
            </w:r>
            <w:r w:rsidRPr="00317BE2">
              <w:rPr>
                <w:rFonts w:ascii="Arial" w:hAnsi="Arial" w:cs="Arial"/>
                <w:sz w:val="20"/>
                <w:szCs w:val="20"/>
              </w:rPr>
              <w:t xml:space="preserve">of the individual studies that were included in the SRs (report results for sequence generation, allocation concealment, blinding, </w:t>
            </w:r>
            <w:r w:rsidRPr="00317BE2">
              <w:rPr>
                <w:rFonts w:ascii="Arial" w:eastAsiaTheme="minorHAnsi" w:hAnsi="Arial" w:cs="Arial"/>
                <w:sz w:val="20"/>
                <w:szCs w:val="20"/>
                <w:lang w:val="en-US"/>
              </w:rPr>
              <w:t>withdrawals,</w:t>
            </w:r>
            <w:r w:rsidRPr="00317BE2">
              <w:rPr>
                <w:rFonts w:ascii="Arial" w:hAnsi="Arial" w:cs="Arial"/>
                <w:sz w:val="20"/>
                <w:szCs w:val="20"/>
              </w:rPr>
              <w:t xml:space="preserve"> bias etc.) and for the additional included primary studies</w:t>
            </w:r>
            <w:r w:rsidRPr="00317BE2">
              <w:rPr>
                <w:rFonts w:ascii="Arial" w:hAnsi="Arial" w:cs="Arial"/>
                <w:sz w:val="20"/>
                <w:szCs w:val="20"/>
                <w:lang w:eastAsia="el-GR"/>
              </w:rPr>
              <w:t>.</w:t>
            </w:r>
          </w:p>
        </w:tc>
        <w:tc>
          <w:tcPr>
            <w:tcW w:w="1216" w:type="dxa"/>
            <w:tcBorders>
              <w:right w:val="single" w:sz="4" w:space="0" w:color="auto"/>
            </w:tcBorders>
            <w:vAlign w:val="center"/>
          </w:tcPr>
          <w:p w:rsidR="00EE474A" w:rsidRDefault="002E264E" w:rsidP="00EF4B76">
            <w:pPr>
              <w:jc w:val="center"/>
              <w:rPr>
                <w:rFonts w:ascii="Arial" w:hAnsi="Arial" w:cs="Arial"/>
                <w:iCs/>
                <w:sz w:val="20"/>
                <w:szCs w:val="20"/>
                <w:lang w:val="en-US"/>
              </w:rPr>
            </w:pPr>
            <w:r>
              <w:rPr>
                <w:rFonts w:ascii="Arial" w:hAnsi="Arial" w:cs="Arial"/>
                <w:iCs/>
                <w:sz w:val="20"/>
                <w:szCs w:val="20"/>
                <w:lang w:val="en-US"/>
              </w:rPr>
              <w:t>13-14</w:t>
            </w:r>
            <w:r w:rsidR="00EE474A">
              <w:rPr>
                <w:rFonts w:ascii="Arial" w:hAnsi="Arial" w:cs="Arial"/>
                <w:iCs/>
                <w:sz w:val="20"/>
                <w:szCs w:val="20"/>
                <w:lang w:val="en-US"/>
              </w:rPr>
              <w:t xml:space="preserve">, </w:t>
            </w:r>
          </w:p>
          <w:p w:rsidR="00471215" w:rsidRDefault="00471215" w:rsidP="00EF4B76">
            <w:pPr>
              <w:jc w:val="center"/>
              <w:rPr>
                <w:rFonts w:ascii="Arial" w:hAnsi="Arial" w:cs="Arial"/>
                <w:iCs/>
                <w:sz w:val="20"/>
                <w:szCs w:val="20"/>
                <w:lang w:val="en-US"/>
              </w:rPr>
            </w:pPr>
            <w:r>
              <w:rPr>
                <w:rFonts w:ascii="Arial" w:hAnsi="Arial" w:cs="Arial"/>
                <w:iCs/>
                <w:sz w:val="20"/>
                <w:szCs w:val="20"/>
                <w:lang w:val="en-US"/>
              </w:rPr>
              <w:t xml:space="preserve">Tables </w:t>
            </w:r>
          </w:p>
          <w:p w:rsidR="00EE474A" w:rsidRPr="00317BE2" w:rsidRDefault="00471215" w:rsidP="00EF4B76">
            <w:pPr>
              <w:jc w:val="center"/>
              <w:rPr>
                <w:rFonts w:ascii="Arial" w:hAnsi="Arial" w:cs="Arial"/>
                <w:iCs/>
                <w:sz w:val="20"/>
                <w:szCs w:val="20"/>
                <w:lang w:val="en-US"/>
              </w:rPr>
            </w:pPr>
            <w:r>
              <w:rPr>
                <w:rFonts w:ascii="Arial" w:hAnsi="Arial" w:cs="Arial"/>
                <w:iCs/>
                <w:sz w:val="20"/>
                <w:szCs w:val="20"/>
                <w:lang w:val="en-US"/>
              </w:rPr>
              <w:t>S6-8</w:t>
            </w:r>
          </w:p>
        </w:tc>
      </w:tr>
      <w:tr w:rsidR="00EE474A" w:rsidRPr="00317BE2" w:rsidTr="00EF4B76">
        <w:trPr>
          <w:cantSplit/>
          <w:trHeight w:val="219"/>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p>
        </w:tc>
        <w:tc>
          <w:tcPr>
            <w:tcW w:w="6662" w:type="dxa"/>
            <w:gridSpan w:val="5"/>
            <w:vAlign w:val="center"/>
          </w:tcPr>
          <w:p w:rsidR="00EE474A" w:rsidRPr="00317BE2" w:rsidRDefault="00EE474A" w:rsidP="00EF4B76">
            <w:pPr>
              <w:pStyle w:val="Default"/>
              <w:numPr>
                <w:ilvl w:val="0"/>
                <w:numId w:val="3"/>
              </w:numPr>
              <w:spacing w:before="40" w:after="40"/>
              <w:ind w:left="459" w:hanging="284"/>
              <w:rPr>
                <w:rFonts w:ascii="Arial" w:hAnsi="Arial" w:cs="Arial"/>
                <w:sz w:val="20"/>
                <w:szCs w:val="20"/>
              </w:rPr>
            </w:pPr>
            <w:r w:rsidRPr="00317BE2">
              <w:rPr>
                <w:rFonts w:ascii="Arial" w:hAnsi="Arial" w:cs="Arial"/>
                <w:sz w:val="20"/>
                <w:szCs w:val="20"/>
                <w:lang w:eastAsia="el-GR"/>
              </w:rPr>
              <w:t>Quality of evidence.</w:t>
            </w:r>
          </w:p>
        </w:tc>
        <w:tc>
          <w:tcPr>
            <w:tcW w:w="1216" w:type="dxa"/>
            <w:tcBorders>
              <w:right w:val="single" w:sz="4" w:space="0" w:color="auto"/>
            </w:tcBorders>
            <w:vAlign w:val="center"/>
          </w:tcPr>
          <w:p w:rsidR="00EE474A" w:rsidRPr="005F20EC" w:rsidRDefault="00EE474A" w:rsidP="00EF4B76">
            <w:pPr>
              <w:jc w:val="center"/>
              <w:rPr>
                <w:rFonts w:ascii="Arial" w:hAnsi="Arial" w:cs="Arial"/>
                <w:iCs/>
                <w:sz w:val="20"/>
                <w:szCs w:val="20"/>
                <w:lang w:val="en-US"/>
              </w:rPr>
            </w:pPr>
            <w:r>
              <w:rPr>
                <w:rFonts w:ascii="Arial" w:hAnsi="Arial" w:cs="Arial"/>
                <w:iCs/>
                <w:sz w:val="20"/>
                <w:szCs w:val="20"/>
                <w:lang w:val="en-US"/>
              </w:rPr>
              <w:t>Appendix 6</w:t>
            </w:r>
          </w:p>
        </w:tc>
      </w:tr>
      <w:tr w:rsidR="00EE474A" w:rsidRPr="005F4CD3" w:rsidTr="00EF4B76">
        <w:trPr>
          <w:cantSplit/>
          <w:trHeight w:val="398"/>
        </w:trPr>
        <w:tc>
          <w:tcPr>
            <w:tcW w:w="2150" w:type="dxa"/>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eastAsiaTheme="minorHAnsi" w:hAnsi="Arial" w:cs="Arial"/>
                <w:bCs/>
                <w:sz w:val="20"/>
                <w:szCs w:val="20"/>
                <w:lang w:val="en-US"/>
              </w:rPr>
              <w:t>20. Present m</w:t>
            </w:r>
            <w:r w:rsidRPr="00317BE2">
              <w:rPr>
                <w:rFonts w:ascii="Arial" w:eastAsiaTheme="minorHAnsi" w:hAnsi="Arial" w:cs="Arial"/>
                <w:bCs/>
                <w:sz w:val="20"/>
                <w:szCs w:val="20"/>
                <w:lang w:val="el-GR"/>
              </w:rPr>
              <w:t>eta-bias(es)</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20</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Present results of any assessment of meta-bias(es) (such as publication bias or selective reporting across studies, ROBIS assessment).</w:t>
            </w:r>
          </w:p>
        </w:tc>
        <w:tc>
          <w:tcPr>
            <w:tcW w:w="1216" w:type="dxa"/>
            <w:tcBorders>
              <w:right w:val="single" w:sz="4" w:space="0" w:color="auto"/>
            </w:tcBorders>
            <w:vAlign w:val="center"/>
          </w:tcPr>
          <w:p w:rsidR="00EE474A" w:rsidRPr="00317BE2" w:rsidRDefault="00FF2505" w:rsidP="00EF4B76">
            <w:pPr>
              <w:jc w:val="center"/>
              <w:rPr>
                <w:rFonts w:ascii="Arial" w:hAnsi="Arial" w:cs="Arial"/>
                <w:iCs/>
                <w:sz w:val="20"/>
                <w:szCs w:val="20"/>
                <w:lang w:val="en-US"/>
              </w:rPr>
            </w:pPr>
            <w:r>
              <w:rPr>
                <w:rFonts w:ascii="Arial" w:hAnsi="Arial" w:cs="Arial"/>
                <w:iCs/>
                <w:sz w:val="20"/>
                <w:szCs w:val="20"/>
                <w:lang w:val="en-US"/>
              </w:rPr>
              <w:t>Table S1</w:t>
            </w:r>
          </w:p>
        </w:tc>
      </w:tr>
      <w:tr w:rsidR="00EE474A" w:rsidRPr="003E534D" w:rsidTr="00EF4B76">
        <w:trPr>
          <w:cantSplit/>
          <w:trHeight w:val="534"/>
        </w:trPr>
        <w:tc>
          <w:tcPr>
            <w:tcW w:w="2150" w:type="dxa"/>
            <w:vMerge w:val="restart"/>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21. Synthesis of results</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21a</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color w:val="000000"/>
                <w:kern w:val="1"/>
                <w:sz w:val="20"/>
                <w:szCs w:val="20"/>
                <w:lang w:val="en-US"/>
              </w:rPr>
              <w:t xml:space="preserve">Summarize and present the main findings of the overview for benefits and harms. </w:t>
            </w:r>
            <w:r w:rsidRPr="00317BE2">
              <w:rPr>
                <w:rFonts w:ascii="Arial" w:hAnsi="Arial" w:cs="Arial"/>
                <w:kern w:val="1"/>
                <w:sz w:val="20"/>
                <w:szCs w:val="20"/>
                <w:lang w:val="en-US"/>
              </w:rPr>
              <w:t xml:space="preserve">If a quantitative synthesis has been conducted, </w:t>
            </w:r>
            <w:r w:rsidRPr="00317BE2">
              <w:rPr>
                <w:rFonts w:ascii="Arial" w:hAnsi="Arial" w:cs="Arial"/>
                <w:color w:val="000000"/>
                <w:kern w:val="1"/>
                <w:sz w:val="20"/>
                <w:szCs w:val="20"/>
                <w:lang w:val="en-US"/>
              </w:rPr>
              <w:t>present each summary measure with a confidence interval, prediction interval or a credible interval and measures of heterogeneity or inconsistency.</w:t>
            </w:r>
          </w:p>
        </w:tc>
        <w:tc>
          <w:tcPr>
            <w:tcW w:w="1216" w:type="dxa"/>
            <w:tcBorders>
              <w:right w:val="single" w:sz="4" w:space="0" w:color="auto"/>
            </w:tcBorders>
            <w:vAlign w:val="center"/>
          </w:tcPr>
          <w:p w:rsidR="00EE474A" w:rsidRPr="00317BE2" w:rsidRDefault="0064412B" w:rsidP="00EF4B76">
            <w:pPr>
              <w:jc w:val="center"/>
              <w:rPr>
                <w:rFonts w:ascii="Arial" w:hAnsi="Arial" w:cs="Arial"/>
                <w:iCs/>
                <w:sz w:val="20"/>
                <w:szCs w:val="20"/>
                <w:lang w:val="en-US"/>
              </w:rPr>
            </w:pPr>
            <w:r>
              <w:rPr>
                <w:rFonts w:ascii="Arial" w:hAnsi="Arial" w:cs="Arial"/>
                <w:iCs/>
                <w:sz w:val="20"/>
                <w:szCs w:val="20"/>
                <w:lang w:val="en-US"/>
              </w:rPr>
              <w:t>14-24</w:t>
            </w:r>
          </w:p>
        </w:tc>
      </w:tr>
      <w:tr w:rsidR="00EE474A" w:rsidRPr="003E534D" w:rsidTr="00EF4B76">
        <w:trPr>
          <w:cantSplit/>
          <w:trHeight w:val="157"/>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21b</w:t>
            </w:r>
          </w:p>
        </w:tc>
        <w:tc>
          <w:tcPr>
            <w:tcW w:w="6662" w:type="dxa"/>
            <w:gridSpan w:val="5"/>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color w:val="000000"/>
                <w:sz w:val="20"/>
                <w:szCs w:val="20"/>
                <w:lang w:val="en-US"/>
              </w:rPr>
              <w:t>Give results of any additional analyses (such as sensitivity, subgroup analyses, or meta-regression).</w:t>
            </w:r>
          </w:p>
        </w:tc>
        <w:tc>
          <w:tcPr>
            <w:tcW w:w="1216" w:type="dxa"/>
            <w:tcBorders>
              <w:right w:val="single" w:sz="4" w:space="0" w:color="auto"/>
            </w:tcBorders>
            <w:vAlign w:val="center"/>
          </w:tcPr>
          <w:p w:rsidR="00EE474A" w:rsidRPr="00317BE2" w:rsidRDefault="0064412B" w:rsidP="00EF4B76">
            <w:pPr>
              <w:jc w:val="center"/>
              <w:rPr>
                <w:rFonts w:ascii="Arial" w:hAnsi="Arial" w:cs="Arial"/>
                <w:iCs/>
                <w:sz w:val="20"/>
                <w:szCs w:val="20"/>
                <w:lang w:val="en-US"/>
              </w:rPr>
            </w:pPr>
            <w:r>
              <w:rPr>
                <w:rFonts w:ascii="Arial" w:hAnsi="Arial" w:cs="Arial"/>
                <w:iCs/>
                <w:sz w:val="20"/>
                <w:szCs w:val="20"/>
                <w:lang w:val="en-US"/>
              </w:rPr>
              <w:t>14-24</w:t>
            </w:r>
          </w:p>
        </w:tc>
      </w:tr>
      <w:tr w:rsidR="00EE474A" w:rsidRPr="003E534D" w:rsidTr="00EF4B76">
        <w:trPr>
          <w:cantSplit/>
          <w:trHeight w:val="255"/>
        </w:trPr>
        <w:tc>
          <w:tcPr>
            <w:tcW w:w="2150" w:type="dxa"/>
            <w:vMerge/>
            <w:tcBorders>
              <w:left w:val="single" w:sz="4" w:space="0" w:color="auto"/>
              <w:bottom w:val="double" w:sz="6"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tcBorders>
              <w:bottom w:val="double" w:sz="6"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21c</w:t>
            </w:r>
          </w:p>
        </w:tc>
        <w:tc>
          <w:tcPr>
            <w:tcW w:w="6662" w:type="dxa"/>
            <w:gridSpan w:val="5"/>
            <w:tcBorders>
              <w:bottom w:val="double" w:sz="6"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Report results for adverse events separately for each intervention.</w:t>
            </w:r>
          </w:p>
        </w:tc>
        <w:tc>
          <w:tcPr>
            <w:tcW w:w="1216" w:type="dxa"/>
            <w:tcBorders>
              <w:bottom w:val="double" w:sz="6" w:space="0" w:color="auto"/>
              <w:right w:val="single" w:sz="4" w:space="0" w:color="auto"/>
            </w:tcBorders>
            <w:vAlign w:val="center"/>
          </w:tcPr>
          <w:p w:rsidR="00EE474A" w:rsidRPr="00317BE2" w:rsidRDefault="0064412B" w:rsidP="00EF4B76">
            <w:pPr>
              <w:jc w:val="center"/>
              <w:rPr>
                <w:rFonts w:ascii="Arial" w:hAnsi="Arial" w:cs="Arial"/>
                <w:iCs/>
                <w:sz w:val="20"/>
                <w:szCs w:val="20"/>
                <w:lang w:val="en-US"/>
              </w:rPr>
            </w:pPr>
            <w:r>
              <w:rPr>
                <w:rFonts w:ascii="Arial" w:hAnsi="Arial" w:cs="Arial"/>
                <w:iCs/>
                <w:sz w:val="20"/>
                <w:szCs w:val="20"/>
                <w:lang w:val="en-US"/>
              </w:rPr>
              <w:t>14-24</w:t>
            </w:r>
          </w:p>
        </w:tc>
      </w:tr>
      <w:tr w:rsidR="00EE474A" w:rsidRPr="00317BE2" w:rsidTr="00EF4B76">
        <w:trPr>
          <w:cantSplit/>
          <w:trHeight w:val="300"/>
        </w:trPr>
        <w:tc>
          <w:tcPr>
            <w:tcW w:w="9747" w:type="dxa"/>
            <w:gridSpan w:val="7"/>
            <w:tcBorders>
              <w:top w:val="double" w:sz="6" w:space="0" w:color="auto"/>
              <w:left w:val="single" w:sz="4" w:space="0" w:color="auto"/>
              <w:bottom w:val="single" w:sz="6" w:space="0" w:color="auto"/>
            </w:tcBorders>
            <w:shd w:val="clear" w:color="auto" w:fill="FFFFCC"/>
            <w:vAlign w:val="center"/>
            <w:hideMark/>
          </w:tcPr>
          <w:p w:rsidR="00EE474A" w:rsidRPr="00317BE2" w:rsidRDefault="00EE474A" w:rsidP="00EF4B76">
            <w:pPr>
              <w:pStyle w:val="Default"/>
              <w:spacing w:before="40" w:after="40"/>
              <w:rPr>
                <w:rFonts w:ascii="Arial" w:hAnsi="Arial" w:cs="Arial"/>
                <w:sz w:val="20"/>
                <w:szCs w:val="20"/>
                <w:lang w:val="el-GR"/>
              </w:rPr>
            </w:pPr>
            <w:r w:rsidRPr="00317BE2">
              <w:rPr>
                <w:rFonts w:ascii="Arial" w:hAnsi="Arial" w:cs="Arial"/>
                <w:b/>
                <w:sz w:val="20"/>
                <w:szCs w:val="20"/>
              </w:rPr>
              <w:t>DISCUSSION</w:t>
            </w:r>
          </w:p>
        </w:tc>
        <w:tc>
          <w:tcPr>
            <w:tcW w:w="1216" w:type="dxa"/>
            <w:tcBorders>
              <w:top w:val="double" w:sz="6" w:space="0" w:color="auto"/>
              <w:bottom w:val="single" w:sz="6" w:space="0" w:color="auto"/>
              <w:right w:val="single" w:sz="4" w:space="0" w:color="auto"/>
            </w:tcBorders>
            <w:shd w:val="clear" w:color="auto" w:fill="FFFFCC"/>
            <w:vAlign w:val="center"/>
          </w:tcPr>
          <w:p w:rsidR="00EE474A" w:rsidRPr="00317BE2" w:rsidRDefault="00EE474A" w:rsidP="00EF4B76">
            <w:pPr>
              <w:jc w:val="center"/>
              <w:rPr>
                <w:rFonts w:ascii="Arial" w:hAnsi="Arial" w:cs="Arial"/>
                <w:iCs/>
                <w:sz w:val="20"/>
                <w:szCs w:val="20"/>
              </w:rPr>
            </w:pPr>
          </w:p>
        </w:tc>
      </w:tr>
      <w:tr w:rsidR="00EE474A" w:rsidRPr="003E534D" w:rsidTr="00EF4B76">
        <w:trPr>
          <w:cantSplit/>
          <w:trHeight w:val="416"/>
        </w:trPr>
        <w:tc>
          <w:tcPr>
            <w:tcW w:w="2150" w:type="dxa"/>
            <w:tcBorders>
              <w:top w:val="single" w:sz="6" w:space="0" w:color="auto"/>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22. Summary of evidence</w:t>
            </w:r>
          </w:p>
        </w:tc>
        <w:tc>
          <w:tcPr>
            <w:tcW w:w="935" w:type="dxa"/>
            <w:tcBorders>
              <w:top w:val="single" w:sz="6" w:space="0" w:color="auto"/>
            </w:tcBorders>
            <w:vAlign w:val="center"/>
            <w:hideMark/>
          </w:tcPr>
          <w:p w:rsidR="00EE474A" w:rsidRPr="00317BE2" w:rsidRDefault="00EE474A" w:rsidP="00EF4B76">
            <w:pPr>
              <w:pStyle w:val="Default"/>
              <w:spacing w:before="40" w:after="40"/>
              <w:rPr>
                <w:rFonts w:ascii="Arial" w:hAnsi="Arial" w:cs="Arial"/>
                <w:sz w:val="20"/>
                <w:szCs w:val="20"/>
                <w:lang w:val="el-GR"/>
              </w:rPr>
            </w:pPr>
            <w:r w:rsidRPr="00317BE2">
              <w:rPr>
                <w:rFonts w:ascii="Arial" w:hAnsi="Arial" w:cs="Arial"/>
                <w:sz w:val="20"/>
                <w:szCs w:val="20"/>
                <w:lang w:val="el-GR"/>
              </w:rPr>
              <w:t>22</w:t>
            </w:r>
          </w:p>
        </w:tc>
        <w:tc>
          <w:tcPr>
            <w:tcW w:w="6662" w:type="dxa"/>
            <w:gridSpan w:val="5"/>
            <w:tcBorders>
              <w:top w:val="single" w:sz="6" w:space="0" w:color="auto"/>
            </w:tcBorders>
            <w:vAlign w:val="center"/>
          </w:tcPr>
          <w:p w:rsidR="00EE474A" w:rsidRPr="00317BE2" w:rsidRDefault="00EE474A" w:rsidP="00EF4B76">
            <w:pPr>
              <w:autoSpaceDE w:val="0"/>
              <w:autoSpaceDN w:val="0"/>
              <w:adjustRightInd w:val="0"/>
              <w:jc w:val="both"/>
              <w:rPr>
                <w:rFonts w:ascii="Arial" w:hAnsi="Arial" w:cs="Arial"/>
                <w:sz w:val="20"/>
                <w:szCs w:val="20"/>
                <w:lang w:val="en-US" w:eastAsia="el-GR"/>
              </w:rPr>
            </w:pPr>
            <w:r w:rsidRPr="00317BE2">
              <w:rPr>
                <w:rFonts w:ascii="Arial" w:hAnsi="Arial" w:cs="Arial"/>
                <w:sz w:val="20"/>
                <w:szCs w:val="20"/>
                <w:lang w:val="en-US" w:eastAsia="el-GR"/>
              </w:rPr>
              <w:t xml:space="preserve">Provide a concise summary of the main findings with the strength and shortcomings of evidence for each main outcome. </w:t>
            </w:r>
          </w:p>
        </w:tc>
        <w:tc>
          <w:tcPr>
            <w:tcW w:w="1216" w:type="dxa"/>
            <w:tcBorders>
              <w:top w:val="single" w:sz="6" w:space="0" w:color="auto"/>
              <w:right w:val="single" w:sz="4" w:space="0" w:color="auto"/>
            </w:tcBorders>
            <w:vAlign w:val="center"/>
          </w:tcPr>
          <w:p w:rsidR="00EE474A" w:rsidRPr="00317BE2" w:rsidRDefault="0064412B" w:rsidP="00EF4B76">
            <w:pPr>
              <w:jc w:val="center"/>
              <w:rPr>
                <w:rFonts w:ascii="Arial" w:hAnsi="Arial" w:cs="Arial"/>
                <w:iCs/>
                <w:sz w:val="20"/>
                <w:szCs w:val="20"/>
                <w:lang w:val="en-US"/>
              </w:rPr>
            </w:pPr>
            <w:r>
              <w:rPr>
                <w:rFonts w:ascii="Arial" w:hAnsi="Arial" w:cs="Arial"/>
                <w:iCs/>
                <w:sz w:val="20"/>
                <w:szCs w:val="20"/>
                <w:lang w:val="en-US"/>
              </w:rPr>
              <w:t>25-30</w:t>
            </w:r>
          </w:p>
        </w:tc>
      </w:tr>
      <w:tr w:rsidR="00EE474A" w:rsidRPr="005F4CD3" w:rsidTr="00EF4B76">
        <w:trPr>
          <w:cantSplit/>
          <w:trHeight w:val="409"/>
        </w:trPr>
        <w:tc>
          <w:tcPr>
            <w:tcW w:w="2150" w:type="dxa"/>
            <w:vMerge w:val="restart"/>
            <w:tcBorders>
              <w:top w:val="single" w:sz="6" w:space="0" w:color="auto"/>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23. Limitations</w:t>
            </w:r>
          </w:p>
        </w:tc>
        <w:tc>
          <w:tcPr>
            <w:tcW w:w="935" w:type="dxa"/>
            <w:tcBorders>
              <w:top w:val="single" w:sz="6" w:space="0" w:color="auto"/>
            </w:tcBorders>
            <w:vAlign w:val="center"/>
            <w:hideMark/>
          </w:tcPr>
          <w:p w:rsidR="00EE474A" w:rsidRPr="00317BE2" w:rsidRDefault="00EE474A" w:rsidP="00EF4B76">
            <w:pPr>
              <w:pStyle w:val="Default"/>
              <w:spacing w:before="40" w:after="40"/>
              <w:rPr>
                <w:rFonts w:ascii="Arial" w:hAnsi="Arial" w:cs="Arial"/>
                <w:sz w:val="20"/>
                <w:szCs w:val="20"/>
                <w:lang w:val="en-US"/>
              </w:rPr>
            </w:pPr>
            <w:r w:rsidRPr="00317BE2">
              <w:rPr>
                <w:rFonts w:ascii="Arial" w:hAnsi="Arial" w:cs="Arial"/>
                <w:sz w:val="20"/>
                <w:szCs w:val="20"/>
                <w:lang w:val="en-US"/>
              </w:rPr>
              <w:t>23a</w:t>
            </w:r>
          </w:p>
        </w:tc>
        <w:tc>
          <w:tcPr>
            <w:tcW w:w="6662" w:type="dxa"/>
            <w:gridSpan w:val="5"/>
            <w:tcBorders>
              <w:top w:val="single" w:sz="6"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 xml:space="preserve">Discuss limitations of either the overview or included studies (or both) (e.g. different eligibility criteria, </w:t>
            </w:r>
            <w:r w:rsidRPr="00317BE2">
              <w:rPr>
                <w:rFonts w:ascii="Arial" w:hAnsi="Arial" w:cs="Arial"/>
                <w:sz w:val="20"/>
                <w:szCs w:val="20"/>
              </w:rPr>
              <w:t>limitations of searching reviews, language restrictions,</w:t>
            </w:r>
            <w:r w:rsidRPr="00317BE2">
              <w:rPr>
                <w:rFonts w:ascii="Arial" w:hAnsi="Arial" w:cs="Arial"/>
                <w:sz w:val="20"/>
                <w:szCs w:val="20"/>
                <w:lang w:eastAsia="el-GR"/>
              </w:rPr>
              <w:t xml:space="preserve"> publication and selection bias).</w:t>
            </w:r>
          </w:p>
        </w:tc>
        <w:tc>
          <w:tcPr>
            <w:tcW w:w="1216" w:type="dxa"/>
            <w:tcBorders>
              <w:top w:val="single" w:sz="6" w:space="0" w:color="auto"/>
              <w:right w:val="single" w:sz="4" w:space="0" w:color="auto"/>
            </w:tcBorders>
            <w:vAlign w:val="center"/>
          </w:tcPr>
          <w:p w:rsidR="00EE474A" w:rsidRPr="00317BE2" w:rsidRDefault="0064412B" w:rsidP="00EF4B76">
            <w:pPr>
              <w:jc w:val="center"/>
              <w:rPr>
                <w:rFonts w:ascii="Arial" w:hAnsi="Arial" w:cs="Arial"/>
                <w:iCs/>
                <w:sz w:val="20"/>
                <w:szCs w:val="20"/>
                <w:lang w:val="en-US"/>
              </w:rPr>
            </w:pPr>
            <w:r>
              <w:rPr>
                <w:rFonts w:ascii="Arial" w:hAnsi="Arial" w:cs="Arial"/>
                <w:iCs/>
                <w:sz w:val="20"/>
                <w:szCs w:val="20"/>
                <w:lang w:val="en-US"/>
              </w:rPr>
              <w:t>25-30</w:t>
            </w:r>
          </w:p>
        </w:tc>
      </w:tr>
      <w:tr w:rsidR="00EE474A" w:rsidRPr="003E534D" w:rsidTr="00EF4B76">
        <w:trPr>
          <w:cantSplit/>
          <w:trHeight w:val="369"/>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tcBorders>
              <w:top w:val="single" w:sz="6"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23b</w:t>
            </w:r>
          </w:p>
        </w:tc>
        <w:tc>
          <w:tcPr>
            <w:tcW w:w="6662" w:type="dxa"/>
            <w:gridSpan w:val="5"/>
            <w:tcBorders>
              <w:top w:val="single" w:sz="6"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Report possible limitations of the included reviews related to harms (issues of missing data and information, definitions of harms, rare adverse effects).</w:t>
            </w:r>
          </w:p>
        </w:tc>
        <w:tc>
          <w:tcPr>
            <w:tcW w:w="1216" w:type="dxa"/>
            <w:tcBorders>
              <w:top w:val="single" w:sz="6" w:space="0" w:color="auto"/>
              <w:right w:val="single" w:sz="4" w:space="0" w:color="auto"/>
            </w:tcBorders>
            <w:vAlign w:val="center"/>
          </w:tcPr>
          <w:p w:rsidR="00EE474A" w:rsidRPr="00317BE2" w:rsidRDefault="0064412B" w:rsidP="00EF4B76">
            <w:pPr>
              <w:jc w:val="center"/>
              <w:rPr>
                <w:rFonts w:ascii="Arial" w:hAnsi="Arial" w:cs="Arial"/>
                <w:iCs/>
                <w:sz w:val="20"/>
                <w:szCs w:val="20"/>
                <w:lang w:val="en-US"/>
              </w:rPr>
            </w:pPr>
            <w:r>
              <w:rPr>
                <w:rFonts w:ascii="Arial" w:hAnsi="Arial" w:cs="Arial"/>
                <w:iCs/>
                <w:sz w:val="20"/>
                <w:szCs w:val="20"/>
                <w:lang w:val="en-US"/>
              </w:rPr>
              <w:t>25-30</w:t>
            </w:r>
          </w:p>
        </w:tc>
      </w:tr>
      <w:tr w:rsidR="00EE474A" w:rsidRPr="003E534D" w:rsidTr="00EF4B76">
        <w:trPr>
          <w:cantSplit/>
          <w:trHeight w:val="459"/>
        </w:trPr>
        <w:tc>
          <w:tcPr>
            <w:tcW w:w="2150" w:type="dxa"/>
            <w:vMerge w:val="restart"/>
            <w:tcBorders>
              <w:top w:val="single" w:sz="6" w:space="0" w:color="auto"/>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24. Conclusions</w:t>
            </w:r>
          </w:p>
        </w:tc>
        <w:tc>
          <w:tcPr>
            <w:tcW w:w="935" w:type="dxa"/>
            <w:tcBorders>
              <w:top w:val="single" w:sz="6"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24a</w:t>
            </w:r>
          </w:p>
        </w:tc>
        <w:tc>
          <w:tcPr>
            <w:tcW w:w="6662" w:type="dxa"/>
            <w:gridSpan w:val="5"/>
            <w:tcBorders>
              <w:top w:val="single" w:sz="6"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val="en-US"/>
              </w:rPr>
              <w:t>Provide a general interpretation of the results in coherence with the review findings</w:t>
            </w:r>
            <w:r w:rsidRPr="00317BE2">
              <w:rPr>
                <w:rFonts w:ascii="Arial" w:hAnsi="Arial" w:cs="Arial"/>
                <w:sz w:val="20"/>
                <w:szCs w:val="20"/>
                <w:lang w:val="en-US" w:eastAsia="el-GR"/>
              </w:rPr>
              <w:t xml:space="preserve"> and present implications for practice</w:t>
            </w:r>
            <w:r w:rsidRPr="00317BE2">
              <w:rPr>
                <w:rFonts w:ascii="Arial" w:hAnsi="Arial" w:cs="Arial"/>
                <w:sz w:val="20"/>
                <w:szCs w:val="20"/>
                <w:lang w:val="en-US"/>
              </w:rPr>
              <w:t xml:space="preserve">; </w:t>
            </w:r>
            <w:r w:rsidRPr="00317BE2">
              <w:rPr>
                <w:rFonts w:ascii="Arial" w:hAnsi="Arial" w:cs="Arial"/>
                <w:sz w:val="20"/>
                <w:szCs w:val="20"/>
              </w:rPr>
              <w:t>consider the harms equally as carefully as the benefits</w:t>
            </w:r>
            <w:r w:rsidRPr="00317BE2">
              <w:rPr>
                <w:rFonts w:ascii="Arial" w:hAnsi="Arial" w:cs="Arial"/>
                <w:sz w:val="20"/>
                <w:szCs w:val="20"/>
                <w:lang w:val="en-US"/>
              </w:rPr>
              <w:t xml:space="preserve"> and in the context of other evidence.</w:t>
            </w:r>
          </w:p>
        </w:tc>
        <w:tc>
          <w:tcPr>
            <w:tcW w:w="1216" w:type="dxa"/>
            <w:tcBorders>
              <w:top w:val="single" w:sz="6" w:space="0" w:color="auto"/>
              <w:right w:val="single" w:sz="4" w:space="0" w:color="auto"/>
            </w:tcBorders>
            <w:vAlign w:val="center"/>
          </w:tcPr>
          <w:p w:rsidR="00EE474A" w:rsidRPr="00317BE2" w:rsidRDefault="0064412B" w:rsidP="00EF4B76">
            <w:pPr>
              <w:jc w:val="center"/>
              <w:rPr>
                <w:rFonts w:ascii="Arial" w:hAnsi="Arial" w:cs="Arial"/>
                <w:iCs/>
                <w:sz w:val="20"/>
                <w:szCs w:val="20"/>
                <w:lang w:val="en-US"/>
              </w:rPr>
            </w:pPr>
            <w:r>
              <w:rPr>
                <w:rFonts w:ascii="Arial" w:hAnsi="Arial" w:cs="Arial"/>
                <w:iCs/>
                <w:sz w:val="20"/>
                <w:szCs w:val="20"/>
                <w:lang w:val="en-US"/>
              </w:rPr>
              <w:t>25-30</w:t>
            </w:r>
          </w:p>
        </w:tc>
      </w:tr>
      <w:tr w:rsidR="00EE474A" w:rsidRPr="003E534D" w:rsidTr="00EF4B76">
        <w:trPr>
          <w:cantSplit/>
          <w:trHeight w:val="262"/>
        </w:trPr>
        <w:tc>
          <w:tcPr>
            <w:tcW w:w="2150" w:type="dxa"/>
            <w:vMerge/>
            <w:tcBorders>
              <w:left w:val="single" w:sz="4" w:space="0" w:color="auto"/>
              <w:bottom w:val="double" w:sz="2"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tcBorders>
              <w:top w:val="single" w:sz="6" w:space="0" w:color="auto"/>
              <w:bottom w:val="double" w:sz="2"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24b</w:t>
            </w:r>
          </w:p>
        </w:tc>
        <w:tc>
          <w:tcPr>
            <w:tcW w:w="6662" w:type="dxa"/>
            <w:gridSpan w:val="5"/>
            <w:tcBorders>
              <w:top w:val="single" w:sz="6" w:space="0" w:color="auto"/>
              <w:bottom w:val="double" w:sz="2"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val="en-US" w:eastAsia="el-GR"/>
              </w:rPr>
              <w:t>Present implications for future research.</w:t>
            </w:r>
          </w:p>
        </w:tc>
        <w:tc>
          <w:tcPr>
            <w:tcW w:w="1216" w:type="dxa"/>
            <w:tcBorders>
              <w:top w:val="single" w:sz="6" w:space="0" w:color="auto"/>
              <w:bottom w:val="double" w:sz="2" w:space="0" w:color="auto"/>
              <w:right w:val="single" w:sz="4" w:space="0" w:color="auto"/>
            </w:tcBorders>
            <w:vAlign w:val="center"/>
          </w:tcPr>
          <w:p w:rsidR="00EE474A" w:rsidRPr="00317BE2" w:rsidRDefault="0064412B" w:rsidP="00EF4B76">
            <w:pPr>
              <w:jc w:val="center"/>
              <w:rPr>
                <w:rFonts w:ascii="Arial" w:hAnsi="Arial" w:cs="Arial"/>
                <w:iCs/>
                <w:sz w:val="20"/>
                <w:szCs w:val="20"/>
                <w:lang w:val="en-US"/>
              </w:rPr>
            </w:pPr>
            <w:r>
              <w:rPr>
                <w:rFonts w:ascii="Arial" w:hAnsi="Arial" w:cs="Arial"/>
                <w:iCs/>
                <w:sz w:val="20"/>
                <w:szCs w:val="20"/>
                <w:lang w:val="en-US"/>
              </w:rPr>
              <w:t>30</w:t>
            </w:r>
          </w:p>
        </w:tc>
      </w:tr>
      <w:tr w:rsidR="00EE474A" w:rsidRPr="00317BE2" w:rsidTr="00EF4B76">
        <w:trPr>
          <w:cantSplit/>
          <w:trHeight w:val="342"/>
        </w:trPr>
        <w:tc>
          <w:tcPr>
            <w:tcW w:w="9747" w:type="dxa"/>
            <w:gridSpan w:val="7"/>
            <w:tcBorders>
              <w:top w:val="double" w:sz="2" w:space="0" w:color="auto"/>
              <w:left w:val="single" w:sz="4" w:space="0" w:color="auto"/>
            </w:tcBorders>
            <w:shd w:val="clear" w:color="auto" w:fill="FFFFCC"/>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b/>
                <w:sz w:val="20"/>
                <w:szCs w:val="20"/>
              </w:rPr>
              <w:t>AUTHORSHIP</w:t>
            </w:r>
          </w:p>
        </w:tc>
        <w:tc>
          <w:tcPr>
            <w:tcW w:w="1216" w:type="dxa"/>
            <w:tcBorders>
              <w:top w:val="double" w:sz="2" w:space="0" w:color="auto"/>
              <w:right w:val="single" w:sz="4" w:space="0" w:color="auto"/>
            </w:tcBorders>
            <w:shd w:val="clear" w:color="auto" w:fill="FFFFCC"/>
            <w:vAlign w:val="center"/>
          </w:tcPr>
          <w:p w:rsidR="00EE474A" w:rsidRPr="00317BE2" w:rsidRDefault="00EE474A" w:rsidP="00EF4B76">
            <w:pPr>
              <w:jc w:val="center"/>
              <w:rPr>
                <w:rFonts w:ascii="Arial" w:hAnsi="Arial" w:cs="Arial"/>
                <w:iCs/>
                <w:sz w:val="20"/>
                <w:szCs w:val="20"/>
              </w:rPr>
            </w:pPr>
          </w:p>
        </w:tc>
      </w:tr>
      <w:tr w:rsidR="00EE474A" w:rsidRPr="00317BE2" w:rsidTr="00EF4B76">
        <w:trPr>
          <w:cantSplit/>
          <w:trHeight w:val="205"/>
        </w:trPr>
        <w:tc>
          <w:tcPr>
            <w:tcW w:w="2150" w:type="dxa"/>
            <w:tcBorders>
              <w:left w:val="single" w:sz="4" w:space="0" w:color="auto"/>
            </w:tcBorders>
            <w:vAlign w:val="center"/>
            <w:hideMark/>
          </w:tcPr>
          <w:p w:rsidR="00EE474A" w:rsidRPr="00317BE2" w:rsidRDefault="00EE474A" w:rsidP="00EF4B76">
            <w:pPr>
              <w:pStyle w:val="Default"/>
              <w:rPr>
                <w:rFonts w:ascii="Arial" w:hAnsi="Arial" w:cs="Arial"/>
                <w:b/>
                <w:sz w:val="20"/>
                <w:szCs w:val="20"/>
              </w:rPr>
            </w:pPr>
            <w:r w:rsidRPr="00317BE2">
              <w:rPr>
                <w:rFonts w:ascii="Arial" w:hAnsi="Arial" w:cs="Arial"/>
                <w:bCs/>
                <w:sz w:val="20"/>
                <w:szCs w:val="20"/>
                <w:lang w:eastAsia="el-GR"/>
              </w:rPr>
              <w:t>25. Contributions of authors</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25</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Provide contributions of authors.</w:t>
            </w:r>
          </w:p>
        </w:tc>
        <w:tc>
          <w:tcPr>
            <w:tcW w:w="1216" w:type="dxa"/>
            <w:tcBorders>
              <w:right w:val="single" w:sz="4" w:space="0" w:color="auto"/>
            </w:tcBorders>
            <w:vAlign w:val="center"/>
          </w:tcPr>
          <w:p w:rsidR="00EE474A" w:rsidRPr="00591E8A" w:rsidRDefault="00C65555" w:rsidP="00EF4B76">
            <w:pPr>
              <w:jc w:val="center"/>
              <w:rPr>
                <w:rFonts w:ascii="Arial" w:hAnsi="Arial" w:cs="Arial"/>
                <w:iCs/>
                <w:sz w:val="20"/>
                <w:szCs w:val="20"/>
                <w:lang w:val="en-US"/>
              </w:rPr>
            </w:pPr>
            <w:r>
              <w:rPr>
                <w:rFonts w:ascii="Arial" w:hAnsi="Arial" w:cs="Arial"/>
                <w:iCs/>
                <w:sz w:val="20"/>
                <w:szCs w:val="20"/>
                <w:lang w:val="en-US"/>
              </w:rPr>
              <w:t>32</w:t>
            </w:r>
          </w:p>
        </w:tc>
      </w:tr>
      <w:tr w:rsidR="00EE474A" w:rsidRPr="00387818" w:rsidTr="00EF4B76">
        <w:trPr>
          <w:cantSplit/>
          <w:trHeight w:val="242"/>
        </w:trPr>
        <w:tc>
          <w:tcPr>
            <w:tcW w:w="2150" w:type="dxa"/>
            <w:tcBorders>
              <w:left w:val="single" w:sz="4" w:space="0" w:color="auto"/>
              <w:bottom w:val="double" w:sz="2" w:space="0" w:color="auto"/>
            </w:tcBorders>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26. Dual (co-)authorship</w:t>
            </w:r>
          </w:p>
        </w:tc>
        <w:tc>
          <w:tcPr>
            <w:tcW w:w="935" w:type="dxa"/>
            <w:tcBorders>
              <w:bottom w:val="double" w:sz="2"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26</w:t>
            </w:r>
          </w:p>
        </w:tc>
        <w:tc>
          <w:tcPr>
            <w:tcW w:w="6662" w:type="dxa"/>
            <w:gridSpan w:val="5"/>
            <w:tcBorders>
              <w:bottom w:val="double" w:sz="2" w:space="0" w:color="auto"/>
            </w:tcBorders>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lang w:eastAsia="el-GR"/>
              </w:rPr>
              <w:t>Report about dual (co-)authorship in the limitation or declarations of interest section.</w:t>
            </w:r>
          </w:p>
        </w:tc>
        <w:tc>
          <w:tcPr>
            <w:tcW w:w="1216" w:type="dxa"/>
            <w:tcBorders>
              <w:bottom w:val="double" w:sz="2" w:space="0" w:color="auto"/>
              <w:right w:val="single" w:sz="4" w:space="0" w:color="auto"/>
            </w:tcBorders>
            <w:vAlign w:val="center"/>
          </w:tcPr>
          <w:p w:rsidR="00EE474A" w:rsidRPr="00317BE2" w:rsidRDefault="00EE474A" w:rsidP="00EF4B76">
            <w:pPr>
              <w:jc w:val="center"/>
              <w:rPr>
                <w:rFonts w:ascii="Arial" w:hAnsi="Arial" w:cs="Arial"/>
                <w:iCs/>
                <w:sz w:val="20"/>
                <w:szCs w:val="20"/>
                <w:lang w:val="en-US"/>
              </w:rPr>
            </w:pPr>
          </w:p>
        </w:tc>
      </w:tr>
      <w:tr w:rsidR="00EE474A" w:rsidRPr="00317BE2" w:rsidTr="00EF4B76">
        <w:trPr>
          <w:cantSplit/>
          <w:trHeight w:val="210"/>
        </w:trPr>
        <w:tc>
          <w:tcPr>
            <w:tcW w:w="9747" w:type="dxa"/>
            <w:gridSpan w:val="7"/>
            <w:tcBorders>
              <w:top w:val="double" w:sz="2" w:space="0" w:color="auto"/>
              <w:left w:val="single" w:sz="4" w:space="0" w:color="auto"/>
            </w:tcBorders>
            <w:shd w:val="clear" w:color="auto" w:fill="FFFFCC"/>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b/>
                <w:sz w:val="20"/>
                <w:szCs w:val="20"/>
              </w:rPr>
              <w:lastRenderedPageBreak/>
              <w:t>FUNDING</w:t>
            </w:r>
          </w:p>
        </w:tc>
        <w:tc>
          <w:tcPr>
            <w:tcW w:w="1216" w:type="dxa"/>
            <w:tcBorders>
              <w:top w:val="double" w:sz="2" w:space="0" w:color="auto"/>
              <w:right w:val="single" w:sz="4" w:space="0" w:color="auto"/>
            </w:tcBorders>
            <w:shd w:val="clear" w:color="auto" w:fill="FFFFCC"/>
            <w:vAlign w:val="center"/>
          </w:tcPr>
          <w:p w:rsidR="00EE474A" w:rsidRPr="00317BE2" w:rsidRDefault="00EE474A" w:rsidP="00EF4B76">
            <w:pPr>
              <w:jc w:val="center"/>
              <w:rPr>
                <w:rFonts w:ascii="Arial" w:hAnsi="Arial" w:cs="Arial"/>
                <w:iCs/>
                <w:sz w:val="20"/>
                <w:szCs w:val="20"/>
              </w:rPr>
            </w:pPr>
          </w:p>
        </w:tc>
      </w:tr>
      <w:tr w:rsidR="00EE474A" w:rsidRPr="003E534D" w:rsidTr="00EF4B76">
        <w:trPr>
          <w:cantSplit/>
          <w:trHeight w:val="428"/>
        </w:trPr>
        <w:tc>
          <w:tcPr>
            <w:tcW w:w="2150" w:type="dxa"/>
            <w:vMerge w:val="restart"/>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27. Funding or other support</w:t>
            </w: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27a</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Indicate sources of financial and other support for the OoSRs (direct funding) or for the authors (indirect funding), or report no funding.</w:t>
            </w:r>
          </w:p>
        </w:tc>
        <w:tc>
          <w:tcPr>
            <w:tcW w:w="1216" w:type="dxa"/>
            <w:tcBorders>
              <w:right w:val="single" w:sz="4" w:space="0" w:color="auto"/>
            </w:tcBorders>
            <w:vAlign w:val="center"/>
          </w:tcPr>
          <w:p w:rsidR="00EE474A" w:rsidRPr="00317BE2" w:rsidRDefault="00957791" w:rsidP="00EF4B76">
            <w:pPr>
              <w:jc w:val="center"/>
              <w:rPr>
                <w:rFonts w:ascii="Arial" w:hAnsi="Arial" w:cs="Arial"/>
                <w:iCs/>
                <w:sz w:val="20"/>
                <w:szCs w:val="20"/>
                <w:lang w:val="en-US"/>
              </w:rPr>
            </w:pPr>
            <w:r>
              <w:rPr>
                <w:rFonts w:ascii="Arial" w:hAnsi="Arial" w:cs="Arial"/>
                <w:iCs/>
                <w:sz w:val="20"/>
                <w:szCs w:val="20"/>
                <w:lang w:val="en-US"/>
              </w:rPr>
              <w:t>31-32</w:t>
            </w:r>
          </w:p>
        </w:tc>
      </w:tr>
      <w:tr w:rsidR="00EE474A" w:rsidRPr="003E534D" w:rsidTr="00EF4B76">
        <w:trPr>
          <w:cantSplit/>
          <w:trHeight w:val="177"/>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27b</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Provide name for the overview funder and/or sponsor, or for the authors’ supporters.</w:t>
            </w:r>
          </w:p>
        </w:tc>
        <w:tc>
          <w:tcPr>
            <w:tcW w:w="1216" w:type="dxa"/>
            <w:tcBorders>
              <w:right w:val="single" w:sz="4" w:space="0" w:color="auto"/>
            </w:tcBorders>
            <w:vAlign w:val="center"/>
          </w:tcPr>
          <w:p w:rsidR="00EE474A" w:rsidRPr="00317BE2" w:rsidRDefault="00957791" w:rsidP="00EF4B76">
            <w:pPr>
              <w:jc w:val="center"/>
              <w:rPr>
                <w:rFonts w:ascii="Arial" w:hAnsi="Arial" w:cs="Arial"/>
                <w:iCs/>
                <w:sz w:val="20"/>
                <w:szCs w:val="20"/>
                <w:lang w:val="en-US"/>
              </w:rPr>
            </w:pPr>
            <w:r>
              <w:rPr>
                <w:rFonts w:ascii="Arial" w:hAnsi="Arial" w:cs="Arial"/>
                <w:iCs/>
                <w:sz w:val="20"/>
                <w:szCs w:val="20"/>
                <w:lang w:val="en-US"/>
              </w:rPr>
              <w:t>31-32</w:t>
            </w:r>
          </w:p>
        </w:tc>
      </w:tr>
      <w:tr w:rsidR="00EE474A" w:rsidRPr="003E534D" w:rsidTr="00EF4B76">
        <w:trPr>
          <w:cantSplit/>
          <w:trHeight w:val="140"/>
        </w:trPr>
        <w:tc>
          <w:tcPr>
            <w:tcW w:w="2150" w:type="dxa"/>
            <w:vMerge/>
            <w:tcBorders>
              <w:left w:val="single" w:sz="4" w:space="0" w:color="auto"/>
            </w:tcBorders>
            <w:vAlign w:val="center"/>
            <w:hideMark/>
          </w:tcPr>
          <w:p w:rsidR="00EE474A" w:rsidRPr="00317BE2" w:rsidRDefault="00EE474A" w:rsidP="00EF4B76">
            <w:pPr>
              <w:pStyle w:val="Default"/>
              <w:spacing w:before="40" w:after="40"/>
              <w:rPr>
                <w:rFonts w:ascii="Arial" w:hAnsi="Arial" w:cs="Arial"/>
                <w:sz w:val="20"/>
                <w:szCs w:val="20"/>
              </w:rPr>
            </w:pPr>
          </w:p>
        </w:tc>
        <w:tc>
          <w:tcPr>
            <w:tcW w:w="935" w:type="dxa"/>
            <w:vAlign w:val="center"/>
            <w:hideMark/>
          </w:tcPr>
          <w:p w:rsidR="00EE474A" w:rsidRPr="00317BE2" w:rsidRDefault="00EE474A" w:rsidP="00EF4B76">
            <w:pPr>
              <w:pStyle w:val="Default"/>
              <w:spacing w:before="40" w:after="40"/>
              <w:rPr>
                <w:rFonts w:ascii="Arial" w:hAnsi="Arial" w:cs="Arial"/>
                <w:sz w:val="20"/>
                <w:szCs w:val="20"/>
              </w:rPr>
            </w:pPr>
            <w:r w:rsidRPr="00317BE2">
              <w:rPr>
                <w:rFonts w:ascii="Arial" w:hAnsi="Arial" w:cs="Arial"/>
                <w:sz w:val="20"/>
                <w:szCs w:val="20"/>
              </w:rPr>
              <w:t>27c</w:t>
            </w:r>
          </w:p>
        </w:tc>
        <w:tc>
          <w:tcPr>
            <w:tcW w:w="6662" w:type="dxa"/>
            <w:gridSpan w:val="5"/>
            <w:vAlign w:val="center"/>
          </w:tcPr>
          <w:p w:rsidR="00EE474A" w:rsidRPr="00317BE2" w:rsidRDefault="00EE474A" w:rsidP="00EF4B76">
            <w:pPr>
              <w:pStyle w:val="Default"/>
              <w:spacing w:before="40" w:after="40"/>
              <w:jc w:val="both"/>
              <w:rPr>
                <w:rFonts w:ascii="Arial" w:hAnsi="Arial" w:cs="Arial"/>
                <w:sz w:val="20"/>
                <w:szCs w:val="20"/>
              </w:rPr>
            </w:pPr>
            <w:r w:rsidRPr="00317BE2">
              <w:rPr>
                <w:rFonts w:ascii="Arial" w:hAnsi="Arial" w:cs="Arial"/>
                <w:sz w:val="20"/>
                <w:szCs w:val="20"/>
              </w:rPr>
              <w:t>Describe roles of funder(s), sponsor(s), and/or institution(s), if any, in conducted the OoSRs.</w:t>
            </w:r>
          </w:p>
        </w:tc>
        <w:tc>
          <w:tcPr>
            <w:tcW w:w="1216" w:type="dxa"/>
            <w:tcBorders>
              <w:right w:val="single" w:sz="4" w:space="0" w:color="auto"/>
            </w:tcBorders>
            <w:vAlign w:val="center"/>
          </w:tcPr>
          <w:p w:rsidR="00EE474A" w:rsidRPr="00317BE2" w:rsidRDefault="00957791" w:rsidP="00EF4B76">
            <w:pPr>
              <w:jc w:val="center"/>
              <w:rPr>
                <w:rFonts w:ascii="Arial" w:hAnsi="Arial" w:cs="Arial"/>
                <w:iCs/>
                <w:sz w:val="20"/>
                <w:szCs w:val="20"/>
                <w:lang w:val="en-US"/>
              </w:rPr>
            </w:pPr>
            <w:r>
              <w:rPr>
                <w:rFonts w:ascii="Arial" w:hAnsi="Arial" w:cs="Arial"/>
                <w:iCs/>
                <w:sz w:val="20"/>
                <w:szCs w:val="20"/>
                <w:lang w:val="en-US"/>
              </w:rPr>
              <w:t>31-32</w:t>
            </w:r>
          </w:p>
        </w:tc>
      </w:tr>
    </w:tbl>
    <w:p w:rsidR="00505BB6" w:rsidRDefault="00505BB6" w:rsidP="00EE474A"/>
    <w:p w:rsidR="00505BB6" w:rsidRDefault="00505BB6" w:rsidP="00505BB6"/>
    <w:p w:rsidR="00505BB6" w:rsidRPr="00317BE2" w:rsidRDefault="00505BB6" w:rsidP="00505BB6">
      <w:pPr>
        <w:spacing w:line="240" w:lineRule="auto"/>
        <w:rPr>
          <w:rFonts w:cstheme="minorHAnsi"/>
          <w:b/>
          <w:i/>
          <w:sz w:val="18"/>
          <w:szCs w:val="18"/>
          <w:lang w:val="en-US" w:eastAsia="el-GR"/>
        </w:rPr>
      </w:pPr>
      <w:r w:rsidRPr="00317BE2">
        <w:rPr>
          <w:rFonts w:cstheme="minorHAnsi"/>
          <w:b/>
          <w:i/>
          <w:iCs/>
          <w:sz w:val="18"/>
          <w:szCs w:val="18"/>
          <w:lang w:val="en-US" w:eastAsia="el-GR"/>
        </w:rPr>
        <w:t>Abbreviations:</w:t>
      </w:r>
      <w:r w:rsidRPr="00317BE2">
        <w:rPr>
          <w:rFonts w:cstheme="minorHAnsi"/>
          <w:b/>
          <w:i/>
          <w:sz w:val="18"/>
          <w:szCs w:val="18"/>
          <w:lang w:val="en-US" w:eastAsia="el-GR"/>
        </w:rPr>
        <w:t xml:space="preserve"> </w:t>
      </w:r>
      <w:r>
        <w:rPr>
          <w:rFonts w:cstheme="minorHAnsi"/>
          <w:i/>
          <w:sz w:val="18"/>
          <w:szCs w:val="18"/>
          <w:lang w:val="en-US" w:eastAsia="el-GR"/>
        </w:rPr>
        <w:t>CCA, corrected covered area</w:t>
      </w:r>
      <w:r w:rsidRPr="00591E8A">
        <w:rPr>
          <w:rFonts w:cstheme="minorHAnsi"/>
          <w:i/>
          <w:sz w:val="18"/>
          <w:szCs w:val="18"/>
          <w:lang w:val="en-US" w:eastAsia="el-GR"/>
        </w:rPr>
        <w:t xml:space="preserve">; N/A, not applicable; </w:t>
      </w:r>
      <w:r w:rsidRPr="00591E8A">
        <w:rPr>
          <w:rFonts w:cstheme="minorHAnsi"/>
          <w:i/>
          <w:iCs/>
          <w:sz w:val="18"/>
          <w:szCs w:val="18"/>
          <w:lang w:val="en-US" w:eastAsia="el-GR"/>
        </w:rPr>
        <w:t>OoSRs</w:t>
      </w:r>
      <w:r w:rsidRPr="00317BE2">
        <w:rPr>
          <w:rFonts w:cstheme="minorHAnsi"/>
          <w:i/>
          <w:iCs/>
          <w:sz w:val="18"/>
          <w:szCs w:val="18"/>
          <w:lang w:val="en-US" w:eastAsia="el-GR"/>
        </w:rPr>
        <w:t xml:space="preserve">, Overview of Systematic Reviews; PICOS, </w:t>
      </w:r>
      <w:r w:rsidRPr="00317BE2">
        <w:rPr>
          <w:rFonts w:cstheme="minorHAnsi"/>
          <w:i/>
          <w:sz w:val="18"/>
          <w:szCs w:val="18"/>
          <w:lang w:val="en-US" w:eastAsia="el-GR"/>
        </w:rPr>
        <w:t xml:space="preserve">participants, interventions, comparisons, outcomes, and study design; </w:t>
      </w:r>
      <w:r>
        <w:rPr>
          <w:rFonts w:cstheme="minorHAnsi"/>
          <w:i/>
          <w:iCs/>
          <w:sz w:val="18"/>
          <w:szCs w:val="18"/>
          <w:lang w:val="en-US" w:eastAsia="el-GR"/>
        </w:rPr>
        <w:t>SRs, Systematic Reviews</w:t>
      </w:r>
    </w:p>
    <w:p w:rsidR="00505BB6" w:rsidRDefault="00505BB6" w:rsidP="00505BB6">
      <w:pPr>
        <w:spacing w:line="240" w:lineRule="auto"/>
        <w:rPr>
          <w:rFonts w:cstheme="minorHAnsi"/>
          <w:sz w:val="18"/>
          <w:szCs w:val="18"/>
          <w:lang w:val="en-US"/>
        </w:rPr>
      </w:pPr>
      <w:r w:rsidRPr="001534E8">
        <w:rPr>
          <w:rFonts w:cstheme="minorHAnsi"/>
          <w:sz w:val="18"/>
          <w:szCs w:val="18"/>
          <w:vertAlign w:val="superscript"/>
          <w:lang w:val="en-US"/>
        </w:rPr>
        <w:t>a</w:t>
      </w:r>
      <w:r w:rsidRPr="001534E8">
        <w:rPr>
          <w:rFonts w:cstheme="minorHAnsi"/>
          <w:sz w:val="18"/>
          <w:szCs w:val="18"/>
          <w:lang w:val="en-US" w:eastAsia="el-GR"/>
        </w:rPr>
        <w:t>Applicable mainly for OoSRs that focus on adverse events. The description could be placed in methods section.</w:t>
      </w:r>
    </w:p>
    <w:p w:rsidR="00505BB6" w:rsidRDefault="00505BB6" w:rsidP="00505BB6">
      <w:pPr>
        <w:spacing w:line="240" w:lineRule="auto"/>
        <w:rPr>
          <w:rFonts w:cstheme="minorHAnsi"/>
          <w:sz w:val="18"/>
          <w:szCs w:val="18"/>
          <w:lang w:val="en-US"/>
        </w:rPr>
      </w:pPr>
      <w:r w:rsidRPr="001534E8">
        <w:rPr>
          <w:rFonts w:cstheme="minorHAnsi"/>
          <w:sz w:val="18"/>
          <w:szCs w:val="18"/>
          <w:vertAlign w:val="superscript"/>
          <w:lang w:val="en-US"/>
        </w:rPr>
        <w:t>b</w:t>
      </w:r>
      <w:r w:rsidRPr="001534E8">
        <w:rPr>
          <w:rFonts w:cstheme="minorHAnsi"/>
          <w:sz w:val="18"/>
          <w:szCs w:val="18"/>
          <w:lang w:val="en-US"/>
        </w:rPr>
        <w:t xml:space="preserve">Language restrictions, publication status, and years could also be reported in information sources topic—see item 7. </w:t>
      </w:r>
    </w:p>
    <w:p w:rsidR="00505BB6" w:rsidRDefault="00505BB6" w:rsidP="00505BB6">
      <w:pPr>
        <w:spacing w:line="240" w:lineRule="auto"/>
        <w:rPr>
          <w:rFonts w:cstheme="minorHAnsi"/>
          <w:sz w:val="18"/>
          <w:szCs w:val="18"/>
          <w:lang w:val="en-US"/>
        </w:rPr>
      </w:pPr>
      <w:r w:rsidRPr="001534E8">
        <w:rPr>
          <w:rFonts w:cstheme="minorHAnsi"/>
          <w:sz w:val="18"/>
          <w:szCs w:val="18"/>
          <w:vertAlign w:val="superscript"/>
          <w:lang w:val="en-US"/>
        </w:rPr>
        <w:t>c</w:t>
      </w:r>
      <w:r w:rsidRPr="001534E8">
        <w:rPr>
          <w:rFonts w:cstheme="minorHAnsi"/>
          <w:sz w:val="18"/>
          <w:szCs w:val="18"/>
          <w:lang w:val="en-US" w:eastAsia="el-GR"/>
        </w:rPr>
        <w:t>It could also be placed in an appendix as a supplementary material.</w:t>
      </w:r>
      <w:r w:rsidRPr="001534E8">
        <w:rPr>
          <w:rFonts w:cstheme="minorHAnsi"/>
          <w:sz w:val="18"/>
          <w:szCs w:val="18"/>
          <w:lang w:val="en-US"/>
        </w:rPr>
        <w:t xml:space="preserve"> </w:t>
      </w:r>
    </w:p>
    <w:p w:rsidR="00505BB6" w:rsidRDefault="00505BB6" w:rsidP="00505BB6">
      <w:pPr>
        <w:spacing w:line="240" w:lineRule="auto"/>
        <w:rPr>
          <w:rFonts w:cstheme="minorHAnsi"/>
          <w:sz w:val="18"/>
          <w:szCs w:val="18"/>
          <w:lang w:val="en-US"/>
        </w:rPr>
      </w:pPr>
      <w:r w:rsidRPr="001534E8">
        <w:rPr>
          <w:rFonts w:cstheme="minorHAnsi"/>
          <w:sz w:val="18"/>
          <w:szCs w:val="18"/>
          <w:vertAlign w:val="superscript"/>
          <w:lang w:val="en-US"/>
        </w:rPr>
        <w:t>d</w:t>
      </w:r>
      <w:r w:rsidRPr="001534E8">
        <w:rPr>
          <w:rFonts w:cstheme="minorHAnsi"/>
          <w:sz w:val="18"/>
          <w:szCs w:val="18"/>
          <w:lang w:val="en-US" w:eastAsia="el-GR"/>
        </w:rPr>
        <w:t>The software used for the management of the records and data could be placed in the data collection process</w:t>
      </w:r>
      <w:r w:rsidRPr="001534E8">
        <w:rPr>
          <w:rFonts w:cstheme="minorHAnsi"/>
          <w:sz w:val="18"/>
          <w:szCs w:val="18"/>
          <w:lang w:val="en-US"/>
        </w:rPr>
        <w:t>—</w:t>
      </w:r>
      <w:r w:rsidRPr="001534E8">
        <w:rPr>
          <w:rFonts w:cstheme="minorHAnsi"/>
          <w:sz w:val="18"/>
          <w:szCs w:val="18"/>
          <w:lang w:val="en-US" w:eastAsia="el-GR"/>
        </w:rPr>
        <w:t>see item 11.</w:t>
      </w:r>
      <w:r w:rsidRPr="001534E8">
        <w:rPr>
          <w:rFonts w:cstheme="minorHAnsi"/>
          <w:sz w:val="18"/>
          <w:szCs w:val="18"/>
          <w:lang w:val="en-US"/>
        </w:rPr>
        <w:t xml:space="preserve"> </w:t>
      </w:r>
    </w:p>
    <w:p w:rsidR="00505BB6" w:rsidRDefault="00505BB6" w:rsidP="00505BB6">
      <w:pPr>
        <w:spacing w:line="240" w:lineRule="auto"/>
        <w:rPr>
          <w:rFonts w:cstheme="minorHAnsi"/>
          <w:sz w:val="18"/>
          <w:szCs w:val="18"/>
          <w:vertAlign w:val="superscript"/>
          <w:lang w:val="en-US"/>
        </w:rPr>
      </w:pPr>
      <w:r w:rsidRPr="001534E8">
        <w:rPr>
          <w:rFonts w:cstheme="minorHAnsi"/>
          <w:sz w:val="18"/>
          <w:szCs w:val="18"/>
          <w:vertAlign w:val="superscript"/>
          <w:lang w:val="en-US"/>
        </w:rPr>
        <w:t>e</w:t>
      </w:r>
      <w:r w:rsidRPr="001534E8">
        <w:rPr>
          <w:rFonts w:cstheme="minorHAnsi"/>
          <w:sz w:val="18"/>
          <w:szCs w:val="18"/>
          <w:lang w:val="en-US"/>
        </w:rPr>
        <w:t>The way of evaluation (e.g. instruments) can be reported in item 19.</w:t>
      </w:r>
      <w:r w:rsidRPr="001534E8">
        <w:rPr>
          <w:rFonts w:cstheme="minorHAnsi"/>
          <w:sz w:val="18"/>
          <w:szCs w:val="18"/>
          <w:vertAlign w:val="superscript"/>
          <w:lang w:val="en-US"/>
        </w:rPr>
        <w:t xml:space="preserve"> </w:t>
      </w:r>
    </w:p>
    <w:p w:rsidR="00505BB6" w:rsidRPr="00317BE2" w:rsidRDefault="00505BB6" w:rsidP="00505BB6">
      <w:pPr>
        <w:spacing w:line="240" w:lineRule="auto"/>
        <w:rPr>
          <w:rFonts w:cstheme="minorHAnsi"/>
          <w:sz w:val="18"/>
          <w:szCs w:val="18"/>
          <w:lang w:val="en-US"/>
        </w:rPr>
      </w:pPr>
      <w:r w:rsidRPr="001534E8">
        <w:rPr>
          <w:rFonts w:cstheme="minorHAnsi"/>
          <w:sz w:val="18"/>
          <w:szCs w:val="18"/>
          <w:vertAlign w:val="superscript"/>
          <w:lang w:val="en-US"/>
        </w:rPr>
        <w:t>f</w:t>
      </w:r>
      <w:r w:rsidRPr="001534E8">
        <w:rPr>
          <w:rFonts w:cstheme="minorHAnsi"/>
          <w:sz w:val="18"/>
          <w:szCs w:val="18"/>
          <w:lang w:val="en-US"/>
        </w:rPr>
        <w:t xml:space="preserve">Index publication is the first occurrence of a primary publication in the included reviews. </w:t>
      </w:r>
      <w:r w:rsidRPr="00317BE2">
        <w:rPr>
          <w:rFonts w:cstheme="minorHAnsi"/>
          <w:sz w:val="18"/>
          <w:szCs w:val="18"/>
          <w:lang w:val="en-US" w:eastAsia="el-GR"/>
        </w:rPr>
        <w:t>Discussion for overlapping might be placed in the discussion section.</w:t>
      </w:r>
    </w:p>
    <w:p w:rsidR="00505BB6" w:rsidRDefault="00505BB6" w:rsidP="00505BB6">
      <w:pPr>
        <w:pStyle w:val="Default"/>
        <w:rPr>
          <w:rFonts w:asciiTheme="minorHAnsi" w:hAnsiTheme="minorHAnsi" w:cstheme="minorHAnsi"/>
          <w:i/>
          <w:iCs/>
          <w:sz w:val="18"/>
          <w:szCs w:val="18"/>
          <w:lang w:val="en-US"/>
        </w:rPr>
      </w:pPr>
    </w:p>
    <w:p w:rsidR="00950B36" w:rsidRPr="004C1886" w:rsidRDefault="00505BB6" w:rsidP="00950B36">
      <w:pPr>
        <w:pStyle w:val="Default"/>
        <w:rPr>
          <w:rFonts w:asciiTheme="minorHAnsi" w:hAnsiTheme="minorHAnsi" w:cstheme="minorHAnsi"/>
          <w:color w:val="auto"/>
          <w:sz w:val="18"/>
          <w:szCs w:val="18"/>
          <w:lang w:val="da-DK"/>
        </w:rPr>
        <w:sectPr w:rsidR="00950B36" w:rsidRPr="004C1886" w:rsidSect="004C28F5">
          <w:footerReference w:type="default" r:id="rId8"/>
          <w:pgSz w:w="11906" w:h="16838"/>
          <w:pgMar w:top="1440" w:right="1797" w:bottom="1440" w:left="1797" w:header="709" w:footer="709" w:gutter="0"/>
          <w:cols w:space="708"/>
          <w:docGrid w:linePitch="360"/>
        </w:sectPr>
      </w:pPr>
      <w:r w:rsidRPr="00317BE2">
        <w:rPr>
          <w:rFonts w:asciiTheme="minorHAnsi" w:hAnsiTheme="minorHAnsi" w:cstheme="minorHAnsi"/>
          <w:i/>
          <w:iCs/>
          <w:sz w:val="18"/>
          <w:szCs w:val="18"/>
          <w:lang w:val="de-DE"/>
        </w:rPr>
        <w:t>Modified and extended for Overviews of Systematic Reviews (OoSRs)</w:t>
      </w:r>
      <w:r w:rsidRPr="00317BE2">
        <w:rPr>
          <w:rFonts w:asciiTheme="minorHAnsi" w:hAnsiTheme="minorHAnsi" w:cstheme="minorHAnsi"/>
          <w:i/>
          <w:iCs/>
          <w:color w:val="auto"/>
          <w:sz w:val="18"/>
          <w:szCs w:val="18"/>
        </w:rPr>
        <w:t xml:space="preserve"> from: </w:t>
      </w:r>
      <w:r w:rsidRPr="00317BE2">
        <w:rPr>
          <w:rFonts w:asciiTheme="minorHAnsi" w:hAnsiTheme="minorHAnsi" w:cstheme="minorHAnsi"/>
          <w:color w:val="auto"/>
          <w:sz w:val="18"/>
          <w:szCs w:val="18"/>
        </w:rPr>
        <w:t xml:space="preserve"> Moher D, Liberati A, Tetzlaff J, Altman DG, The PRISMA Group (2009). Preferred Reporting Items for Systematic Reviews and Meta-Analyses: The PRISMA Statement. </w:t>
      </w:r>
      <w:r w:rsidRPr="00317BE2">
        <w:rPr>
          <w:rFonts w:asciiTheme="minorHAnsi" w:hAnsiTheme="minorHAnsi" w:cstheme="minorHAnsi"/>
          <w:color w:val="auto"/>
          <w:sz w:val="18"/>
          <w:szCs w:val="18"/>
          <w:lang w:val="da-DK"/>
        </w:rPr>
        <w:t xml:space="preserve">PLoS Med 6(7): e1000097. </w:t>
      </w:r>
      <w:hyperlink r:id="rId9" w:history="1">
        <w:r w:rsidRPr="00317BE2">
          <w:rPr>
            <w:rStyle w:val="Hyperlink"/>
            <w:rFonts w:asciiTheme="minorHAnsi" w:hAnsiTheme="minorHAnsi" w:cstheme="minorHAnsi"/>
            <w:sz w:val="18"/>
            <w:szCs w:val="18"/>
            <w:lang w:val="en-US"/>
          </w:rPr>
          <w:t>https://doi.org/10.1371/journal.pmed.1000097</w:t>
        </w:r>
      </w:hyperlink>
    </w:p>
    <w:p w:rsidR="00B66CDC" w:rsidRPr="00EE474A" w:rsidRDefault="00B66CDC">
      <w:pPr>
        <w:rPr>
          <w:lang w:val="en-US"/>
        </w:rPr>
      </w:pPr>
    </w:p>
    <w:p w:rsidR="00947995" w:rsidRPr="00773635" w:rsidRDefault="00947995" w:rsidP="00950B36">
      <w:pPr>
        <w:spacing w:line="240" w:lineRule="auto"/>
        <w:jc w:val="center"/>
        <w:rPr>
          <w:rFonts w:cstheme="minorHAnsi"/>
          <w:b/>
          <w:sz w:val="24"/>
          <w:szCs w:val="24"/>
          <w:lang w:val="en-US"/>
        </w:rPr>
      </w:pPr>
      <w:r w:rsidRPr="00773635">
        <w:rPr>
          <w:rFonts w:cstheme="minorHAnsi"/>
          <w:b/>
          <w:sz w:val="24"/>
          <w:szCs w:val="24"/>
          <w:lang w:val="en-US"/>
        </w:rPr>
        <w:t xml:space="preserve">Appendix 2. </w:t>
      </w:r>
      <w:r w:rsidRPr="00773635">
        <w:rPr>
          <w:rFonts w:cstheme="minorHAnsi"/>
          <w:b/>
          <w:sz w:val="24"/>
          <w:szCs w:val="24"/>
          <w:lang w:val="en-GB"/>
        </w:rPr>
        <w:t>Search strategy</w:t>
      </w:r>
    </w:p>
    <w:p w:rsidR="00947995" w:rsidRPr="00773635" w:rsidRDefault="00947995" w:rsidP="00950B36">
      <w:pPr>
        <w:spacing w:line="240" w:lineRule="auto"/>
        <w:jc w:val="center"/>
        <w:rPr>
          <w:rFonts w:cstheme="minorHAnsi"/>
          <w:b/>
          <w:sz w:val="24"/>
          <w:szCs w:val="24"/>
          <w:lang w:val="en-GB"/>
        </w:rPr>
      </w:pPr>
      <w:r w:rsidRPr="00773635">
        <w:rPr>
          <w:rFonts w:cstheme="minorHAnsi"/>
          <w:b/>
          <w:sz w:val="24"/>
          <w:szCs w:val="24"/>
          <w:lang w:val="en-GB"/>
        </w:rPr>
        <w:t>MEDLINE Search algorithm</w:t>
      </w:r>
    </w:p>
    <w:tbl>
      <w:tblPr>
        <w:tblStyle w:val="TableGrid"/>
        <w:tblW w:w="8701" w:type="dxa"/>
        <w:jc w:val="center"/>
        <w:tblLook w:val="04A0" w:firstRow="1" w:lastRow="0" w:firstColumn="1" w:lastColumn="0" w:noHBand="0" w:noVBand="1"/>
      </w:tblPr>
      <w:tblGrid>
        <w:gridCol w:w="8701"/>
      </w:tblGrid>
      <w:tr w:rsidR="00947995" w:rsidRPr="00D577CF"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MYOPIA/</w:t>
            </w:r>
          </w:p>
        </w:tc>
      </w:tr>
      <w:tr w:rsidR="00947995" w:rsidRPr="00D577CF"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(myop*).ti,ab</w:t>
            </w:r>
          </w:p>
        </w:tc>
      </w:tr>
      <w:tr w:rsidR="00947995" w:rsidRPr="00D577CF"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(shortADJ3sight*).ti,ab</w:t>
            </w:r>
          </w:p>
        </w:tc>
      </w:tr>
      <w:tr w:rsidR="00947995" w:rsidRPr="00D577CF"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(1 OR 2 OR 3)</w:t>
            </w:r>
          </w:p>
        </w:tc>
      </w:tr>
      <w:tr w:rsidR="00947995" w:rsidRPr="00D577CF"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EYEGLASSES/</w:t>
            </w:r>
          </w:p>
        </w:tc>
      </w:tr>
      <w:tr w:rsidR="00947995" w:rsidRPr="00387818"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(spectacles OR glasses).ti,ab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“CONTACT LENSES”/</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(contactADJ2lens*).ti,ab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“MUSCARINIC ANTAGONISTS”/</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(muscarinicADJ2antagonist*).ti,ab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(antiADJ1muscarinic).ti,ab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“CHOLINERGIC ANTAGONISTS”/</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(cholinergicADJ2antagonist*).ti,ab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(antiADJ1cholinergic).ti,ab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ATROPINE/</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(atropine*).ti,ab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CYCLOPENTOLATE/</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(cyclopentolate*).ti,ab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PIRENZEPINE/</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(pirenzepine*).ti,ab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TROPICAMIDE/</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(tropicamide*).ti,ab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TIMOLOL/</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(timolol*).ti,ab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PHENYLEPHRINE/</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(phenylephrine*).ti,ab</w:t>
            </w:r>
          </w:p>
        </w:tc>
      </w:tr>
      <w:tr w:rsidR="00947995" w:rsidRPr="00387818" w:rsidTr="00EF4B76">
        <w:trPr>
          <w:trHeight w:val="603"/>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(5 OR 6 OR 7 OR 8 OR 9 OR 10 OR 11 OR 12 OR 13 OR 14 OR 15 OR 16 OR 17 OR 18 OR 19 OR 20 OR 21 OR 22 OR 23 OR 24 OR 25 OR 26)</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(4 AND 27)</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INFANT/</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(infant*).ti,ab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(infancy).ti,ab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(newborn*).ti,ab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(baby*).ti,ab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(babies).ti,ab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(neonat*).ti,ab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(preterm*).ti,ab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(prematur*).ti,ab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(postmatur*).ti,ab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lastRenderedPageBreak/>
              <w:t>exp CHILD/</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(child*).ti,ab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(schoolchild*).ti,ab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(school age*).ti,ab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(preschool*).ti,ab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(kid*).ti,ab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(toddler*).ti,ab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ADOLESCENT/</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(adoles*).ti,ab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(teen*).ti,ab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(boy*).ti,ab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(girl*).ti,ab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MINORS/</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(minors*).ti,ab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PUBERTY/</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(pubert*).ti,ab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(pubescen*).ti,ab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(prepubscen*).ti,ab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PEDIATRICS/</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(pediatric*).ti,ab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(paediatric*).ti,ab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(peadiatric*).ti,ab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exp SCHOOLS/</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(nursery school*).ti,ab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(kindergar*).ti,ab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(primary school*).ti,ab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(secondary school*).ti,ab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(elementary school*).ti,ab</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(high school*).ti,ab</w:t>
            </w:r>
          </w:p>
        </w:tc>
      </w:tr>
      <w:tr w:rsidR="00947995" w:rsidRPr="00F30600" w:rsidTr="00EF4B76">
        <w:trPr>
          <w:trHeight w:val="31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 xml:space="preserve">(highschool*).ti,ab </w:t>
            </w:r>
          </w:p>
        </w:tc>
      </w:tr>
      <w:tr w:rsidR="00947995" w:rsidRPr="00387818" w:rsidTr="00EF4B76">
        <w:trPr>
          <w:trHeight w:val="1236"/>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(29 OR 30 OR 31 OR 32 OR 33 OR 34 OR 35 OR 36 OR 37 OR 38 OR 39 OR 40 OR 41 OR 42 OR 43 OR 44 OR 45 OR 46 OR 47 OR 48 OR 49 OR 50 OR 51 OR 52 OR 53 OR 54 OR 55 OR 56 OR 57 OR 58 OR 59 OR 60 OR 61 OR 62 OR 63 OR 64 OR 65 OR 66 OR 67 OR 68)</w:t>
            </w:r>
          </w:p>
        </w:tc>
      </w:tr>
      <w:tr w:rsidR="00947995" w:rsidRPr="00F30600" w:rsidTr="00EF4B76">
        <w:trPr>
          <w:trHeight w:val="301"/>
          <w:jc w:val="center"/>
        </w:trPr>
        <w:tc>
          <w:tcPr>
            <w:tcW w:w="8701" w:type="dxa"/>
          </w:tcPr>
          <w:p w:rsidR="00947995" w:rsidRPr="00773635" w:rsidRDefault="00947995" w:rsidP="00950B36">
            <w:pPr>
              <w:pStyle w:val="ListParagraph"/>
              <w:numPr>
                <w:ilvl w:val="0"/>
                <w:numId w:val="4"/>
              </w:numPr>
              <w:jc w:val="both"/>
              <w:rPr>
                <w:rFonts w:cstheme="minorHAnsi"/>
                <w:sz w:val="20"/>
                <w:szCs w:val="20"/>
                <w:lang w:val="en-GB"/>
              </w:rPr>
            </w:pPr>
            <w:r w:rsidRPr="00773635">
              <w:rPr>
                <w:rFonts w:cstheme="minorHAnsi"/>
                <w:sz w:val="20"/>
                <w:szCs w:val="20"/>
                <w:lang w:val="en-GB"/>
              </w:rPr>
              <w:t>(28 AND 69)</w:t>
            </w:r>
          </w:p>
        </w:tc>
      </w:tr>
    </w:tbl>
    <w:p w:rsidR="00B66CDC" w:rsidRDefault="00B66CDC"/>
    <w:p w:rsidR="00947995" w:rsidRDefault="00947995"/>
    <w:p w:rsidR="00947995" w:rsidRDefault="00947995"/>
    <w:p w:rsidR="00947995" w:rsidRDefault="00947995"/>
    <w:p w:rsidR="00947995" w:rsidRDefault="00947995"/>
    <w:p w:rsidR="00947995" w:rsidRDefault="00947995"/>
    <w:p w:rsidR="00D7124C" w:rsidRPr="00096CB4" w:rsidRDefault="00D7124C" w:rsidP="0041226C">
      <w:pPr>
        <w:spacing w:line="240" w:lineRule="auto"/>
        <w:jc w:val="center"/>
        <w:rPr>
          <w:rFonts w:eastAsia="Calibri" w:cstheme="minorHAnsi"/>
          <w:b/>
          <w:sz w:val="24"/>
          <w:szCs w:val="24"/>
          <w:lang w:val="en-US"/>
        </w:rPr>
      </w:pPr>
      <w:r w:rsidRPr="00096CB4">
        <w:rPr>
          <w:rFonts w:eastAsia="Calibri" w:cstheme="minorHAnsi"/>
          <w:b/>
          <w:sz w:val="24"/>
          <w:szCs w:val="24"/>
          <w:lang w:val="en-US"/>
        </w:rPr>
        <w:lastRenderedPageBreak/>
        <w:t>Appendix 3.</w:t>
      </w:r>
    </w:p>
    <w:p w:rsidR="00D7124C" w:rsidRPr="00096CB4" w:rsidRDefault="00D7124C" w:rsidP="0041226C">
      <w:pPr>
        <w:spacing w:line="240" w:lineRule="auto"/>
        <w:jc w:val="center"/>
        <w:rPr>
          <w:rFonts w:cstheme="minorHAnsi"/>
          <w:b/>
          <w:sz w:val="24"/>
          <w:szCs w:val="24"/>
          <w:lang w:val="en-US"/>
        </w:rPr>
      </w:pPr>
      <w:r w:rsidRPr="00096CB4">
        <w:rPr>
          <w:rFonts w:cstheme="minorHAnsi"/>
          <w:b/>
          <w:sz w:val="24"/>
          <w:szCs w:val="24"/>
          <w:lang w:val="en-US"/>
        </w:rPr>
        <w:t>Included primary studies contained within sy</w:t>
      </w:r>
      <w:r w:rsidR="0041226C" w:rsidRPr="00096CB4">
        <w:rPr>
          <w:rFonts w:cstheme="minorHAnsi"/>
          <w:b/>
          <w:sz w:val="24"/>
          <w:szCs w:val="24"/>
          <w:lang w:val="en-US"/>
        </w:rPr>
        <w:t xml:space="preserve">stematic </w:t>
      </w:r>
      <w:r w:rsidR="00096CB4">
        <w:rPr>
          <w:rFonts w:cstheme="minorHAnsi"/>
          <w:b/>
          <w:sz w:val="24"/>
          <w:szCs w:val="24"/>
          <w:lang w:val="en-US"/>
        </w:rPr>
        <w:t>reviews and meta-</w:t>
      </w:r>
      <w:r w:rsidR="00273BCC">
        <w:rPr>
          <w:rFonts w:cstheme="minorHAnsi"/>
          <w:b/>
          <w:sz w:val="24"/>
          <w:szCs w:val="24"/>
          <w:lang w:val="en-US"/>
        </w:rPr>
        <w:t>analys</w:t>
      </w:r>
      <w:r w:rsidRPr="0075220B">
        <w:rPr>
          <w:rFonts w:cstheme="minorHAnsi"/>
          <w:b/>
          <w:sz w:val="24"/>
          <w:szCs w:val="24"/>
          <w:lang w:val="en-US"/>
        </w:rPr>
        <w:t>ed.</w:t>
      </w:r>
      <w:r w:rsidRPr="00096CB4">
        <w:rPr>
          <w:rFonts w:cstheme="minorHAnsi"/>
          <w:b/>
          <w:sz w:val="24"/>
          <w:szCs w:val="24"/>
          <w:lang w:val="en-US"/>
        </w:rPr>
        <w:t xml:space="preserve"> </w:t>
      </w:r>
    </w:p>
    <w:p w:rsidR="00773635" w:rsidRPr="005372DF" w:rsidRDefault="00773635" w:rsidP="0075220B">
      <w:pPr>
        <w:spacing w:line="240" w:lineRule="auto"/>
        <w:jc w:val="both"/>
        <w:rPr>
          <w:rFonts w:ascii="Arial" w:eastAsia="Calibri" w:hAnsi="Arial" w:cs="Arial"/>
          <w:b/>
          <w:sz w:val="24"/>
          <w:szCs w:val="24"/>
          <w:lang w:val="en-US"/>
        </w:rPr>
      </w:pP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sz w:val="19"/>
          <w:szCs w:val="19"/>
          <w:lang w:val="en-US"/>
        </w:rPr>
        <w:fldChar w:fldCharType="begin" w:fldLock="1"/>
      </w:r>
      <w:r w:rsidRPr="00AB40AE">
        <w:rPr>
          <w:rFonts w:cstheme="minorHAnsi"/>
          <w:sz w:val="19"/>
          <w:szCs w:val="19"/>
          <w:lang w:val="en-US"/>
        </w:rPr>
        <w:instrText xml:space="preserve">ADDIN Mendeley Bibliography CSL_BIBLIOGRAPHY </w:instrText>
      </w:r>
      <w:r w:rsidRPr="00AB40AE">
        <w:rPr>
          <w:rFonts w:cstheme="minorHAnsi"/>
          <w:sz w:val="19"/>
          <w:szCs w:val="19"/>
          <w:lang w:val="en-US"/>
        </w:rPr>
        <w:fldChar w:fldCharType="separate"/>
      </w:r>
      <w:r w:rsidRPr="00AB40AE">
        <w:rPr>
          <w:rFonts w:cstheme="minorHAnsi"/>
          <w:noProof/>
          <w:sz w:val="19"/>
          <w:szCs w:val="19"/>
          <w:lang w:val="en-US"/>
        </w:rPr>
        <w:t>1.</w:t>
      </w:r>
      <w:r w:rsidRPr="00AB40AE">
        <w:rPr>
          <w:rFonts w:cstheme="minorHAnsi"/>
          <w:noProof/>
          <w:sz w:val="19"/>
          <w:szCs w:val="19"/>
          <w:lang w:val="en-US"/>
        </w:rPr>
        <w:tab/>
        <w:t xml:space="preserve">Adler, D. &amp; Millodot, M. The possible effect of undercorrection on myopic progression in children. </w:t>
      </w:r>
      <w:r w:rsidRPr="00AB40AE">
        <w:rPr>
          <w:rFonts w:cstheme="minorHAnsi"/>
          <w:i/>
          <w:iCs/>
          <w:noProof/>
          <w:sz w:val="19"/>
          <w:szCs w:val="19"/>
          <w:lang w:val="en-US"/>
        </w:rPr>
        <w:t>Clin. Exp. Optom.</w:t>
      </w:r>
      <w:r w:rsidRPr="00AB40AE">
        <w:rPr>
          <w:rFonts w:cstheme="minorHAnsi"/>
          <w:noProof/>
          <w:sz w:val="19"/>
          <w:szCs w:val="19"/>
          <w:lang w:val="en-US"/>
        </w:rPr>
        <w:t xml:space="preserve"> </w:t>
      </w:r>
      <w:r w:rsidRPr="00AB40AE">
        <w:rPr>
          <w:rFonts w:cstheme="minorHAnsi"/>
          <w:bCs/>
          <w:noProof/>
          <w:sz w:val="19"/>
          <w:szCs w:val="19"/>
          <w:lang w:val="en-US"/>
        </w:rPr>
        <w:t>89,</w:t>
      </w:r>
      <w:r w:rsidRPr="00AB40AE">
        <w:rPr>
          <w:rFonts w:cstheme="minorHAnsi"/>
          <w:noProof/>
          <w:sz w:val="19"/>
          <w:szCs w:val="19"/>
          <w:lang w:val="en-US"/>
        </w:rPr>
        <w:t xml:space="preserve"> 315–321 (2006).</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w:t>
      </w:r>
      <w:r w:rsidRPr="00AB40AE">
        <w:rPr>
          <w:rFonts w:cstheme="minorHAnsi"/>
          <w:noProof/>
          <w:sz w:val="19"/>
          <w:szCs w:val="19"/>
          <w:lang w:val="en-US"/>
        </w:rPr>
        <w:tab/>
        <w:t xml:space="preserve">Aller, T. A., Liu, M. &amp; Wildsoet, C. F. Myopia Control with Bifocal Contact Lenses: A Randomized Clinical Trial. </w:t>
      </w:r>
      <w:r w:rsidRPr="00AB40AE">
        <w:rPr>
          <w:rFonts w:cstheme="minorHAnsi"/>
          <w:i/>
          <w:iCs/>
          <w:noProof/>
          <w:sz w:val="19"/>
          <w:szCs w:val="19"/>
          <w:lang w:val="en-US"/>
        </w:rPr>
        <w:t>Optom. Vis. Sci.</w:t>
      </w:r>
      <w:r w:rsidRPr="00AB40AE">
        <w:rPr>
          <w:rFonts w:cstheme="minorHAnsi"/>
          <w:noProof/>
          <w:sz w:val="19"/>
          <w:szCs w:val="19"/>
          <w:lang w:val="en-US"/>
        </w:rPr>
        <w:t xml:space="preserve"> </w:t>
      </w:r>
      <w:r w:rsidRPr="00AB40AE">
        <w:rPr>
          <w:rFonts w:cstheme="minorHAnsi"/>
          <w:bCs/>
          <w:noProof/>
          <w:sz w:val="19"/>
          <w:szCs w:val="19"/>
          <w:lang w:val="en-US"/>
        </w:rPr>
        <w:t>93,</w:t>
      </w:r>
      <w:r w:rsidRPr="00AB40AE">
        <w:rPr>
          <w:rFonts w:cstheme="minorHAnsi"/>
          <w:noProof/>
          <w:sz w:val="19"/>
          <w:szCs w:val="19"/>
          <w:lang w:val="en-US"/>
        </w:rPr>
        <w:t xml:space="preserve"> 344–52 (2016).</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w:t>
      </w:r>
      <w:r w:rsidRPr="00AB40AE">
        <w:rPr>
          <w:rFonts w:cstheme="minorHAnsi"/>
          <w:noProof/>
          <w:sz w:val="19"/>
          <w:szCs w:val="19"/>
          <w:lang w:val="en-US"/>
        </w:rPr>
        <w:tab/>
        <w:t xml:space="preserve">Anstice, N. S. &amp; Phillips, J. R. Effect of dual-focus soft contact lens wear on axial myopia progression in children. </w:t>
      </w:r>
      <w:r w:rsidRPr="00AB40AE">
        <w:rPr>
          <w:rFonts w:cstheme="minorHAnsi"/>
          <w:i/>
          <w:iCs/>
          <w:noProof/>
          <w:sz w:val="19"/>
          <w:szCs w:val="19"/>
          <w:lang w:val="en-US"/>
        </w:rPr>
        <w:t>Ophthalmology</w:t>
      </w:r>
      <w:r w:rsidRPr="00AB40AE">
        <w:rPr>
          <w:rFonts w:cstheme="minorHAnsi"/>
          <w:noProof/>
          <w:sz w:val="19"/>
          <w:szCs w:val="19"/>
          <w:lang w:val="en-US"/>
        </w:rPr>
        <w:t xml:space="preserve"> </w:t>
      </w:r>
      <w:r w:rsidRPr="00AB40AE">
        <w:rPr>
          <w:rFonts w:cstheme="minorHAnsi"/>
          <w:bCs/>
          <w:noProof/>
          <w:sz w:val="19"/>
          <w:szCs w:val="19"/>
          <w:lang w:val="en-US"/>
        </w:rPr>
        <w:t>118,</w:t>
      </w:r>
      <w:r w:rsidRPr="00AB40AE">
        <w:rPr>
          <w:rFonts w:cstheme="minorHAnsi"/>
          <w:noProof/>
          <w:sz w:val="19"/>
          <w:szCs w:val="19"/>
          <w:lang w:val="en-US"/>
        </w:rPr>
        <w:t xml:space="preserve"> 1152–1161 (2011).</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4.</w:t>
      </w:r>
      <w:r w:rsidRPr="00AB40AE">
        <w:rPr>
          <w:rFonts w:cstheme="minorHAnsi"/>
          <w:noProof/>
          <w:sz w:val="19"/>
          <w:szCs w:val="19"/>
          <w:lang w:val="en-US"/>
        </w:rPr>
        <w:tab/>
        <w:t xml:space="preserve">Bartlett, J. D. </w:t>
      </w:r>
      <w:r w:rsidRPr="00AB40AE">
        <w:rPr>
          <w:rFonts w:cstheme="minorHAnsi"/>
          <w:i/>
          <w:iCs/>
          <w:noProof/>
          <w:sz w:val="19"/>
          <w:szCs w:val="19"/>
          <w:lang w:val="en-US"/>
        </w:rPr>
        <w:t>et al.</w:t>
      </w:r>
      <w:r w:rsidRPr="00AB40AE">
        <w:rPr>
          <w:rFonts w:cstheme="minorHAnsi"/>
          <w:noProof/>
          <w:sz w:val="19"/>
          <w:szCs w:val="19"/>
          <w:lang w:val="en-US"/>
        </w:rPr>
        <w:t xml:space="preserve"> A tolerability study of pirenzepine ophthalmic gel in myopic children. </w:t>
      </w:r>
      <w:r w:rsidRPr="00AB40AE">
        <w:rPr>
          <w:rFonts w:cstheme="minorHAnsi"/>
          <w:i/>
          <w:iCs/>
          <w:noProof/>
          <w:sz w:val="19"/>
          <w:szCs w:val="19"/>
          <w:lang w:val="en-US"/>
        </w:rPr>
        <w:t>J. Ocul. Pharmacol. Ther.</w:t>
      </w:r>
      <w:r w:rsidRPr="00AB40AE">
        <w:rPr>
          <w:rFonts w:cstheme="minorHAnsi"/>
          <w:noProof/>
          <w:sz w:val="19"/>
          <w:szCs w:val="19"/>
          <w:lang w:val="en-US"/>
        </w:rPr>
        <w:t xml:space="preserve"> </w:t>
      </w:r>
      <w:r w:rsidRPr="00AB40AE">
        <w:rPr>
          <w:rFonts w:cstheme="minorHAnsi"/>
          <w:bCs/>
          <w:noProof/>
          <w:sz w:val="19"/>
          <w:szCs w:val="19"/>
          <w:lang w:val="en-US"/>
        </w:rPr>
        <w:t>19,</w:t>
      </w:r>
      <w:r w:rsidRPr="00AB40AE">
        <w:rPr>
          <w:rFonts w:cstheme="minorHAnsi"/>
          <w:noProof/>
          <w:sz w:val="19"/>
          <w:szCs w:val="19"/>
          <w:lang w:val="en-US"/>
        </w:rPr>
        <w:t xml:space="preserve"> 271–279 (2003).</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5.</w:t>
      </w:r>
      <w:r w:rsidRPr="00AB40AE">
        <w:rPr>
          <w:rFonts w:cstheme="minorHAnsi"/>
          <w:noProof/>
          <w:sz w:val="19"/>
          <w:szCs w:val="19"/>
          <w:lang w:val="en-US"/>
        </w:rPr>
        <w:tab/>
        <w:t xml:space="preserve">Berntsen, D. A., Sinnott, L. T., Mutti, D. O. &amp; Zadnik, K. A randomized trial using progressive addition lenses to evaluate theories of myopia progression in children with a high lag of accommodation. </w:t>
      </w:r>
      <w:r w:rsidRPr="00AB40AE">
        <w:rPr>
          <w:rFonts w:cstheme="minorHAnsi"/>
          <w:i/>
          <w:iCs/>
          <w:noProof/>
          <w:sz w:val="19"/>
          <w:szCs w:val="19"/>
          <w:lang w:val="en-US"/>
        </w:rPr>
        <w:t>Invest. Ophthalmol. Vis. Sci.</w:t>
      </w:r>
      <w:r w:rsidRPr="00AB40AE">
        <w:rPr>
          <w:rFonts w:cstheme="minorHAnsi"/>
          <w:noProof/>
          <w:sz w:val="19"/>
          <w:szCs w:val="19"/>
          <w:lang w:val="en-US"/>
        </w:rPr>
        <w:t xml:space="preserve"> </w:t>
      </w:r>
      <w:r w:rsidRPr="00AB40AE">
        <w:rPr>
          <w:rFonts w:cstheme="minorHAnsi"/>
          <w:bCs/>
          <w:noProof/>
          <w:sz w:val="19"/>
          <w:szCs w:val="19"/>
          <w:lang w:val="en-US"/>
        </w:rPr>
        <w:t>53,</w:t>
      </w:r>
      <w:r w:rsidRPr="00AB40AE">
        <w:rPr>
          <w:rFonts w:cstheme="minorHAnsi"/>
          <w:noProof/>
          <w:sz w:val="19"/>
          <w:szCs w:val="19"/>
          <w:lang w:val="en-US"/>
        </w:rPr>
        <w:t xml:space="preserve"> 640–649 (2012).</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6.</w:t>
      </w:r>
      <w:r w:rsidRPr="00AB40AE">
        <w:rPr>
          <w:rFonts w:cstheme="minorHAnsi"/>
          <w:noProof/>
          <w:sz w:val="19"/>
          <w:szCs w:val="19"/>
          <w:lang w:val="en-US"/>
        </w:rPr>
        <w:tab/>
        <w:t xml:space="preserve">Brodstein, R. S., Brodstein, D. E., Olson, R. J., Hunt, S. C. &amp; Williams, R. R. The treatment of myopia with atropine and bifocals. A long-term prospective study. </w:t>
      </w:r>
      <w:r w:rsidRPr="00AB40AE">
        <w:rPr>
          <w:rFonts w:cstheme="minorHAnsi"/>
          <w:i/>
          <w:iCs/>
          <w:noProof/>
          <w:sz w:val="19"/>
          <w:szCs w:val="19"/>
          <w:lang w:val="en-US"/>
        </w:rPr>
        <w:t>Ophthalmology</w:t>
      </w:r>
      <w:r w:rsidRPr="00AB40AE">
        <w:rPr>
          <w:rFonts w:cstheme="minorHAnsi"/>
          <w:noProof/>
          <w:sz w:val="19"/>
          <w:szCs w:val="19"/>
          <w:lang w:val="en-US"/>
        </w:rPr>
        <w:t xml:space="preserve"> </w:t>
      </w:r>
      <w:r w:rsidRPr="00AB40AE">
        <w:rPr>
          <w:rFonts w:cstheme="minorHAnsi"/>
          <w:bCs/>
          <w:noProof/>
          <w:sz w:val="19"/>
          <w:szCs w:val="19"/>
          <w:lang w:val="en-US"/>
        </w:rPr>
        <w:t>91,</w:t>
      </w:r>
      <w:r w:rsidRPr="00AB40AE">
        <w:rPr>
          <w:rFonts w:cstheme="minorHAnsi"/>
          <w:noProof/>
          <w:sz w:val="19"/>
          <w:szCs w:val="19"/>
          <w:lang w:val="en-US"/>
        </w:rPr>
        <w:t xml:space="preserve"> 1373–1379 (1984).</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7.</w:t>
      </w:r>
      <w:r w:rsidRPr="00AB40AE">
        <w:rPr>
          <w:rFonts w:cstheme="minorHAnsi"/>
          <w:noProof/>
          <w:sz w:val="19"/>
          <w:szCs w:val="19"/>
          <w:lang w:val="en-US"/>
        </w:rPr>
        <w:tab/>
        <w:t xml:space="preserve">Chan, K. Y., Cheung, S. W. &amp; Cho, P. Orthokeratology for slowing myopic progression in a pair of identical twins. </w:t>
      </w:r>
      <w:r w:rsidRPr="00AB40AE">
        <w:rPr>
          <w:rFonts w:cstheme="minorHAnsi"/>
          <w:i/>
          <w:iCs/>
          <w:noProof/>
          <w:sz w:val="19"/>
          <w:szCs w:val="19"/>
          <w:lang w:val="en-US"/>
        </w:rPr>
        <w:t>Cont. Lens Anterior Eye</w:t>
      </w:r>
      <w:r w:rsidRPr="00AB40AE">
        <w:rPr>
          <w:rFonts w:cstheme="minorHAnsi"/>
          <w:noProof/>
          <w:sz w:val="19"/>
          <w:szCs w:val="19"/>
          <w:lang w:val="en-US"/>
        </w:rPr>
        <w:t xml:space="preserve"> </w:t>
      </w:r>
      <w:r w:rsidRPr="00AB40AE">
        <w:rPr>
          <w:rFonts w:cstheme="minorHAnsi"/>
          <w:bCs/>
          <w:noProof/>
          <w:sz w:val="19"/>
          <w:szCs w:val="19"/>
          <w:lang w:val="en-US"/>
        </w:rPr>
        <w:t>37,</w:t>
      </w:r>
      <w:r w:rsidRPr="00AB40AE">
        <w:rPr>
          <w:rFonts w:cstheme="minorHAnsi"/>
          <w:noProof/>
          <w:sz w:val="19"/>
          <w:szCs w:val="19"/>
          <w:lang w:val="en-US"/>
        </w:rPr>
        <w:t xml:space="preserve"> 116–119 (2014).</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8.</w:t>
      </w:r>
      <w:r w:rsidRPr="00AB40AE">
        <w:rPr>
          <w:rFonts w:cstheme="minorHAnsi"/>
          <w:noProof/>
          <w:sz w:val="19"/>
          <w:szCs w:val="19"/>
          <w:lang w:val="en-US"/>
        </w:rPr>
        <w:tab/>
        <w:t xml:space="preserve">Charm, J. &amp; Cho, P. High myopia-partial reduction ortho-k: a 2-year randomized study. </w:t>
      </w:r>
      <w:r w:rsidRPr="00AB40AE">
        <w:rPr>
          <w:rFonts w:cstheme="minorHAnsi"/>
          <w:i/>
          <w:iCs/>
          <w:noProof/>
          <w:sz w:val="19"/>
          <w:szCs w:val="19"/>
          <w:lang w:val="en-US"/>
        </w:rPr>
        <w:t>Optom. Vis. Sci.</w:t>
      </w:r>
      <w:r w:rsidRPr="00AB40AE">
        <w:rPr>
          <w:rFonts w:cstheme="minorHAnsi"/>
          <w:noProof/>
          <w:sz w:val="19"/>
          <w:szCs w:val="19"/>
          <w:lang w:val="en-US"/>
        </w:rPr>
        <w:t xml:space="preserve"> </w:t>
      </w:r>
      <w:r w:rsidRPr="00AB40AE">
        <w:rPr>
          <w:rFonts w:cstheme="minorHAnsi"/>
          <w:bCs/>
          <w:noProof/>
          <w:sz w:val="19"/>
          <w:szCs w:val="19"/>
          <w:lang w:val="en-US"/>
        </w:rPr>
        <w:t>90,</w:t>
      </w:r>
      <w:r w:rsidRPr="00AB40AE">
        <w:rPr>
          <w:rFonts w:cstheme="minorHAnsi"/>
          <w:noProof/>
          <w:sz w:val="19"/>
          <w:szCs w:val="19"/>
          <w:lang w:val="en-US"/>
        </w:rPr>
        <w:t xml:space="preserve"> 530–539 (2013).</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9.</w:t>
      </w:r>
      <w:r w:rsidRPr="00AB40AE">
        <w:rPr>
          <w:rFonts w:cstheme="minorHAnsi"/>
          <w:noProof/>
          <w:sz w:val="19"/>
          <w:szCs w:val="19"/>
          <w:lang w:val="en-US"/>
        </w:rPr>
        <w:tab/>
        <w:t xml:space="preserve">Chen, C., Cheung, S. W. &amp; Cho, P. Myopia control using toric orthokeratology (TO-SEE study). </w:t>
      </w:r>
      <w:r w:rsidRPr="00AB40AE">
        <w:rPr>
          <w:rFonts w:cstheme="minorHAnsi"/>
          <w:i/>
          <w:iCs/>
          <w:noProof/>
          <w:sz w:val="19"/>
          <w:szCs w:val="19"/>
          <w:lang w:val="en-US"/>
        </w:rPr>
        <w:t>Invest. Ophthalmol. Vis. Sci.</w:t>
      </w:r>
      <w:r w:rsidRPr="00AB40AE">
        <w:rPr>
          <w:rFonts w:cstheme="minorHAnsi"/>
          <w:noProof/>
          <w:sz w:val="19"/>
          <w:szCs w:val="19"/>
          <w:lang w:val="en-US"/>
        </w:rPr>
        <w:t xml:space="preserve"> </w:t>
      </w:r>
      <w:r w:rsidRPr="00AB40AE">
        <w:rPr>
          <w:rFonts w:cstheme="minorHAnsi"/>
          <w:bCs/>
          <w:noProof/>
          <w:sz w:val="19"/>
          <w:szCs w:val="19"/>
          <w:lang w:val="en-US"/>
        </w:rPr>
        <w:t>54,</w:t>
      </w:r>
      <w:r w:rsidRPr="00AB40AE">
        <w:rPr>
          <w:rFonts w:cstheme="minorHAnsi"/>
          <w:noProof/>
          <w:sz w:val="19"/>
          <w:szCs w:val="19"/>
          <w:lang w:val="en-US"/>
        </w:rPr>
        <w:t xml:space="preserve"> 6510–6517 (2013).</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10.</w:t>
      </w:r>
      <w:r w:rsidRPr="00AB40AE">
        <w:rPr>
          <w:rFonts w:cstheme="minorHAnsi"/>
          <w:noProof/>
          <w:sz w:val="19"/>
          <w:szCs w:val="19"/>
          <w:lang w:val="en-US"/>
        </w:rPr>
        <w:tab/>
        <w:t xml:space="preserve">Cheng, D., Schmid, K. L., Woo, G. C. &amp; Drobe, B. Randomized trial of effect of bifocal and prismatic bifocal spectacles on myopic progression: two-year results. </w:t>
      </w:r>
      <w:r w:rsidRPr="00AB40AE">
        <w:rPr>
          <w:rFonts w:cstheme="minorHAnsi"/>
          <w:i/>
          <w:iCs/>
          <w:noProof/>
          <w:sz w:val="19"/>
          <w:szCs w:val="19"/>
          <w:lang w:val="en-US"/>
        </w:rPr>
        <w:t>Arch. Ophthalmol. (Chicago, Ill.  1960)</w:t>
      </w:r>
      <w:r w:rsidRPr="00AB40AE">
        <w:rPr>
          <w:rFonts w:cstheme="minorHAnsi"/>
          <w:noProof/>
          <w:sz w:val="19"/>
          <w:szCs w:val="19"/>
          <w:lang w:val="en-US"/>
        </w:rPr>
        <w:t xml:space="preserve"> </w:t>
      </w:r>
      <w:r w:rsidRPr="00AB40AE">
        <w:rPr>
          <w:rFonts w:cstheme="minorHAnsi"/>
          <w:bCs/>
          <w:noProof/>
          <w:sz w:val="19"/>
          <w:szCs w:val="19"/>
          <w:lang w:val="en-US"/>
        </w:rPr>
        <w:t>128,</w:t>
      </w:r>
      <w:r w:rsidRPr="00AB40AE">
        <w:rPr>
          <w:rFonts w:cstheme="minorHAnsi"/>
          <w:noProof/>
          <w:sz w:val="19"/>
          <w:szCs w:val="19"/>
          <w:lang w:val="en-US"/>
        </w:rPr>
        <w:t xml:space="preserve"> 12–9 (2010).</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11.</w:t>
      </w:r>
      <w:r w:rsidRPr="00AB40AE">
        <w:rPr>
          <w:rFonts w:cstheme="minorHAnsi"/>
          <w:noProof/>
          <w:sz w:val="19"/>
          <w:szCs w:val="19"/>
          <w:lang w:val="en-US"/>
        </w:rPr>
        <w:tab/>
        <w:t xml:space="preserve">Cheng, X., Xu, J., Chehab, K., Exford, J. &amp; Brennan, N. Soft Contact Lenses with Positive Spherical Aberration for Myopia Control. </w:t>
      </w:r>
      <w:r w:rsidRPr="00AB40AE">
        <w:rPr>
          <w:rFonts w:cstheme="minorHAnsi"/>
          <w:i/>
          <w:iCs/>
          <w:noProof/>
          <w:sz w:val="19"/>
          <w:szCs w:val="19"/>
          <w:lang w:val="en-US"/>
        </w:rPr>
        <w:t>Optom. Vis. Sci.</w:t>
      </w:r>
      <w:r w:rsidRPr="00AB40AE">
        <w:rPr>
          <w:rFonts w:cstheme="minorHAnsi"/>
          <w:noProof/>
          <w:sz w:val="19"/>
          <w:szCs w:val="19"/>
          <w:lang w:val="en-US"/>
        </w:rPr>
        <w:t xml:space="preserve"> </w:t>
      </w:r>
      <w:r w:rsidRPr="00AB40AE">
        <w:rPr>
          <w:rFonts w:cstheme="minorHAnsi"/>
          <w:bCs/>
          <w:noProof/>
          <w:sz w:val="19"/>
          <w:szCs w:val="19"/>
          <w:lang w:val="en-US"/>
        </w:rPr>
        <w:t>93,</w:t>
      </w:r>
      <w:r w:rsidRPr="00AB40AE">
        <w:rPr>
          <w:rFonts w:cstheme="minorHAnsi"/>
          <w:noProof/>
          <w:sz w:val="19"/>
          <w:szCs w:val="19"/>
          <w:lang w:val="en-US"/>
        </w:rPr>
        <w:t xml:space="preserve"> 353–366 (2016).</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lastRenderedPageBreak/>
        <w:t>12.</w:t>
      </w:r>
      <w:r w:rsidRPr="00AB40AE">
        <w:rPr>
          <w:rFonts w:cstheme="minorHAnsi"/>
          <w:noProof/>
          <w:sz w:val="19"/>
          <w:szCs w:val="19"/>
          <w:lang w:val="en-US"/>
        </w:rPr>
        <w:tab/>
        <w:t xml:space="preserve">Cho, P., Cheung, S. W. &amp; Edwards, M. The longitudinal orthokeratology research in children (LORIC) in Hong Kong: a pilot study on refractive changes and myopic control. </w:t>
      </w:r>
      <w:r w:rsidRPr="00AB40AE">
        <w:rPr>
          <w:rFonts w:cstheme="minorHAnsi"/>
          <w:i/>
          <w:iCs/>
          <w:noProof/>
          <w:sz w:val="19"/>
          <w:szCs w:val="19"/>
          <w:lang w:val="en-US"/>
        </w:rPr>
        <w:t>Curr. Eye Res.</w:t>
      </w:r>
      <w:r w:rsidRPr="00AB40AE">
        <w:rPr>
          <w:rFonts w:cstheme="minorHAnsi"/>
          <w:noProof/>
          <w:sz w:val="19"/>
          <w:szCs w:val="19"/>
          <w:lang w:val="en-US"/>
        </w:rPr>
        <w:t xml:space="preserve"> </w:t>
      </w:r>
      <w:r w:rsidRPr="00AB40AE">
        <w:rPr>
          <w:rFonts w:cstheme="minorHAnsi"/>
          <w:bCs/>
          <w:noProof/>
          <w:sz w:val="19"/>
          <w:szCs w:val="19"/>
          <w:lang w:val="en-US"/>
        </w:rPr>
        <w:t>30,</w:t>
      </w:r>
      <w:r w:rsidRPr="00AB40AE">
        <w:rPr>
          <w:rFonts w:cstheme="minorHAnsi"/>
          <w:noProof/>
          <w:sz w:val="19"/>
          <w:szCs w:val="19"/>
          <w:lang w:val="en-US"/>
        </w:rPr>
        <w:t xml:space="preserve"> 71–80 (2005).</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13.</w:t>
      </w:r>
      <w:r w:rsidRPr="00AB40AE">
        <w:rPr>
          <w:rFonts w:cstheme="minorHAnsi"/>
          <w:noProof/>
          <w:sz w:val="19"/>
          <w:szCs w:val="19"/>
          <w:lang w:val="en-US"/>
        </w:rPr>
        <w:tab/>
        <w:t xml:space="preserve">Cho, P. &amp; Cheung, S.-W. Retardation of myopia in Orthokeratology (ROMIO) study: a 2-year randomized clinical trial. </w:t>
      </w:r>
      <w:r w:rsidRPr="00AB40AE">
        <w:rPr>
          <w:rFonts w:cstheme="minorHAnsi"/>
          <w:i/>
          <w:iCs/>
          <w:noProof/>
          <w:sz w:val="19"/>
          <w:szCs w:val="19"/>
          <w:lang w:val="en-US"/>
        </w:rPr>
        <w:t>Investig. Ophthalmol. Vis. Sci.</w:t>
      </w:r>
      <w:r w:rsidRPr="00AB40AE">
        <w:rPr>
          <w:rFonts w:cstheme="minorHAnsi"/>
          <w:noProof/>
          <w:sz w:val="19"/>
          <w:szCs w:val="19"/>
          <w:lang w:val="en-US"/>
        </w:rPr>
        <w:t xml:space="preserve"> </w:t>
      </w:r>
      <w:r w:rsidRPr="00AB40AE">
        <w:rPr>
          <w:rFonts w:cstheme="minorHAnsi"/>
          <w:bCs/>
          <w:noProof/>
          <w:sz w:val="19"/>
          <w:szCs w:val="19"/>
          <w:lang w:val="en-US"/>
        </w:rPr>
        <w:t>53,</w:t>
      </w:r>
      <w:r w:rsidRPr="00AB40AE">
        <w:rPr>
          <w:rFonts w:cstheme="minorHAnsi"/>
          <w:noProof/>
          <w:sz w:val="19"/>
          <w:szCs w:val="19"/>
          <w:lang w:val="en-US"/>
        </w:rPr>
        <w:t xml:space="preserve"> 7077–7085 (2012).</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14.</w:t>
      </w:r>
      <w:r w:rsidRPr="00AB40AE">
        <w:rPr>
          <w:rFonts w:cstheme="minorHAnsi"/>
          <w:noProof/>
          <w:sz w:val="19"/>
          <w:szCs w:val="19"/>
          <w:lang w:val="en-US"/>
        </w:rPr>
        <w:tab/>
        <w:t xml:space="preserve">Chua, W.-H. </w:t>
      </w:r>
      <w:r w:rsidRPr="00AB40AE">
        <w:rPr>
          <w:rFonts w:cstheme="minorHAnsi"/>
          <w:i/>
          <w:iCs/>
          <w:noProof/>
          <w:sz w:val="19"/>
          <w:szCs w:val="19"/>
          <w:lang w:val="en-US"/>
        </w:rPr>
        <w:t>et al.</w:t>
      </w:r>
      <w:r w:rsidRPr="00AB40AE">
        <w:rPr>
          <w:rFonts w:cstheme="minorHAnsi"/>
          <w:noProof/>
          <w:sz w:val="19"/>
          <w:szCs w:val="19"/>
          <w:lang w:val="en-US"/>
        </w:rPr>
        <w:t xml:space="preserve"> Atropine for the treatment of childhood myopia. </w:t>
      </w:r>
      <w:r w:rsidRPr="00AB40AE">
        <w:rPr>
          <w:rFonts w:cstheme="minorHAnsi"/>
          <w:i/>
          <w:iCs/>
          <w:noProof/>
          <w:sz w:val="19"/>
          <w:szCs w:val="19"/>
          <w:lang w:val="en-US"/>
        </w:rPr>
        <w:t>Ophthalmology</w:t>
      </w:r>
      <w:r w:rsidRPr="00AB40AE">
        <w:rPr>
          <w:rFonts w:cstheme="minorHAnsi"/>
          <w:noProof/>
          <w:sz w:val="19"/>
          <w:szCs w:val="19"/>
          <w:lang w:val="en-US"/>
        </w:rPr>
        <w:t xml:space="preserve"> </w:t>
      </w:r>
      <w:r w:rsidRPr="00AB40AE">
        <w:rPr>
          <w:rFonts w:cstheme="minorHAnsi"/>
          <w:bCs/>
          <w:noProof/>
          <w:sz w:val="19"/>
          <w:szCs w:val="19"/>
          <w:lang w:val="en-US"/>
        </w:rPr>
        <w:t>113,</w:t>
      </w:r>
      <w:r w:rsidRPr="00AB40AE">
        <w:rPr>
          <w:rFonts w:cstheme="minorHAnsi"/>
          <w:noProof/>
          <w:sz w:val="19"/>
          <w:szCs w:val="19"/>
          <w:lang w:val="en-US"/>
        </w:rPr>
        <w:t xml:space="preserve"> 2285–2291 (2006).</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15.</w:t>
      </w:r>
      <w:r w:rsidRPr="00AB40AE">
        <w:rPr>
          <w:rFonts w:cstheme="minorHAnsi"/>
          <w:noProof/>
          <w:sz w:val="19"/>
          <w:szCs w:val="19"/>
          <w:lang w:val="en-US"/>
        </w:rPr>
        <w:tab/>
        <w:t xml:space="preserve">Chung, K., Mohidin, N. &amp; O’Leary, D. J. Undercorrection of myopia enhances rather than inhibits myopia progression. </w:t>
      </w:r>
      <w:r w:rsidRPr="00AB40AE">
        <w:rPr>
          <w:rFonts w:cstheme="minorHAnsi"/>
          <w:i/>
          <w:iCs/>
          <w:noProof/>
          <w:sz w:val="19"/>
          <w:szCs w:val="19"/>
          <w:lang w:val="en-US"/>
        </w:rPr>
        <w:t>Vision Res.</w:t>
      </w:r>
      <w:r w:rsidRPr="00AB40AE">
        <w:rPr>
          <w:rFonts w:cstheme="minorHAnsi"/>
          <w:noProof/>
          <w:sz w:val="19"/>
          <w:szCs w:val="19"/>
          <w:lang w:val="en-US"/>
        </w:rPr>
        <w:t xml:space="preserve"> </w:t>
      </w:r>
      <w:r w:rsidRPr="00AB40AE">
        <w:rPr>
          <w:rFonts w:cstheme="minorHAnsi"/>
          <w:bCs/>
          <w:noProof/>
          <w:sz w:val="19"/>
          <w:szCs w:val="19"/>
          <w:lang w:val="en-US"/>
        </w:rPr>
        <w:t>42,</w:t>
      </w:r>
      <w:r w:rsidRPr="00AB40AE">
        <w:rPr>
          <w:rFonts w:cstheme="minorHAnsi"/>
          <w:noProof/>
          <w:sz w:val="19"/>
          <w:szCs w:val="19"/>
          <w:lang w:val="en-US"/>
        </w:rPr>
        <w:t xml:space="preserve"> 2555–2559 (2002).</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16.</w:t>
      </w:r>
      <w:r w:rsidRPr="00AB40AE">
        <w:rPr>
          <w:rFonts w:cstheme="minorHAnsi"/>
          <w:noProof/>
          <w:sz w:val="19"/>
          <w:szCs w:val="19"/>
          <w:lang w:val="en-US"/>
        </w:rPr>
        <w:tab/>
        <w:t xml:space="preserve">Clark, T. Y. &amp; Clark, R. A. Atropine 0.01% Eyedrops Significantly Reduce the Progression of Childhood Myopia. </w:t>
      </w:r>
      <w:r w:rsidRPr="00AB40AE">
        <w:rPr>
          <w:rFonts w:cstheme="minorHAnsi"/>
          <w:i/>
          <w:iCs/>
          <w:noProof/>
          <w:sz w:val="19"/>
          <w:szCs w:val="19"/>
          <w:lang w:val="en-US"/>
        </w:rPr>
        <w:t>J. Ocul. Pharmacol. Ther.</w:t>
      </w:r>
      <w:r w:rsidRPr="00AB40AE">
        <w:rPr>
          <w:rFonts w:cstheme="minorHAnsi"/>
          <w:noProof/>
          <w:sz w:val="19"/>
          <w:szCs w:val="19"/>
          <w:lang w:val="en-US"/>
        </w:rPr>
        <w:t xml:space="preserve"> </w:t>
      </w:r>
      <w:r w:rsidRPr="00AB40AE">
        <w:rPr>
          <w:rFonts w:cstheme="minorHAnsi"/>
          <w:bCs/>
          <w:noProof/>
          <w:sz w:val="19"/>
          <w:szCs w:val="19"/>
          <w:lang w:val="en-US"/>
        </w:rPr>
        <w:t>31,</w:t>
      </w:r>
      <w:r w:rsidRPr="00AB40AE">
        <w:rPr>
          <w:rFonts w:cstheme="minorHAnsi"/>
          <w:noProof/>
          <w:sz w:val="19"/>
          <w:szCs w:val="19"/>
          <w:lang w:val="en-US"/>
        </w:rPr>
        <w:t xml:space="preserve"> 541–545 (2015).</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17.</w:t>
      </w:r>
      <w:r w:rsidRPr="00AB40AE">
        <w:rPr>
          <w:rFonts w:cstheme="minorHAnsi"/>
          <w:noProof/>
          <w:sz w:val="19"/>
          <w:szCs w:val="19"/>
          <w:lang w:val="en-US"/>
        </w:rPr>
        <w:tab/>
        <w:t xml:space="preserve">Edwards, M. H. </w:t>
      </w:r>
      <w:r w:rsidRPr="00AB40AE">
        <w:rPr>
          <w:rFonts w:cstheme="minorHAnsi"/>
          <w:i/>
          <w:iCs/>
          <w:noProof/>
          <w:sz w:val="19"/>
          <w:szCs w:val="19"/>
          <w:lang w:val="en-US"/>
        </w:rPr>
        <w:t>et al.</w:t>
      </w:r>
      <w:r w:rsidRPr="00AB40AE">
        <w:rPr>
          <w:rFonts w:cstheme="minorHAnsi"/>
          <w:noProof/>
          <w:sz w:val="19"/>
          <w:szCs w:val="19"/>
          <w:lang w:val="en-US"/>
        </w:rPr>
        <w:t xml:space="preserve"> The Hong Kong progressive lens myopia control study: Study design and main findings. </w:t>
      </w:r>
      <w:r w:rsidRPr="00AB40AE">
        <w:rPr>
          <w:rFonts w:cstheme="minorHAnsi"/>
          <w:i/>
          <w:iCs/>
          <w:noProof/>
          <w:sz w:val="19"/>
          <w:szCs w:val="19"/>
          <w:lang w:val="en-US"/>
        </w:rPr>
        <w:t>Invest. Ophthalmol. Vis. Sci.</w:t>
      </w:r>
      <w:r w:rsidRPr="00AB40AE">
        <w:rPr>
          <w:rFonts w:cstheme="minorHAnsi"/>
          <w:noProof/>
          <w:sz w:val="19"/>
          <w:szCs w:val="19"/>
          <w:lang w:val="en-US"/>
        </w:rPr>
        <w:t xml:space="preserve"> </w:t>
      </w:r>
      <w:r w:rsidRPr="00AB40AE">
        <w:rPr>
          <w:rFonts w:cstheme="minorHAnsi"/>
          <w:bCs/>
          <w:noProof/>
          <w:sz w:val="19"/>
          <w:szCs w:val="19"/>
          <w:lang w:val="en-US"/>
        </w:rPr>
        <w:t>43,</w:t>
      </w:r>
      <w:r w:rsidRPr="00AB40AE">
        <w:rPr>
          <w:rFonts w:cstheme="minorHAnsi"/>
          <w:noProof/>
          <w:sz w:val="19"/>
          <w:szCs w:val="19"/>
          <w:lang w:val="en-US"/>
        </w:rPr>
        <w:t xml:space="preserve"> 2852–2858 (2002).</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18.</w:t>
      </w:r>
      <w:r w:rsidRPr="00AB40AE">
        <w:rPr>
          <w:rFonts w:cstheme="minorHAnsi"/>
          <w:noProof/>
          <w:sz w:val="19"/>
          <w:szCs w:val="19"/>
          <w:lang w:val="en-US"/>
        </w:rPr>
        <w:tab/>
        <w:t xml:space="preserve">Fan, D. S. P. </w:t>
      </w:r>
      <w:r w:rsidRPr="00AB40AE">
        <w:rPr>
          <w:rFonts w:cstheme="minorHAnsi"/>
          <w:i/>
          <w:iCs/>
          <w:noProof/>
          <w:sz w:val="19"/>
          <w:szCs w:val="19"/>
          <w:lang w:val="en-US"/>
        </w:rPr>
        <w:t>et al.</w:t>
      </w:r>
      <w:r w:rsidRPr="00AB40AE">
        <w:rPr>
          <w:rFonts w:cstheme="minorHAnsi"/>
          <w:noProof/>
          <w:sz w:val="19"/>
          <w:szCs w:val="19"/>
          <w:lang w:val="en-US"/>
        </w:rPr>
        <w:t xml:space="preserve"> Topical atropine in retarding myopic progression and axial length growth in children with moderate to severe myopia: a pilot study. </w:t>
      </w:r>
      <w:r w:rsidRPr="00AB40AE">
        <w:rPr>
          <w:rFonts w:cstheme="minorHAnsi"/>
          <w:i/>
          <w:iCs/>
          <w:noProof/>
          <w:sz w:val="19"/>
          <w:szCs w:val="19"/>
          <w:lang w:val="en-US"/>
        </w:rPr>
        <w:t>Jpn. J. Ophthalmol.</w:t>
      </w:r>
      <w:r w:rsidRPr="00AB40AE">
        <w:rPr>
          <w:rFonts w:cstheme="minorHAnsi"/>
          <w:noProof/>
          <w:sz w:val="19"/>
          <w:szCs w:val="19"/>
          <w:lang w:val="en-US"/>
        </w:rPr>
        <w:t xml:space="preserve"> </w:t>
      </w:r>
      <w:r w:rsidRPr="00AB40AE">
        <w:rPr>
          <w:rFonts w:cstheme="minorHAnsi"/>
          <w:bCs/>
          <w:noProof/>
          <w:sz w:val="19"/>
          <w:szCs w:val="19"/>
          <w:lang w:val="en-US"/>
        </w:rPr>
        <w:t>51,</w:t>
      </w:r>
      <w:r w:rsidRPr="00AB40AE">
        <w:rPr>
          <w:rFonts w:cstheme="minorHAnsi"/>
          <w:noProof/>
          <w:sz w:val="19"/>
          <w:szCs w:val="19"/>
          <w:lang w:val="en-US"/>
        </w:rPr>
        <w:t xml:space="preserve"> 27–33 (2007).</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19.</w:t>
      </w:r>
      <w:r w:rsidRPr="00AB40AE">
        <w:rPr>
          <w:rFonts w:cstheme="minorHAnsi"/>
          <w:noProof/>
          <w:sz w:val="19"/>
          <w:szCs w:val="19"/>
          <w:lang w:val="en-US"/>
        </w:rPr>
        <w:tab/>
        <w:t xml:space="preserve">Fang, P.-C. </w:t>
      </w:r>
      <w:r w:rsidRPr="00AB40AE">
        <w:rPr>
          <w:rFonts w:cstheme="minorHAnsi"/>
          <w:i/>
          <w:iCs/>
          <w:noProof/>
          <w:sz w:val="19"/>
          <w:szCs w:val="19"/>
          <w:lang w:val="en-US"/>
        </w:rPr>
        <w:t>et al.</w:t>
      </w:r>
      <w:r w:rsidRPr="00AB40AE">
        <w:rPr>
          <w:rFonts w:cstheme="minorHAnsi"/>
          <w:noProof/>
          <w:sz w:val="19"/>
          <w:szCs w:val="19"/>
          <w:lang w:val="en-US"/>
        </w:rPr>
        <w:t xml:space="preserve"> Prevention of myopia onset with 0.025% atropine in premyopic children. </w:t>
      </w:r>
      <w:r w:rsidRPr="00AB40AE">
        <w:rPr>
          <w:rFonts w:cstheme="minorHAnsi"/>
          <w:i/>
          <w:iCs/>
          <w:noProof/>
          <w:sz w:val="19"/>
          <w:szCs w:val="19"/>
          <w:lang w:val="en-US"/>
        </w:rPr>
        <w:t>J. Ocul. Pharmacol. Ther.</w:t>
      </w:r>
      <w:r w:rsidRPr="00AB40AE">
        <w:rPr>
          <w:rFonts w:cstheme="minorHAnsi"/>
          <w:noProof/>
          <w:sz w:val="19"/>
          <w:szCs w:val="19"/>
          <w:lang w:val="en-US"/>
        </w:rPr>
        <w:t xml:space="preserve"> </w:t>
      </w:r>
      <w:r w:rsidRPr="00AB40AE">
        <w:rPr>
          <w:rFonts w:cstheme="minorHAnsi"/>
          <w:bCs/>
          <w:noProof/>
          <w:sz w:val="19"/>
          <w:szCs w:val="19"/>
          <w:lang w:val="en-US"/>
        </w:rPr>
        <w:t>26,</w:t>
      </w:r>
      <w:r w:rsidRPr="00AB40AE">
        <w:rPr>
          <w:rFonts w:cstheme="minorHAnsi"/>
          <w:noProof/>
          <w:sz w:val="19"/>
          <w:szCs w:val="19"/>
          <w:lang w:val="en-US"/>
        </w:rPr>
        <w:t xml:space="preserve"> 341–345 (2010).</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20.</w:t>
      </w:r>
      <w:r w:rsidRPr="00AB40AE">
        <w:rPr>
          <w:rFonts w:cstheme="minorHAnsi"/>
          <w:noProof/>
          <w:sz w:val="19"/>
          <w:szCs w:val="19"/>
          <w:lang w:val="en-US"/>
        </w:rPr>
        <w:tab/>
        <w:t xml:space="preserve">Fujikado, T. </w:t>
      </w:r>
      <w:r w:rsidRPr="00AB40AE">
        <w:rPr>
          <w:rFonts w:cstheme="minorHAnsi"/>
          <w:i/>
          <w:iCs/>
          <w:noProof/>
          <w:sz w:val="19"/>
          <w:szCs w:val="19"/>
          <w:lang w:val="en-US"/>
        </w:rPr>
        <w:t>et al.</w:t>
      </w:r>
      <w:r w:rsidRPr="00AB40AE">
        <w:rPr>
          <w:rFonts w:cstheme="minorHAnsi"/>
          <w:noProof/>
          <w:sz w:val="19"/>
          <w:szCs w:val="19"/>
          <w:lang w:val="en-US"/>
        </w:rPr>
        <w:t xml:space="preserve"> Effect of low-addition soft contact lenses with decentered optical design on myopia progression in children: a pilot study. </w:t>
      </w:r>
      <w:r w:rsidRPr="00AB40AE">
        <w:rPr>
          <w:rFonts w:cstheme="minorHAnsi"/>
          <w:i/>
          <w:iCs/>
          <w:noProof/>
          <w:sz w:val="19"/>
          <w:szCs w:val="19"/>
          <w:lang w:val="en-US"/>
        </w:rPr>
        <w:t>Clin. Ophthalmol.</w:t>
      </w:r>
      <w:r w:rsidRPr="00AB40AE">
        <w:rPr>
          <w:rFonts w:cstheme="minorHAnsi"/>
          <w:noProof/>
          <w:sz w:val="19"/>
          <w:szCs w:val="19"/>
          <w:lang w:val="en-US"/>
        </w:rPr>
        <w:t xml:space="preserve"> </w:t>
      </w:r>
      <w:r w:rsidRPr="00AB40AE">
        <w:rPr>
          <w:rFonts w:cstheme="minorHAnsi"/>
          <w:bCs/>
          <w:noProof/>
          <w:sz w:val="19"/>
          <w:szCs w:val="19"/>
          <w:lang w:val="en-US"/>
        </w:rPr>
        <w:t>8,</w:t>
      </w:r>
      <w:r w:rsidRPr="00AB40AE">
        <w:rPr>
          <w:rFonts w:cstheme="minorHAnsi"/>
          <w:noProof/>
          <w:sz w:val="19"/>
          <w:szCs w:val="19"/>
          <w:lang w:val="en-US"/>
        </w:rPr>
        <w:t xml:space="preserve"> 1947–1956 (2014).</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21.</w:t>
      </w:r>
      <w:r w:rsidRPr="00AB40AE">
        <w:rPr>
          <w:rFonts w:cstheme="minorHAnsi"/>
          <w:noProof/>
          <w:sz w:val="19"/>
          <w:szCs w:val="19"/>
          <w:lang w:val="en-US"/>
        </w:rPr>
        <w:tab/>
        <w:t xml:space="preserve">Gwiazda, J. </w:t>
      </w:r>
      <w:r w:rsidRPr="00AB40AE">
        <w:rPr>
          <w:rFonts w:cstheme="minorHAnsi"/>
          <w:i/>
          <w:iCs/>
          <w:noProof/>
          <w:sz w:val="19"/>
          <w:szCs w:val="19"/>
          <w:lang w:val="en-US"/>
        </w:rPr>
        <w:t>et al.</w:t>
      </w:r>
      <w:r w:rsidRPr="00AB40AE">
        <w:rPr>
          <w:rFonts w:cstheme="minorHAnsi"/>
          <w:noProof/>
          <w:sz w:val="19"/>
          <w:szCs w:val="19"/>
          <w:lang w:val="en-US"/>
        </w:rPr>
        <w:t xml:space="preserve"> A randomized clinical trial of progressive addition lenses versus single vision lenses on the progression of myopia in children. </w:t>
      </w:r>
      <w:r w:rsidRPr="00AB40AE">
        <w:rPr>
          <w:rFonts w:cstheme="minorHAnsi"/>
          <w:i/>
          <w:iCs/>
          <w:noProof/>
          <w:sz w:val="19"/>
          <w:szCs w:val="19"/>
          <w:lang w:val="en-US"/>
        </w:rPr>
        <w:t>Invest. Ophthalmol. Vis. Sci.</w:t>
      </w:r>
      <w:r w:rsidRPr="00AB40AE">
        <w:rPr>
          <w:rFonts w:cstheme="minorHAnsi"/>
          <w:noProof/>
          <w:sz w:val="19"/>
          <w:szCs w:val="19"/>
          <w:lang w:val="en-US"/>
        </w:rPr>
        <w:t xml:space="preserve"> </w:t>
      </w:r>
      <w:r w:rsidRPr="00AB40AE">
        <w:rPr>
          <w:rFonts w:cstheme="minorHAnsi"/>
          <w:bCs/>
          <w:noProof/>
          <w:sz w:val="19"/>
          <w:szCs w:val="19"/>
          <w:lang w:val="en-US"/>
        </w:rPr>
        <w:t>44,</w:t>
      </w:r>
      <w:r w:rsidRPr="00AB40AE">
        <w:rPr>
          <w:rFonts w:cstheme="minorHAnsi"/>
          <w:noProof/>
          <w:sz w:val="19"/>
          <w:szCs w:val="19"/>
          <w:lang w:val="en-US"/>
        </w:rPr>
        <w:t xml:space="preserve"> 1492–1500 (2003).</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22.</w:t>
      </w:r>
      <w:r w:rsidRPr="00AB40AE">
        <w:rPr>
          <w:rFonts w:cstheme="minorHAnsi"/>
          <w:noProof/>
          <w:sz w:val="19"/>
          <w:szCs w:val="19"/>
          <w:lang w:val="en-US"/>
        </w:rPr>
        <w:tab/>
        <w:t xml:space="preserve">Hiraoka, T., Kakita, T., Okamoto, F., Takahashi, H. &amp; Oshika, T. Long-term effect of overnight orthokeratology on axial length elongation in childhood myopia: a 5-year follow-up study. </w:t>
      </w:r>
      <w:r w:rsidRPr="00AB40AE">
        <w:rPr>
          <w:rFonts w:cstheme="minorHAnsi"/>
          <w:i/>
          <w:iCs/>
          <w:noProof/>
          <w:sz w:val="19"/>
          <w:szCs w:val="19"/>
          <w:lang w:val="en-US"/>
        </w:rPr>
        <w:t>Invest. Ophthalmol. Vis. Sci.</w:t>
      </w:r>
      <w:r w:rsidRPr="00AB40AE">
        <w:rPr>
          <w:rFonts w:cstheme="minorHAnsi"/>
          <w:noProof/>
          <w:sz w:val="19"/>
          <w:szCs w:val="19"/>
          <w:lang w:val="en-US"/>
        </w:rPr>
        <w:t xml:space="preserve"> </w:t>
      </w:r>
      <w:r w:rsidRPr="00AB40AE">
        <w:rPr>
          <w:rFonts w:cstheme="minorHAnsi"/>
          <w:bCs/>
          <w:noProof/>
          <w:sz w:val="19"/>
          <w:szCs w:val="19"/>
          <w:lang w:val="en-US"/>
        </w:rPr>
        <w:t>53,</w:t>
      </w:r>
      <w:r w:rsidRPr="00AB40AE">
        <w:rPr>
          <w:rFonts w:cstheme="minorHAnsi"/>
          <w:noProof/>
          <w:sz w:val="19"/>
          <w:szCs w:val="19"/>
          <w:lang w:val="en-US"/>
        </w:rPr>
        <w:t xml:space="preserve"> 3913–3919 (2012).</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23.</w:t>
      </w:r>
      <w:r w:rsidRPr="00AB40AE">
        <w:rPr>
          <w:rFonts w:cstheme="minorHAnsi"/>
          <w:noProof/>
          <w:sz w:val="19"/>
          <w:szCs w:val="19"/>
          <w:lang w:val="en-US"/>
        </w:rPr>
        <w:tab/>
        <w:t xml:space="preserve">Jensen, H. Myopia progression in young school children. A prospective study of myopia progression and the effect of a trial with bifocal lenses and beta blocker eye drops. </w:t>
      </w:r>
      <w:r w:rsidRPr="00AB40AE">
        <w:rPr>
          <w:rFonts w:cstheme="minorHAnsi"/>
          <w:i/>
          <w:iCs/>
          <w:noProof/>
          <w:sz w:val="19"/>
          <w:szCs w:val="19"/>
          <w:lang w:val="en-US"/>
        </w:rPr>
        <w:t>Acta Ophthalmol. Suppl. (Oxf. ).</w:t>
      </w:r>
      <w:r w:rsidRPr="00AB40AE">
        <w:rPr>
          <w:rFonts w:cstheme="minorHAnsi"/>
          <w:noProof/>
          <w:sz w:val="19"/>
          <w:szCs w:val="19"/>
          <w:lang w:val="en-US"/>
        </w:rPr>
        <w:t xml:space="preserve"> 1–79 (1991).</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lastRenderedPageBreak/>
        <w:t>24.</w:t>
      </w:r>
      <w:r w:rsidRPr="00AB40AE">
        <w:rPr>
          <w:rFonts w:cstheme="minorHAnsi"/>
          <w:noProof/>
          <w:sz w:val="19"/>
          <w:szCs w:val="19"/>
          <w:lang w:val="en-US"/>
        </w:rPr>
        <w:tab/>
        <w:t xml:space="preserve">Kakita, T., Hiraoka, T. &amp; Oshika, T. Influence of overnight orthokeratology on axial elongation in childhood myopia. </w:t>
      </w:r>
      <w:r w:rsidRPr="00AB40AE">
        <w:rPr>
          <w:rFonts w:cstheme="minorHAnsi"/>
          <w:i/>
          <w:iCs/>
          <w:noProof/>
          <w:sz w:val="19"/>
          <w:szCs w:val="19"/>
          <w:lang w:val="en-US"/>
        </w:rPr>
        <w:t>Invest. Ophthalmol. Vis. Sci.</w:t>
      </w:r>
      <w:r w:rsidRPr="00AB40AE">
        <w:rPr>
          <w:rFonts w:cstheme="minorHAnsi"/>
          <w:noProof/>
          <w:sz w:val="19"/>
          <w:szCs w:val="19"/>
          <w:lang w:val="en-US"/>
        </w:rPr>
        <w:t xml:space="preserve"> </w:t>
      </w:r>
      <w:r w:rsidRPr="00AB40AE">
        <w:rPr>
          <w:rFonts w:cstheme="minorHAnsi"/>
          <w:bCs/>
          <w:noProof/>
          <w:sz w:val="19"/>
          <w:szCs w:val="19"/>
          <w:lang w:val="en-US"/>
        </w:rPr>
        <w:t>52,</w:t>
      </w:r>
      <w:r w:rsidRPr="00AB40AE">
        <w:rPr>
          <w:rFonts w:cstheme="minorHAnsi"/>
          <w:noProof/>
          <w:sz w:val="19"/>
          <w:szCs w:val="19"/>
          <w:lang w:val="en-US"/>
        </w:rPr>
        <w:t xml:space="preserve"> 2170–2174 (2011).</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25.</w:t>
      </w:r>
      <w:r w:rsidRPr="00AB40AE">
        <w:rPr>
          <w:rFonts w:cstheme="minorHAnsi"/>
          <w:noProof/>
          <w:sz w:val="19"/>
          <w:szCs w:val="19"/>
          <w:lang w:val="en-US"/>
        </w:rPr>
        <w:tab/>
        <w:t xml:space="preserve">Katz, J. </w:t>
      </w:r>
      <w:r w:rsidRPr="00AB40AE">
        <w:rPr>
          <w:rFonts w:cstheme="minorHAnsi"/>
          <w:i/>
          <w:iCs/>
          <w:noProof/>
          <w:sz w:val="19"/>
          <w:szCs w:val="19"/>
          <w:lang w:val="en-US"/>
        </w:rPr>
        <w:t>et al.</w:t>
      </w:r>
      <w:r w:rsidRPr="00AB40AE">
        <w:rPr>
          <w:rFonts w:cstheme="minorHAnsi"/>
          <w:noProof/>
          <w:sz w:val="19"/>
          <w:szCs w:val="19"/>
          <w:lang w:val="en-US"/>
        </w:rPr>
        <w:t xml:space="preserve"> A randomized trial of rigid gas permeable contact lenses to reduce progression of children’s myopia. </w:t>
      </w:r>
      <w:r w:rsidRPr="00AB40AE">
        <w:rPr>
          <w:rFonts w:cstheme="minorHAnsi"/>
          <w:i/>
          <w:iCs/>
          <w:noProof/>
          <w:sz w:val="19"/>
          <w:szCs w:val="19"/>
          <w:lang w:val="en-US"/>
        </w:rPr>
        <w:t>Am. J. Ophthalmol.</w:t>
      </w:r>
      <w:r w:rsidRPr="00AB40AE">
        <w:rPr>
          <w:rFonts w:cstheme="minorHAnsi"/>
          <w:noProof/>
          <w:sz w:val="19"/>
          <w:szCs w:val="19"/>
          <w:lang w:val="en-US"/>
        </w:rPr>
        <w:t xml:space="preserve"> </w:t>
      </w:r>
      <w:r w:rsidRPr="00AB40AE">
        <w:rPr>
          <w:rFonts w:cstheme="minorHAnsi"/>
          <w:bCs/>
          <w:noProof/>
          <w:sz w:val="19"/>
          <w:szCs w:val="19"/>
          <w:lang w:val="en-US"/>
        </w:rPr>
        <w:t>136,</w:t>
      </w:r>
      <w:r w:rsidRPr="00AB40AE">
        <w:rPr>
          <w:rFonts w:cstheme="minorHAnsi"/>
          <w:noProof/>
          <w:sz w:val="19"/>
          <w:szCs w:val="19"/>
          <w:lang w:val="en-US"/>
        </w:rPr>
        <w:t xml:space="preserve"> 82–90 (2003).</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26.</w:t>
      </w:r>
      <w:r w:rsidRPr="00AB40AE">
        <w:rPr>
          <w:rFonts w:cstheme="minorHAnsi"/>
          <w:noProof/>
          <w:sz w:val="19"/>
          <w:szCs w:val="19"/>
          <w:lang w:val="en-US"/>
        </w:rPr>
        <w:tab/>
        <w:t xml:space="preserve">Kennedy, R. H. </w:t>
      </w:r>
      <w:r w:rsidRPr="00AB40AE">
        <w:rPr>
          <w:rFonts w:cstheme="minorHAnsi"/>
          <w:i/>
          <w:iCs/>
          <w:noProof/>
          <w:sz w:val="19"/>
          <w:szCs w:val="19"/>
          <w:lang w:val="en-US"/>
        </w:rPr>
        <w:t>et al.</w:t>
      </w:r>
      <w:r w:rsidRPr="00AB40AE">
        <w:rPr>
          <w:rFonts w:cstheme="minorHAnsi"/>
          <w:noProof/>
          <w:sz w:val="19"/>
          <w:szCs w:val="19"/>
          <w:lang w:val="en-US"/>
        </w:rPr>
        <w:t xml:space="preserve"> Reducing the progression of myopia with atropine: a long term cohort study of Olmsted County students. </w:t>
      </w:r>
      <w:r w:rsidRPr="00AB40AE">
        <w:rPr>
          <w:rFonts w:cstheme="minorHAnsi"/>
          <w:i/>
          <w:iCs/>
          <w:noProof/>
          <w:sz w:val="19"/>
          <w:szCs w:val="19"/>
          <w:lang w:val="en-US"/>
        </w:rPr>
        <w:t>Binocul. Vis. Strabismus Q.</w:t>
      </w:r>
      <w:r w:rsidRPr="00AB40AE">
        <w:rPr>
          <w:rFonts w:cstheme="minorHAnsi"/>
          <w:noProof/>
          <w:sz w:val="19"/>
          <w:szCs w:val="19"/>
          <w:lang w:val="en-US"/>
        </w:rPr>
        <w:t xml:space="preserve"> </w:t>
      </w:r>
      <w:r w:rsidRPr="00AB40AE">
        <w:rPr>
          <w:rFonts w:cstheme="minorHAnsi"/>
          <w:bCs/>
          <w:noProof/>
          <w:sz w:val="19"/>
          <w:szCs w:val="19"/>
          <w:lang w:val="en-US"/>
        </w:rPr>
        <w:t>15,</w:t>
      </w:r>
      <w:r w:rsidRPr="00AB40AE">
        <w:rPr>
          <w:rFonts w:cstheme="minorHAnsi"/>
          <w:noProof/>
          <w:sz w:val="19"/>
          <w:szCs w:val="19"/>
          <w:lang w:val="en-US"/>
        </w:rPr>
        <w:t xml:space="preserve"> 281–304 (2000).</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27.</w:t>
      </w:r>
      <w:r w:rsidRPr="00AB40AE">
        <w:rPr>
          <w:rFonts w:cstheme="minorHAnsi"/>
          <w:noProof/>
          <w:sz w:val="19"/>
          <w:szCs w:val="19"/>
          <w:lang w:val="en-US"/>
        </w:rPr>
        <w:tab/>
        <w:t xml:space="preserve">Lam, C. S. Y., Tang, W. C., Tse, D. Y.-Y., Tang, Y. Y. &amp; To, C. H. Defocus Incorporated Soft Contact (DISC) lens slows myopia progression in Hong Kong Chinese schoolchildren: a 2-year randomised clinical trial. </w:t>
      </w:r>
      <w:r w:rsidRPr="00AB40AE">
        <w:rPr>
          <w:rFonts w:cstheme="minorHAnsi"/>
          <w:i/>
          <w:iCs/>
          <w:noProof/>
          <w:sz w:val="19"/>
          <w:szCs w:val="19"/>
          <w:lang w:val="en-US"/>
        </w:rPr>
        <w:t>Br. J. Ophthalmol.</w:t>
      </w:r>
      <w:r w:rsidRPr="00AB40AE">
        <w:rPr>
          <w:rFonts w:cstheme="minorHAnsi"/>
          <w:noProof/>
          <w:sz w:val="19"/>
          <w:szCs w:val="19"/>
          <w:lang w:val="en-US"/>
        </w:rPr>
        <w:t xml:space="preserve"> </w:t>
      </w:r>
      <w:r w:rsidRPr="00AB40AE">
        <w:rPr>
          <w:rFonts w:cstheme="minorHAnsi"/>
          <w:bCs/>
          <w:noProof/>
          <w:sz w:val="19"/>
          <w:szCs w:val="19"/>
          <w:lang w:val="en-US"/>
        </w:rPr>
        <w:t>98,</w:t>
      </w:r>
      <w:r w:rsidRPr="00AB40AE">
        <w:rPr>
          <w:rFonts w:cstheme="minorHAnsi"/>
          <w:noProof/>
          <w:sz w:val="19"/>
          <w:szCs w:val="19"/>
          <w:lang w:val="en-US"/>
        </w:rPr>
        <w:t xml:space="preserve"> 40–45 (2014).</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28.</w:t>
      </w:r>
      <w:r w:rsidRPr="00AB40AE">
        <w:rPr>
          <w:rFonts w:cstheme="minorHAnsi"/>
          <w:noProof/>
          <w:sz w:val="19"/>
          <w:szCs w:val="19"/>
          <w:lang w:val="en-US"/>
        </w:rPr>
        <w:tab/>
        <w:t xml:space="preserve">Lee, J.-J. </w:t>
      </w:r>
      <w:r w:rsidRPr="00AB40AE">
        <w:rPr>
          <w:rFonts w:cstheme="minorHAnsi"/>
          <w:i/>
          <w:iCs/>
          <w:noProof/>
          <w:sz w:val="19"/>
          <w:szCs w:val="19"/>
          <w:lang w:val="en-US"/>
        </w:rPr>
        <w:t>et al.</w:t>
      </w:r>
      <w:r w:rsidRPr="00AB40AE">
        <w:rPr>
          <w:rFonts w:cstheme="minorHAnsi"/>
          <w:noProof/>
          <w:sz w:val="19"/>
          <w:szCs w:val="19"/>
          <w:lang w:val="en-US"/>
        </w:rPr>
        <w:t xml:space="preserve"> Prevention of myopia progression with 0.05% atropine solution. </w:t>
      </w:r>
      <w:r w:rsidRPr="00AB40AE">
        <w:rPr>
          <w:rFonts w:cstheme="minorHAnsi"/>
          <w:i/>
          <w:iCs/>
          <w:noProof/>
          <w:sz w:val="19"/>
          <w:szCs w:val="19"/>
          <w:lang w:val="en-US"/>
        </w:rPr>
        <w:t>J. Ocul. Pharmacol. Ther.</w:t>
      </w:r>
      <w:r w:rsidRPr="00AB40AE">
        <w:rPr>
          <w:rFonts w:cstheme="minorHAnsi"/>
          <w:noProof/>
          <w:sz w:val="19"/>
          <w:szCs w:val="19"/>
          <w:lang w:val="en-US"/>
        </w:rPr>
        <w:t xml:space="preserve"> </w:t>
      </w:r>
      <w:r w:rsidRPr="00AB40AE">
        <w:rPr>
          <w:rFonts w:cstheme="minorHAnsi"/>
          <w:bCs/>
          <w:noProof/>
          <w:sz w:val="19"/>
          <w:szCs w:val="19"/>
          <w:lang w:val="en-US"/>
        </w:rPr>
        <w:t>22,</w:t>
      </w:r>
      <w:r w:rsidRPr="00AB40AE">
        <w:rPr>
          <w:rFonts w:cstheme="minorHAnsi"/>
          <w:noProof/>
          <w:sz w:val="19"/>
          <w:szCs w:val="19"/>
          <w:lang w:val="en-US"/>
        </w:rPr>
        <w:t xml:space="preserve"> 41–46 (2006).</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29.</w:t>
      </w:r>
      <w:r w:rsidRPr="00AB40AE">
        <w:rPr>
          <w:rFonts w:cstheme="minorHAnsi"/>
          <w:noProof/>
          <w:sz w:val="19"/>
          <w:szCs w:val="19"/>
          <w:lang w:val="en-US"/>
        </w:rPr>
        <w:tab/>
        <w:t xml:space="preserve">Leung, J. T., Brown, B., J.T.M., L. &amp; B., B. Progression of myopia in Hong Kong Chinese schoolchildren is slowed by wearing progressive lenses. </w:t>
      </w:r>
      <w:r w:rsidRPr="00AB40AE">
        <w:rPr>
          <w:rFonts w:cstheme="minorHAnsi"/>
          <w:i/>
          <w:iCs/>
          <w:noProof/>
          <w:sz w:val="19"/>
          <w:szCs w:val="19"/>
          <w:lang w:val="en-US"/>
        </w:rPr>
        <w:t>Optom. Vis. Sci.</w:t>
      </w:r>
      <w:r w:rsidRPr="00AB40AE">
        <w:rPr>
          <w:rFonts w:cstheme="minorHAnsi"/>
          <w:noProof/>
          <w:sz w:val="19"/>
          <w:szCs w:val="19"/>
          <w:lang w:val="en-US"/>
        </w:rPr>
        <w:t xml:space="preserve"> </w:t>
      </w:r>
      <w:r w:rsidRPr="00AB40AE">
        <w:rPr>
          <w:rFonts w:cstheme="minorHAnsi"/>
          <w:bCs/>
          <w:noProof/>
          <w:sz w:val="19"/>
          <w:szCs w:val="19"/>
          <w:lang w:val="en-US"/>
        </w:rPr>
        <w:t>76,</w:t>
      </w:r>
      <w:r w:rsidRPr="00AB40AE">
        <w:rPr>
          <w:rFonts w:cstheme="minorHAnsi"/>
          <w:noProof/>
          <w:sz w:val="19"/>
          <w:szCs w:val="19"/>
          <w:lang w:val="en-US"/>
        </w:rPr>
        <w:t xml:space="preserve"> 346–354 (1999).</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30.</w:t>
      </w:r>
      <w:r w:rsidRPr="00AB40AE">
        <w:rPr>
          <w:rFonts w:cstheme="minorHAnsi"/>
          <w:noProof/>
          <w:sz w:val="19"/>
          <w:szCs w:val="19"/>
          <w:lang w:val="en-US"/>
        </w:rPr>
        <w:tab/>
        <w:t xml:space="preserve">Pärssinen, O. </w:t>
      </w:r>
      <w:r w:rsidRPr="00AB40AE">
        <w:rPr>
          <w:rFonts w:cstheme="minorHAnsi"/>
          <w:i/>
          <w:iCs/>
          <w:noProof/>
          <w:sz w:val="19"/>
          <w:szCs w:val="19"/>
          <w:lang w:val="en-US"/>
        </w:rPr>
        <w:t>et al.</w:t>
      </w:r>
      <w:r w:rsidRPr="00AB40AE">
        <w:rPr>
          <w:rFonts w:cstheme="minorHAnsi"/>
          <w:noProof/>
          <w:sz w:val="19"/>
          <w:szCs w:val="19"/>
          <w:lang w:val="en-US"/>
        </w:rPr>
        <w:t xml:space="preserve"> Effect of spectacle use and accommodation on myopic progression: Final results of a three-year randomised clinical trial among schoolchildren. </w:t>
      </w:r>
      <w:r w:rsidRPr="00AB40AE">
        <w:rPr>
          <w:rFonts w:cstheme="minorHAnsi"/>
          <w:i/>
          <w:iCs/>
          <w:noProof/>
          <w:sz w:val="19"/>
          <w:szCs w:val="19"/>
          <w:lang w:val="en-US"/>
        </w:rPr>
        <w:t>Br. J. Ophthalmol.</w:t>
      </w:r>
      <w:r w:rsidRPr="00AB40AE">
        <w:rPr>
          <w:rFonts w:cstheme="minorHAnsi"/>
          <w:noProof/>
          <w:sz w:val="19"/>
          <w:szCs w:val="19"/>
          <w:lang w:val="en-US"/>
        </w:rPr>
        <w:t xml:space="preserve"> </w:t>
      </w:r>
      <w:r w:rsidRPr="00AB40AE">
        <w:rPr>
          <w:rFonts w:cstheme="minorHAnsi"/>
          <w:bCs/>
          <w:noProof/>
          <w:sz w:val="19"/>
          <w:szCs w:val="19"/>
          <w:lang w:val="en-US"/>
        </w:rPr>
        <w:t>73,</w:t>
      </w:r>
      <w:r w:rsidRPr="00AB40AE">
        <w:rPr>
          <w:rFonts w:cstheme="minorHAnsi"/>
          <w:noProof/>
          <w:sz w:val="19"/>
          <w:szCs w:val="19"/>
          <w:lang w:val="en-US"/>
        </w:rPr>
        <w:t xml:space="preserve"> 547–551 (1989).</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31.</w:t>
      </w:r>
      <w:r w:rsidRPr="00AB40AE">
        <w:rPr>
          <w:rFonts w:cstheme="minorHAnsi"/>
          <w:noProof/>
          <w:sz w:val="19"/>
          <w:szCs w:val="19"/>
          <w:lang w:val="en-US"/>
        </w:rPr>
        <w:tab/>
        <w:t xml:space="preserve">Pauné, J. </w:t>
      </w:r>
      <w:r w:rsidRPr="00AB40AE">
        <w:rPr>
          <w:rFonts w:cstheme="minorHAnsi"/>
          <w:i/>
          <w:iCs/>
          <w:noProof/>
          <w:sz w:val="19"/>
          <w:szCs w:val="19"/>
          <w:lang w:val="en-US"/>
        </w:rPr>
        <w:t>et al.</w:t>
      </w:r>
      <w:r w:rsidRPr="00AB40AE">
        <w:rPr>
          <w:rFonts w:cstheme="minorHAnsi"/>
          <w:noProof/>
          <w:sz w:val="19"/>
          <w:szCs w:val="19"/>
          <w:lang w:val="en-US"/>
        </w:rPr>
        <w:t xml:space="preserve"> Myopia Control with a Novel Peripheral Gradient Soft Lens and Orthokeratology: A 2-Year Clinical Trial. </w:t>
      </w:r>
      <w:r w:rsidRPr="00AB40AE">
        <w:rPr>
          <w:rFonts w:cstheme="minorHAnsi"/>
          <w:i/>
          <w:iCs/>
          <w:noProof/>
          <w:sz w:val="19"/>
          <w:szCs w:val="19"/>
          <w:lang w:val="en-US"/>
        </w:rPr>
        <w:t>Biomed Res. Int.</w:t>
      </w:r>
      <w:r w:rsidRPr="00AB40AE">
        <w:rPr>
          <w:rFonts w:cstheme="minorHAnsi"/>
          <w:noProof/>
          <w:sz w:val="19"/>
          <w:szCs w:val="19"/>
          <w:lang w:val="en-US"/>
        </w:rPr>
        <w:t xml:space="preserve"> </w:t>
      </w:r>
      <w:r w:rsidRPr="00AB40AE">
        <w:rPr>
          <w:rFonts w:cstheme="minorHAnsi"/>
          <w:bCs/>
          <w:noProof/>
          <w:sz w:val="19"/>
          <w:szCs w:val="19"/>
          <w:lang w:val="en-US"/>
        </w:rPr>
        <w:t>2015,</w:t>
      </w:r>
      <w:r w:rsidRPr="00AB40AE">
        <w:rPr>
          <w:rFonts w:cstheme="minorHAnsi"/>
          <w:noProof/>
          <w:sz w:val="19"/>
          <w:szCs w:val="19"/>
          <w:lang w:val="en-US"/>
        </w:rPr>
        <w:t xml:space="preserve"> 507572 (2015).</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32.</w:t>
      </w:r>
      <w:r w:rsidRPr="00AB40AE">
        <w:rPr>
          <w:rFonts w:cstheme="minorHAnsi"/>
          <w:noProof/>
          <w:sz w:val="19"/>
          <w:szCs w:val="19"/>
          <w:lang w:val="en-US"/>
        </w:rPr>
        <w:tab/>
        <w:t xml:space="preserve">Sankaridurg, P. </w:t>
      </w:r>
      <w:r w:rsidRPr="00AB40AE">
        <w:rPr>
          <w:rFonts w:cstheme="minorHAnsi"/>
          <w:i/>
          <w:iCs/>
          <w:noProof/>
          <w:sz w:val="19"/>
          <w:szCs w:val="19"/>
          <w:lang w:val="en-US"/>
        </w:rPr>
        <w:t>et al.</w:t>
      </w:r>
      <w:r w:rsidRPr="00AB40AE">
        <w:rPr>
          <w:rFonts w:cstheme="minorHAnsi"/>
          <w:noProof/>
          <w:sz w:val="19"/>
          <w:szCs w:val="19"/>
          <w:lang w:val="en-US"/>
        </w:rPr>
        <w:t xml:space="preserve"> Spectacle lenses designed to reduce progression of myopia: 12-month results. </w:t>
      </w:r>
      <w:r w:rsidRPr="00AB40AE">
        <w:rPr>
          <w:rFonts w:cstheme="minorHAnsi"/>
          <w:i/>
          <w:iCs/>
          <w:noProof/>
          <w:sz w:val="19"/>
          <w:szCs w:val="19"/>
          <w:lang w:val="en-US"/>
        </w:rPr>
        <w:t>Optom. Vis. Sci.</w:t>
      </w:r>
      <w:r w:rsidRPr="00AB40AE">
        <w:rPr>
          <w:rFonts w:cstheme="minorHAnsi"/>
          <w:noProof/>
          <w:sz w:val="19"/>
          <w:szCs w:val="19"/>
          <w:lang w:val="en-US"/>
        </w:rPr>
        <w:t xml:space="preserve"> </w:t>
      </w:r>
      <w:r w:rsidRPr="00AB40AE">
        <w:rPr>
          <w:rFonts w:cstheme="minorHAnsi"/>
          <w:bCs/>
          <w:noProof/>
          <w:sz w:val="19"/>
          <w:szCs w:val="19"/>
          <w:lang w:val="en-US"/>
        </w:rPr>
        <w:t>87,</w:t>
      </w:r>
      <w:r w:rsidRPr="00AB40AE">
        <w:rPr>
          <w:rFonts w:cstheme="minorHAnsi"/>
          <w:noProof/>
          <w:sz w:val="19"/>
          <w:szCs w:val="19"/>
          <w:lang w:val="en-US"/>
        </w:rPr>
        <w:t xml:space="preserve"> 631–641 (2010).</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33.</w:t>
      </w:r>
      <w:r w:rsidRPr="00AB40AE">
        <w:rPr>
          <w:rFonts w:cstheme="minorHAnsi"/>
          <w:noProof/>
          <w:sz w:val="19"/>
          <w:szCs w:val="19"/>
          <w:lang w:val="en-US"/>
        </w:rPr>
        <w:tab/>
        <w:t xml:space="preserve">Sankaridurg, P. </w:t>
      </w:r>
      <w:r w:rsidRPr="00AB40AE">
        <w:rPr>
          <w:rFonts w:cstheme="minorHAnsi"/>
          <w:i/>
          <w:iCs/>
          <w:noProof/>
          <w:sz w:val="19"/>
          <w:szCs w:val="19"/>
          <w:lang w:val="en-US"/>
        </w:rPr>
        <w:t>et al.</w:t>
      </w:r>
      <w:r w:rsidRPr="00AB40AE">
        <w:rPr>
          <w:rFonts w:cstheme="minorHAnsi"/>
          <w:noProof/>
          <w:sz w:val="19"/>
          <w:szCs w:val="19"/>
          <w:lang w:val="en-US"/>
        </w:rPr>
        <w:t xml:space="preserve"> Decrease in rate of myopia progression with a contact lens designed to reduce relative peripheral hyperopia: one-year results. </w:t>
      </w:r>
      <w:r w:rsidRPr="00AB40AE">
        <w:rPr>
          <w:rFonts w:cstheme="minorHAnsi"/>
          <w:i/>
          <w:iCs/>
          <w:noProof/>
          <w:sz w:val="19"/>
          <w:szCs w:val="19"/>
          <w:lang w:val="en-US"/>
        </w:rPr>
        <w:t>Invest. Ophthalmol. Vis. Sci.</w:t>
      </w:r>
      <w:r w:rsidRPr="00AB40AE">
        <w:rPr>
          <w:rFonts w:cstheme="minorHAnsi"/>
          <w:noProof/>
          <w:sz w:val="19"/>
          <w:szCs w:val="19"/>
          <w:lang w:val="en-US"/>
        </w:rPr>
        <w:t xml:space="preserve"> </w:t>
      </w:r>
      <w:r w:rsidRPr="00AB40AE">
        <w:rPr>
          <w:rFonts w:cstheme="minorHAnsi"/>
          <w:bCs/>
          <w:noProof/>
          <w:sz w:val="19"/>
          <w:szCs w:val="19"/>
          <w:lang w:val="en-US"/>
        </w:rPr>
        <w:t>52,</w:t>
      </w:r>
      <w:r w:rsidRPr="00AB40AE">
        <w:rPr>
          <w:rFonts w:cstheme="minorHAnsi"/>
          <w:noProof/>
          <w:sz w:val="19"/>
          <w:szCs w:val="19"/>
          <w:lang w:val="en-US"/>
        </w:rPr>
        <w:t xml:space="preserve"> 9362–9367 (2011).</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34.</w:t>
      </w:r>
      <w:r w:rsidRPr="00AB40AE">
        <w:rPr>
          <w:rFonts w:cstheme="minorHAnsi"/>
          <w:noProof/>
          <w:sz w:val="19"/>
          <w:szCs w:val="19"/>
          <w:lang w:val="en-US"/>
        </w:rPr>
        <w:tab/>
        <w:t xml:space="preserve">Shih, Y. F. </w:t>
      </w:r>
      <w:r w:rsidRPr="00AB40AE">
        <w:rPr>
          <w:rFonts w:cstheme="minorHAnsi"/>
          <w:i/>
          <w:iCs/>
          <w:noProof/>
          <w:sz w:val="19"/>
          <w:szCs w:val="19"/>
          <w:lang w:val="en-US"/>
        </w:rPr>
        <w:t>et al.</w:t>
      </w:r>
      <w:r w:rsidRPr="00AB40AE">
        <w:rPr>
          <w:rFonts w:cstheme="minorHAnsi"/>
          <w:noProof/>
          <w:sz w:val="19"/>
          <w:szCs w:val="19"/>
          <w:lang w:val="en-US"/>
        </w:rPr>
        <w:t xml:space="preserve"> An intervention trial on efficacy of atropine and multi-focal glasses in controlling myopic progression. </w:t>
      </w:r>
      <w:r w:rsidRPr="00AB40AE">
        <w:rPr>
          <w:rFonts w:cstheme="minorHAnsi"/>
          <w:i/>
          <w:iCs/>
          <w:noProof/>
          <w:sz w:val="19"/>
          <w:szCs w:val="19"/>
          <w:lang w:val="en-US"/>
        </w:rPr>
        <w:t>Acta Ophthalmol. Scand.</w:t>
      </w:r>
      <w:r w:rsidRPr="00AB40AE">
        <w:rPr>
          <w:rFonts w:cstheme="minorHAnsi"/>
          <w:noProof/>
          <w:sz w:val="19"/>
          <w:szCs w:val="19"/>
          <w:lang w:val="en-US"/>
        </w:rPr>
        <w:t xml:space="preserve"> </w:t>
      </w:r>
      <w:r w:rsidRPr="00AB40AE">
        <w:rPr>
          <w:rFonts w:cstheme="minorHAnsi"/>
          <w:bCs/>
          <w:noProof/>
          <w:sz w:val="19"/>
          <w:szCs w:val="19"/>
          <w:lang w:val="en-US"/>
        </w:rPr>
        <w:t>79,</w:t>
      </w:r>
      <w:r w:rsidRPr="00AB40AE">
        <w:rPr>
          <w:rFonts w:cstheme="minorHAnsi"/>
          <w:noProof/>
          <w:sz w:val="19"/>
          <w:szCs w:val="19"/>
          <w:lang w:val="en-US"/>
        </w:rPr>
        <w:t xml:space="preserve"> 233–236 (2001).</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35.</w:t>
      </w:r>
      <w:r w:rsidRPr="00AB40AE">
        <w:rPr>
          <w:rFonts w:cstheme="minorHAnsi"/>
          <w:noProof/>
          <w:sz w:val="19"/>
          <w:szCs w:val="19"/>
          <w:lang w:val="en-US"/>
        </w:rPr>
        <w:tab/>
        <w:t xml:space="preserve">Siatkowski, R. M. </w:t>
      </w:r>
      <w:r w:rsidRPr="00AB40AE">
        <w:rPr>
          <w:rFonts w:cstheme="minorHAnsi"/>
          <w:i/>
          <w:iCs/>
          <w:noProof/>
          <w:sz w:val="19"/>
          <w:szCs w:val="19"/>
          <w:lang w:val="en-US"/>
        </w:rPr>
        <w:t>et al.</w:t>
      </w:r>
      <w:r w:rsidRPr="00AB40AE">
        <w:rPr>
          <w:rFonts w:cstheme="minorHAnsi"/>
          <w:noProof/>
          <w:sz w:val="19"/>
          <w:szCs w:val="19"/>
          <w:lang w:val="en-US"/>
        </w:rPr>
        <w:t xml:space="preserve"> Two-year multicenter, randomized, double-masked, placebo-controlled, parallel safety and efficacy study of 2%pirenzepineophthalmicgelinchildrenwithmyopia. </w:t>
      </w:r>
      <w:r w:rsidRPr="00AB40AE">
        <w:rPr>
          <w:rFonts w:cstheme="minorHAnsi"/>
          <w:i/>
          <w:iCs/>
          <w:noProof/>
          <w:sz w:val="19"/>
          <w:szCs w:val="19"/>
          <w:lang w:val="en-US"/>
        </w:rPr>
        <w:t xml:space="preserve">J. Am. </w:t>
      </w:r>
      <w:r w:rsidRPr="00AB40AE">
        <w:rPr>
          <w:rFonts w:cstheme="minorHAnsi"/>
          <w:i/>
          <w:iCs/>
          <w:noProof/>
          <w:sz w:val="19"/>
          <w:szCs w:val="19"/>
          <w:lang w:val="en-US"/>
        </w:rPr>
        <w:lastRenderedPageBreak/>
        <w:t>Assoc. Pediatr. Ophthalmol. Strabismus</w:t>
      </w:r>
      <w:r w:rsidRPr="00AB40AE">
        <w:rPr>
          <w:rFonts w:cstheme="minorHAnsi"/>
          <w:noProof/>
          <w:sz w:val="19"/>
          <w:szCs w:val="19"/>
          <w:lang w:val="en-US"/>
        </w:rPr>
        <w:t xml:space="preserve"> </w:t>
      </w:r>
      <w:r w:rsidRPr="00AB40AE">
        <w:rPr>
          <w:rFonts w:cstheme="minorHAnsi"/>
          <w:bCs/>
          <w:noProof/>
          <w:sz w:val="19"/>
          <w:szCs w:val="19"/>
          <w:lang w:val="en-US"/>
        </w:rPr>
        <w:t>12,</w:t>
      </w:r>
      <w:r w:rsidRPr="00AB40AE">
        <w:rPr>
          <w:rFonts w:cstheme="minorHAnsi"/>
          <w:noProof/>
          <w:sz w:val="19"/>
          <w:szCs w:val="19"/>
          <w:lang w:val="en-US"/>
        </w:rPr>
        <w:t xml:space="preserve"> 332–339 (2008).</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36.</w:t>
      </w:r>
      <w:r w:rsidRPr="00AB40AE">
        <w:rPr>
          <w:rFonts w:cstheme="minorHAnsi"/>
          <w:noProof/>
          <w:sz w:val="19"/>
          <w:szCs w:val="19"/>
          <w:lang w:val="en-US"/>
        </w:rPr>
        <w:tab/>
        <w:t xml:space="preserve">Tan, D. T. H. </w:t>
      </w:r>
      <w:r w:rsidRPr="00AB40AE">
        <w:rPr>
          <w:rFonts w:cstheme="minorHAnsi"/>
          <w:i/>
          <w:iCs/>
          <w:noProof/>
          <w:sz w:val="19"/>
          <w:szCs w:val="19"/>
          <w:lang w:val="en-US"/>
        </w:rPr>
        <w:t>et al.</w:t>
      </w:r>
      <w:r w:rsidRPr="00AB40AE">
        <w:rPr>
          <w:rFonts w:cstheme="minorHAnsi"/>
          <w:noProof/>
          <w:sz w:val="19"/>
          <w:szCs w:val="19"/>
          <w:lang w:val="en-US"/>
        </w:rPr>
        <w:t xml:space="preserve"> One-year multicenter, double-masked, placebo-controlled, parallel safety and efficacy study of 2% pirenzepine ophthalmic gel in children with myopia. </w:t>
      </w:r>
      <w:r w:rsidRPr="00AB40AE">
        <w:rPr>
          <w:rFonts w:cstheme="minorHAnsi"/>
          <w:i/>
          <w:iCs/>
          <w:noProof/>
          <w:sz w:val="19"/>
          <w:szCs w:val="19"/>
          <w:lang w:val="en-US"/>
        </w:rPr>
        <w:t>Ophthalmology</w:t>
      </w:r>
      <w:r w:rsidRPr="00AB40AE">
        <w:rPr>
          <w:rFonts w:cstheme="minorHAnsi"/>
          <w:noProof/>
          <w:sz w:val="19"/>
          <w:szCs w:val="19"/>
          <w:lang w:val="en-US"/>
        </w:rPr>
        <w:t xml:space="preserve"> </w:t>
      </w:r>
      <w:r w:rsidRPr="00AB40AE">
        <w:rPr>
          <w:rFonts w:cstheme="minorHAnsi"/>
          <w:bCs/>
          <w:noProof/>
          <w:sz w:val="19"/>
          <w:szCs w:val="19"/>
          <w:lang w:val="en-US"/>
        </w:rPr>
        <w:t>112,</w:t>
      </w:r>
      <w:r w:rsidRPr="00AB40AE">
        <w:rPr>
          <w:rFonts w:cstheme="minorHAnsi"/>
          <w:noProof/>
          <w:sz w:val="19"/>
          <w:szCs w:val="19"/>
          <w:lang w:val="en-US"/>
        </w:rPr>
        <w:t xml:space="preserve"> 84–91 (2005).</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37.</w:t>
      </w:r>
      <w:r w:rsidRPr="00AB40AE">
        <w:rPr>
          <w:rFonts w:cstheme="minorHAnsi"/>
          <w:noProof/>
          <w:sz w:val="19"/>
          <w:szCs w:val="19"/>
          <w:lang w:val="en-US"/>
        </w:rPr>
        <w:tab/>
        <w:t xml:space="preserve">Walline, J. J. </w:t>
      </w:r>
      <w:r w:rsidRPr="00AB40AE">
        <w:rPr>
          <w:rFonts w:cstheme="minorHAnsi"/>
          <w:i/>
          <w:iCs/>
          <w:noProof/>
          <w:sz w:val="19"/>
          <w:szCs w:val="19"/>
          <w:lang w:val="en-US"/>
        </w:rPr>
        <w:t>et al.</w:t>
      </w:r>
      <w:r w:rsidRPr="00AB40AE">
        <w:rPr>
          <w:rFonts w:cstheme="minorHAnsi"/>
          <w:noProof/>
          <w:sz w:val="19"/>
          <w:szCs w:val="19"/>
          <w:lang w:val="en-US"/>
        </w:rPr>
        <w:t xml:space="preserve"> The Children’s Overnight Orthokeratology Investigation (COOKI) pilot study. </w:t>
      </w:r>
      <w:r w:rsidRPr="00AB40AE">
        <w:rPr>
          <w:rFonts w:cstheme="minorHAnsi"/>
          <w:i/>
          <w:iCs/>
          <w:noProof/>
          <w:sz w:val="19"/>
          <w:szCs w:val="19"/>
          <w:lang w:val="en-US"/>
        </w:rPr>
        <w:t>Optom. Vis. Sci.</w:t>
      </w:r>
      <w:r w:rsidRPr="00AB40AE">
        <w:rPr>
          <w:rFonts w:cstheme="minorHAnsi"/>
          <w:noProof/>
          <w:sz w:val="19"/>
          <w:szCs w:val="19"/>
          <w:lang w:val="en-US"/>
        </w:rPr>
        <w:t xml:space="preserve"> </w:t>
      </w:r>
      <w:r w:rsidRPr="00AB40AE">
        <w:rPr>
          <w:rFonts w:cstheme="minorHAnsi"/>
          <w:bCs/>
          <w:noProof/>
          <w:sz w:val="19"/>
          <w:szCs w:val="19"/>
          <w:lang w:val="en-US"/>
        </w:rPr>
        <w:t>81,</w:t>
      </w:r>
      <w:r w:rsidRPr="00AB40AE">
        <w:rPr>
          <w:rFonts w:cstheme="minorHAnsi"/>
          <w:noProof/>
          <w:sz w:val="19"/>
          <w:szCs w:val="19"/>
          <w:lang w:val="en-US"/>
        </w:rPr>
        <w:t xml:space="preserve"> 407–413 (2004).</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38.</w:t>
      </w:r>
      <w:r w:rsidRPr="00AB40AE">
        <w:rPr>
          <w:rFonts w:cstheme="minorHAnsi"/>
          <w:noProof/>
          <w:sz w:val="19"/>
          <w:szCs w:val="19"/>
          <w:lang w:val="en-US"/>
        </w:rPr>
        <w:tab/>
        <w:t xml:space="preserve">Walline, J. J. </w:t>
      </w:r>
      <w:r w:rsidRPr="00AB40AE">
        <w:rPr>
          <w:rFonts w:cstheme="minorHAnsi"/>
          <w:i/>
          <w:iCs/>
          <w:noProof/>
          <w:sz w:val="19"/>
          <w:szCs w:val="19"/>
          <w:lang w:val="en-US"/>
        </w:rPr>
        <w:t>et al.</w:t>
      </w:r>
      <w:r w:rsidRPr="00AB40AE">
        <w:rPr>
          <w:rFonts w:cstheme="minorHAnsi"/>
          <w:noProof/>
          <w:sz w:val="19"/>
          <w:szCs w:val="19"/>
          <w:lang w:val="en-US"/>
        </w:rPr>
        <w:t xml:space="preserve"> Randomized trial of the effect of contact lens wear on self-perception in children. </w:t>
      </w:r>
      <w:r w:rsidRPr="00AB40AE">
        <w:rPr>
          <w:rFonts w:cstheme="minorHAnsi"/>
          <w:i/>
          <w:iCs/>
          <w:noProof/>
          <w:sz w:val="19"/>
          <w:szCs w:val="19"/>
          <w:lang w:val="en-US"/>
        </w:rPr>
        <w:t>Optom. Vis. Sci.</w:t>
      </w:r>
      <w:r w:rsidRPr="00AB40AE">
        <w:rPr>
          <w:rFonts w:cstheme="minorHAnsi"/>
          <w:noProof/>
          <w:sz w:val="19"/>
          <w:szCs w:val="19"/>
          <w:lang w:val="en-US"/>
        </w:rPr>
        <w:t xml:space="preserve"> </w:t>
      </w:r>
      <w:r w:rsidRPr="00AB40AE">
        <w:rPr>
          <w:rFonts w:cstheme="minorHAnsi"/>
          <w:bCs/>
          <w:noProof/>
          <w:sz w:val="19"/>
          <w:szCs w:val="19"/>
          <w:lang w:val="en-US"/>
        </w:rPr>
        <w:t>86,</w:t>
      </w:r>
      <w:r w:rsidRPr="00AB40AE">
        <w:rPr>
          <w:rFonts w:cstheme="minorHAnsi"/>
          <w:noProof/>
          <w:sz w:val="19"/>
          <w:szCs w:val="19"/>
          <w:lang w:val="en-US"/>
        </w:rPr>
        <w:t xml:space="preserve"> 222–232 (2009).</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39.</w:t>
      </w:r>
      <w:r w:rsidRPr="00AB40AE">
        <w:rPr>
          <w:rFonts w:cstheme="minorHAnsi"/>
          <w:noProof/>
          <w:sz w:val="19"/>
          <w:szCs w:val="19"/>
          <w:lang w:val="en-US"/>
        </w:rPr>
        <w:tab/>
        <w:t xml:space="preserve">Walline, J. J. </w:t>
      </w:r>
      <w:r w:rsidRPr="00AB40AE">
        <w:rPr>
          <w:rFonts w:cstheme="minorHAnsi"/>
          <w:i/>
          <w:iCs/>
          <w:noProof/>
          <w:sz w:val="19"/>
          <w:szCs w:val="19"/>
          <w:lang w:val="en-US"/>
        </w:rPr>
        <w:t>et al.</w:t>
      </w:r>
      <w:r w:rsidRPr="00AB40AE">
        <w:rPr>
          <w:rFonts w:cstheme="minorHAnsi"/>
          <w:noProof/>
          <w:sz w:val="19"/>
          <w:szCs w:val="19"/>
          <w:lang w:val="en-US"/>
        </w:rPr>
        <w:t xml:space="preserve"> Multifocal contact lens myopia control. </w:t>
      </w:r>
      <w:r w:rsidRPr="00AB40AE">
        <w:rPr>
          <w:rFonts w:cstheme="minorHAnsi"/>
          <w:i/>
          <w:iCs/>
          <w:noProof/>
          <w:sz w:val="19"/>
          <w:szCs w:val="19"/>
          <w:lang w:val="en-US"/>
        </w:rPr>
        <w:t>Optom. Vis. Sci.</w:t>
      </w:r>
      <w:r w:rsidRPr="00AB40AE">
        <w:rPr>
          <w:rFonts w:cstheme="minorHAnsi"/>
          <w:noProof/>
          <w:sz w:val="19"/>
          <w:szCs w:val="19"/>
          <w:lang w:val="en-US"/>
        </w:rPr>
        <w:t xml:space="preserve"> </w:t>
      </w:r>
      <w:r w:rsidRPr="00AB40AE">
        <w:rPr>
          <w:rFonts w:cstheme="minorHAnsi"/>
          <w:bCs/>
          <w:noProof/>
          <w:sz w:val="19"/>
          <w:szCs w:val="19"/>
          <w:lang w:val="en-US"/>
        </w:rPr>
        <w:t>90,</w:t>
      </w:r>
      <w:r w:rsidRPr="00AB40AE">
        <w:rPr>
          <w:rFonts w:cstheme="minorHAnsi"/>
          <w:noProof/>
          <w:sz w:val="19"/>
          <w:szCs w:val="19"/>
          <w:lang w:val="en-US"/>
        </w:rPr>
        <w:t xml:space="preserve"> 1207–1214 (2013).</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40.</w:t>
      </w:r>
      <w:r w:rsidRPr="00AB40AE">
        <w:rPr>
          <w:rFonts w:cstheme="minorHAnsi"/>
          <w:noProof/>
          <w:sz w:val="19"/>
          <w:szCs w:val="19"/>
          <w:lang w:val="en-US"/>
        </w:rPr>
        <w:tab/>
        <w:t xml:space="preserve">Wu, P.-C. </w:t>
      </w:r>
      <w:r w:rsidRPr="00AB40AE">
        <w:rPr>
          <w:rFonts w:cstheme="minorHAnsi"/>
          <w:i/>
          <w:iCs/>
          <w:noProof/>
          <w:sz w:val="19"/>
          <w:szCs w:val="19"/>
          <w:lang w:val="en-US"/>
        </w:rPr>
        <w:t>et al.</w:t>
      </w:r>
      <w:r w:rsidRPr="00AB40AE">
        <w:rPr>
          <w:rFonts w:cstheme="minorHAnsi"/>
          <w:noProof/>
          <w:sz w:val="19"/>
          <w:szCs w:val="19"/>
          <w:lang w:val="en-US"/>
        </w:rPr>
        <w:t xml:space="preserve"> The long-term results of using low-concentration atropine eye drops for controlling myopia progression in schoolchildren. </w:t>
      </w:r>
      <w:r w:rsidRPr="00AB40AE">
        <w:rPr>
          <w:rFonts w:cstheme="minorHAnsi"/>
          <w:i/>
          <w:iCs/>
          <w:noProof/>
          <w:sz w:val="19"/>
          <w:szCs w:val="19"/>
          <w:lang w:val="en-US"/>
        </w:rPr>
        <w:t>J. Ocul. Pharmacol. Ther.</w:t>
      </w:r>
      <w:r w:rsidRPr="00AB40AE">
        <w:rPr>
          <w:rFonts w:cstheme="minorHAnsi"/>
          <w:noProof/>
          <w:sz w:val="19"/>
          <w:szCs w:val="19"/>
          <w:lang w:val="en-US"/>
        </w:rPr>
        <w:t xml:space="preserve"> </w:t>
      </w:r>
      <w:r w:rsidRPr="00AB40AE">
        <w:rPr>
          <w:rFonts w:cstheme="minorHAnsi"/>
          <w:bCs/>
          <w:noProof/>
          <w:sz w:val="19"/>
          <w:szCs w:val="19"/>
          <w:lang w:val="en-US"/>
        </w:rPr>
        <w:t>27,</w:t>
      </w:r>
      <w:r w:rsidRPr="00AB40AE">
        <w:rPr>
          <w:rFonts w:cstheme="minorHAnsi"/>
          <w:noProof/>
          <w:sz w:val="19"/>
          <w:szCs w:val="19"/>
          <w:lang w:val="en-US"/>
        </w:rPr>
        <w:t xml:space="preserve"> 461–466 (2011).</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41.</w:t>
      </w:r>
      <w:r w:rsidRPr="00AB40AE">
        <w:rPr>
          <w:rFonts w:cstheme="minorHAnsi"/>
          <w:noProof/>
          <w:sz w:val="19"/>
          <w:szCs w:val="19"/>
          <w:lang w:val="en-US"/>
        </w:rPr>
        <w:tab/>
        <w:t xml:space="preserve">Yang, Z. </w:t>
      </w:r>
      <w:r w:rsidRPr="00AB40AE">
        <w:rPr>
          <w:rFonts w:cstheme="minorHAnsi"/>
          <w:i/>
          <w:iCs/>
          <w:noProof/>
          <w:sz w:val="19"/>
          <w:szCs w:val="19"/>
          <w:lang w:val="en-US"/>
        </w:rPr>
        <w:t>et al.</w:t>
      </w:r>
      <w:r w:rsidRPr="00AB40AE">
        <w:rPr>
          <w:rFonts w:cstheme="minorHAnsi"/>
          <w:noProof/>
          <w:sz w:val="19"/>
          <w:szCs w:val="19"/>
          <w:lang w:val="en-US"/>
        </w:rPr>
        <w:t xml:space="preserve"> The effectiveness of progressive addition lenses on the progression of myopia in Chinese children. </w:t>
      </w:r>
      <w:r w:rsidRPr="00AB40AE">
        <w:rPr>
          <w:rFonts w:cstheme="minorHAnsi"/>
          <w:i/>
          <w:iCs/>
          <w:noProof/>
          <w:sz w:val="19"/>
          <w:szCs w:val="19"/>
          <w:lang w:val="en-US"/>
        </w:rPr>
        <w:t>Ophthalmic Physiol. Opt.</w:t>
      </w:r>
      <w:r w:rsidRPr="00AB40AE">
        <w:rPr>
          <w:rFonts w:cstheme="minorHAnsi"/>
          <w:noProof/>
          <w:sz w:val="19"/>
          <w:szCs w:val="19"/>
          <w:lang w:val="en-US"/>
        </w:rPr>
        <w:t xml:space="preserve"> </w:t>
      </w:r>
      <w:r w:rsidRPr="00AB40AE">
        <w:rPr>
          <w:rFonts w:cstheme="minorHAnsi"/>
          <w:bCs/>
          <w:noProof/>
          <w:sz w:val="19"/>
          <w:szCs w:val="19"/>
          <w:lang w:val="en-US"/>
        </w:rPr>
        <w:t>29,</w:t>
      </w:r>
      <w:r w:rsidRPr="00AB40AE">
        <w:rPr>
          <w:rFonts w:cstheme="minorHAnsi"/>
          <w:noProof/>
          <w:sz w:val="19"/>
          <w:szCs w:val="19"/>
          <w:lang w:val="en-US"/>
        </w:rPr>
        <w:t xml:space="preserve"> 41–48 (2009).</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42.</w:t>
      </w:r>
      <w:r w:rsidRPr="00AB40AE">
        <w:rPr>
          <w:rFonts w:cstheme="minorHAnsi"/>
          <w:noProof/>
          <w:sz w:val="19"/>
          <w:szCs w:val="19"/>
          <w:lang w:val="en-US"/>
        </w:rPr>
        <w:tab/>
        <w:t xml:space="preserve">Yen, M.-Y., Lru, J.-H., Kao, S.-C. &amp; Shiao, C.-H. Comparison of the Effect of Atropine and Cyciopentoiate on Myopia. </w:t>
      </w:r>
      <w:r w:rsidRPr="00AB40AE">
        <w:rPr>
          <w:rFonts w:cstheme="minorHAnsi"/>
          <w:i/>
          <w:iCs/>
          <w:noProof/>
          <w:sz w:val="19"/>
          <w:szCs w:val="19"/>
          <w:lang w:val="en-US"/>
        </w:rPr>
        <w:t>Ann</w:t>
      </w:r>
      <w:r w:rsidRPr="00AB40AE">
        <w:rPr>
          <w:rFonts w:cstheme="minorHAnsi"/>
          <w:noProof/>
          <w:sz w:val="19"/>
          <w:szCs w:val="19"/>
          <w:lang w:val="en-US"/>
        </w:rPr>
        <w:t xml:space="preserve"> </w:t>
      </w:r>
      <w:r w:rsidRPr="00AB40AE">
        <w:rPr>
          <w:rFonts w:cstheme="minorHAnsi"/>
          <w:bCs/>
          <w:noProof/>
          <w:sz w:val="19"/>
          <w:szCs w:val="19"/>
          <w:lang w:val="en-US"/>
        </w:rPr>
        <w:t>21,</w:t>
      </w:r>
      <w:r w:rsidRPr="00AB40AE">
        <w:rPr>
          <w:rFonts w:cstheme="minorHAnsi"/>
          <w:noProof/>
          <w:sz w:val="19"/>
          <w:szCs w:val="19"/>
          <w:lang w:val="en-US"/>
        </w:rPr>
        <w:t xml:space="preserve"> 180–187 (1989).</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43.</w:t>
      </w:r>
      <w:r w:rsidRPr="00AB40AE">
        <w:rPr>
          <w:rFonts w:cstheme="minorHAnsi"/>
          <w:noProof/>
          <w:sz w:val="19"/>
          <w:szCs w:val="19"/>
          <w:lang w:val="en-US"/>
        </w:rPr>
        <w:tab/>
        <w:t xml:space="preserve">Yi, S. </w:t>
      </w:r>
      <w:r w:rsidRPr="00AB40AE">
        <w:rPr>
          <w:rFonts w:cstheme="minorHAnsi"/>
          <w:i/>
          <w:iCs/>
          <w:noProof/>
          <w:sz w:val="19"/>
          <w:szCs w:val="19"/>
          <w:lang w:val="en-US"/>
        </w:rPr>
        <w:t>et al.</w:t>
      </w:r>
      <w:r w:rsidRPr="00AB40AE">
        <w:rPr>
          <w:rFonts w:cstheme="minorHAnsi"/>
          <w:noProof/>
          <w:sz w:val="19"/>
          <w:szCs w:val="19"/>
          <w:lang w:val="en-US"/>
        </w:rPr>
        <w:t xml:space="preserve"> Therapeutic effect of atropine 1% in children with low myopia. </w:t>
      </w:r>
      <w:r w:rsidRPr="00AB40AE">
        <w:rPr>
          <w:rFonts w:cstheme="minorHAnsi"/>
          <w:i/>
          <w:iCs/>
          <w:noProof/>
          <w:sz w:val="19"/>
          <w:szCs w:val="19"/>
          <w:lang w:val="en-US"/>
        </w:rPr>
        <w:t>J. Am. Assoc. Pediatr. Ophthalmol. Strabismus</w:t>
      </w:r>
      <w:r w:rsidRPr="00AB40AE">
        <w:rPr>
          <w:rFonts w:cstheme="minorHAnsi"/>
          <w:noProof/>
          <w:sz w:val="19"/>
          <w:szCs w:val="19"/>
          <w:lang w:val="en-US"/>
        </w:rPr>
        <w:t xml:space="preserve"> </w:t>
      </w:r>
      <w:r w:rsidRPr="00AB40AE">
        <w:rPr>
          <w:rFonts w:cstheme="minorHAnsi"/>
          <w:bCs/>
          <w:noProof/>
          <w:sz w:val="19"/>
          <w:szCs w:val="19"/>
          <w:lang w:val="en-US"/>
        </w:rPr>
        <w:t>19,</w:t>
      </w:r>
      <w:r w:rsidRPr="00AB40AE">
        <w:rPr>
          <w:rFonts w:cstheme="minorHAnsi"/>
          <w:noProof/>
          <w:sz w:val="19"/>
          <w:szCs w:val="19"/>
          <w:lang w:val="en-US"/>
        </w:rPr>
        <w:t xml:space="preserve"> 426–429 (2015).</w:t>
      </w:r>
    </w:p>
    <w:p w:rsidR="00D7124C" w:rsidRPr="00AB40AE"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r w:rsidRPr="00AB40AE">
        <w:rPr>
          <w:rFonts w:cstheme="minorHAnsi"/>
          <w:noProof/>
          <w:sz w:val="19"/>
          <w:szCs w:val="19"/>
          <w:lang w:val="en-US"/>
        </w:rPr>
        <w:t>44.</w:t>
      </w:r>
      <w:r w:rsidRPr="00AB40AE">
        <w:rPr>
          <w:rFonts w:cstheme="minorHAnsi"/>
          <w:noProof/>
          <w:sz w:val="19"/>
          <w:szCs w:val="19"/>
          <w:lang w:val="en-US"/>
        </w:rPr>
        <w:tab/>
        <w:t xml:space="preserve">Zhu, M.-J., Feng, H.-Y., He, X.-G., Zou, H.-D. &amp; Zhu, J.-F. The control effect of orthokeratology on axial length elongation in Chinese children with myopia. </w:t>
      </w:r>
      <w:r w:rsidRPr="00AB40AE">
        <w:rPr>
          <w:rFonts w:cstheme="minorHAnsi"/>
          <w:i/>
          <w:iCs/>
          <w:noProof/>
          <w:sz w:val="19"/>
          <w:szCs w:val="19"/>
          <w:lang w:val="en-US"/>
        </w:rPr>
        <w:t>BMC Ophthalmol.</w:t>
      </w:r>
      <w:r w:rsidRPr="00AB40AE">
        <w:rPr>
          <w:rFonts w:cstheme="minorHAnsi"/>
          <w:noProof/>
          <w:sz w:val="19"/>
          <w:szCs w:val="19"/>
          <w:lang w:val="en-US"/>
        </w:rPr>
        <w:t xml:space="preserve"> </w:t>
      </w:r>
      <w:r w:rsidRPr="00AB40AE">
        <w:rPr>
          <w:rFonts w:cstheme="minorHAnsi"/>
          <w:bCs/>
          <w:noProof/>
          <w:sz w:val="19"/>
          <w:szCs w:val="19"/>
          <w:lang w:val="en-US"/>
        </w:rPr>
        <w:t>14,</w:t>
      </w:r>
      <w:r w:rsidRPr="00AB40AE">
        <w:rPr>
          <w:rFonts w:cstheme="minorHAnsi"/>
          <w:noProof/>
          <w:sz w:val="19"/>
          <w:szCs w:val="19"/>
          <w:lang w:val="en-US"/>
        </w:rPr>
        <w:t xml:space="preserve"> 141 (2014).</w:t>
      </w:r>
    </w:p>
    <w:p w:rsidR="00D7124C" w:rsidRDefault="00D7124C" w:rsidP="0075220B">
      <w:pPr>
        <w:widowControl w:val="0"/>
        <w:autoSpaceDE w:val="0"/>
        <w:autoSpaceDN w:val="0"/>
        <w:adjustRightInd w:val="0"/>
        <w:spacing w:line="480" w:lineRule="auto"/>
        <w:ind w:left="640" w:hanging="640"/>
        <w:jc w:val="both"/>
        <w:rPr>
          <w:rFonts w:cstheme="minorHAnsi"/>
          <w:noProof/>
          <w:sz w:val="19"/>
          <w:szCs w:val="19"/>
          <w:lang w:val="en-US"/>
        </w:rPr>
      </w:pPr>
    </w:p>
    <w:p w:rsidR="00AB40AE" w:rsidRDefault="00AB40AE" w:rsidP="0075220B">
      <w:pPr>
        <w:widowControl w:val="0"/>
        <w:autoSpaceDE w:val="0"/>
        <w:autoSpaceDN w:val="0"/>
        <w:adjustRightInd w:val="0"/>
        <w:spacing w:line="480" w:lineRule="auto"/>
        <w:ind w:left="640" w:hanging="640"/>
        <w:jc w:val="both"/>
        <w:rPr>
          <w:rFonts w:cstheme="minorHAnsi"/>
          <w:noProof/>
          <w:sz w:val="19"/>
          <w:szCs w:val="19"/>
          <w:lang w:val="en-US"/>
        </w:rPr>
      </w:pPr>
    </w:p>
    <w:p w:rsidR="00AB40AE" w:rsidRDefault="00AB40AE" w:rsidP="0075220B">
      <w:pPr>
        <w:widowControl w:val="0"/>
        <w:autoSpaceDE w:val="0"/>
        <w:autoSpaceDN w:val="0"/>
        <w:adjustRightInd w:val="0"/>
        <w:spacing w:line="480" w:lineRule="auto"/>
        <w:ind w:left="640" w:hanging="640"/>
        <w:jc w:val="both"/>
        <w:rPr>
          <w:rFonts w:cstheme="minorHAnsi"/>
          <w:noProof/>
          <w:sz w:val="19"/>
          <w:szCs w:val="19"/>
          <w:lang w:val="en-US"/>
        </w:rPr>
      </w:pPr>
    </w:p>
    <w:p w:rsidR="00AB40AE" w:rsidRDefault="00AB40AE" w:rsidP="0075220B">
      <w:pPr>
        <w:widowControl w:val="0"/>
        <w:autoSpaceDE w:val="0"/>
        <w:autoSpaceDN w:val="0"/>
        <w:adjustRightInd w:val="0"/>
        <w:spacing w:line="480" w:lineRule="auto"/>
        <w:jc w:val="both"/>
        <w:rPr>
          <w:rFonts w:cstheme="minorHAnsi"/>
          <w:noProof/>
          <w:sz w:val="19"/>
          <w:szCs w:val="19"/>
          <w:lang w:val="en-US"/>
        </w:rPr>
      </w:pPr>
    </w:p>
    <w:p w:rsidR="00273BCC" w:rsidRDefault="00273BCC" w:rsidP="0075220B">
      <w:pPr>
        <w:widowControl w:val="0"/>
        <w:autoSpaceDE w:val="0"/>
        <w:autoSpaceDN w:val="0"/>
        <w:adjustRightInd w:val="0"/>
        <w:spacing w:line="480" w:lineRule="auto"/>
        <w:jc w:val="both"/>
        <w:rPr>
          <w:rFonts w:cstheme="minorHAnsi"/>
          <w:noProof/>
          <w:sz w:val="19"/>
          <w:szCs w:val="19"/>
          <w:lang w:val="en-US"/>
        </w:rPr>
      </w:pPr>
    </w:p>
    <w:p w:rsidR="00273BCC" w:rsidRPr="00AB40AE" w:rsidRDefault="00273BCC" w:rsidP="0075220B">
      <w:pPr>
        <w:widowControl w:val="0"/>
        <w:autoSpaceDE w:val="0"/>
        <w:autoSpaceDN w:val="0"/>
        <w:adjustRightInd w:val="0"/>
        <w:spacing w:line="480" w:lineRule="auto"/>
        <w:jc w:val="both"/>
        <w:rPr>
          <w:rFonts w:cstheme="minorHAnsi"/>
          <w:noProof/>
          <w:sz w:val="19"/>
          <w:szCs w:val="19"/>
          <w:lang w:val="en-US"/>
        </w:rPr>
      </w:pPr>
    </w:p>
    <w:p w:rsidR="002368B9" w:rsidRPr="00AB40AE" w:rsidRDefault="002368B9" w:rsidP="00273BCC">
      <w:pPr>
        <w:autoSpaceDE w:val="0"/>
        <w:autoSpaceDN w:val="0"/>
        <w:adjustRightInd w:val="0"/>
        <w:spacing w:after="0" w:line="240" w:lineRule="auto"/>
        <w:jc w:val="center"/>
        <w:rPr>
          <w:rFonts w:cstheme="minorHAnsi"/>
          <w:b/>
          <w:bCs/>
          <w:sz w:val="24"/>
          <w:szCs w:val="24"/>
          <w:lang w:val="en-US"/>
        </w:rPr>
      </w:pPr>
      <w:r w:rsidRPr="00AB40AE">
        <w:rPr>
          <w:rFonts w:cstheme="minorHAnsi"/>
          <w:b/>
          <w:bCs/>
          <w:sz w:val="24"/>
          <w:szCs w:val="24"/>
          <w:lang w:val="en-US"/>
        </w:rPr>
        <w:lastRenderedPageBreak/>
        <w:t>Appendix 4</w:t>
      </w:r>
    </w:p>
    <w:p w:rsidR="00D7124C" w:rsidRPr="00AB40AE" w:rsidRDefault="002368B9" w:rsidP="00273BCC">
      <w:pPr>
        <w:widowControl w:val="0"/>
        <w:autoSpaceDE w:val="0"/>
        <w:autoSpaceDN w:val="0"/>
        <w:adjustRightInd w:val="0"/>
        <w:spacing w:line="240" w:lineRule="auto"/>
        <w:ind w:left="640" w:hanging="640"/>
        <w:jc w:val="center"/>
        <w:rPr>
          <w:rFonts w:cstheme="minorHAnsi"/>
          <w:b/>
          <w:noProof/>
          <w:sz w:val="24"/>
          <w:szCs w:val="24"/>
          <w:lang w:val="en-US"/>
        </w:rPr>
      </w:pPr>
      <w:r w:rsidRPr="00AB40AE">
        <w:rPr>
          <w:rFonts w:cstheme="minorHAnsi"/>
          <w:b/>
          <w:bCs/>
          <w:sz w:val="24"/>
          <w:szCs w:val="24"/>
          <w:lang w:val="en-US"/>
        </w:rPr>
        <w:t>Forest plots of comparisons</w:t>
      </w:r>
    </w:p>
    <w:p w:rsidR="0000751F" w:rsidRDefault="00D7124C" w:rsidP="0075220B">
      <w:pPr>
        <w:pStyle w:val="ListParagraph"/>
        <w:numPr>
          <w:ilvl w:val="0"/>
          <w:numId w:val="43"/>
        </w:numPr>
        <w:jc w:val="both"/>
        <w:rPr>
          <w:rFonts w:ascii="Times New Roman" w:hAnsi="Times New Roman" w:cs="Times New Roman"/>
          <w:sz w:val="20"/>
          <w:szCs w:val="20"/>
          <w:lang w:val="en-US"/>
        </w:rPr>
      </w:pPr>
      <w:r w:rsidRPr="00AB40AE">
        <w:rPr>
          <w:lang w:val="en-US"/>
        </w:rPr>
        <w:fldChar w:fldCharType="end"/>
      </w:r>
    </w:p>
    <w:p w:rsidR="0000751F" w:rsidRDefault="00972B4C" w:rsidP="0000751F">
      <w:pPr>
        <w:spacing w:line="240" w:lineRule="auto"/>
        <w:rPr>
          <w:sz w:val="20"/>
          <w:szCs w:val="20"/>
          <w:lang w:val="en-GB"/>
        </w:rPr>
      </w:pPr>
      <w:r w:rsidRPr="00E650E9">
        <w:rPr>
          <w:rFonts w:eastAsia="Times New Roman" w:cstheme="minorHAnsi"/>
          <w:b/>
          <w:bCs/>
          <w:i/>
          <w:noProof/>
          <w:lang w:eastAsia="el-GR"/>
        </w:rPr>
        <w:drawing>
          <wp:inline distT="0" distB="0" distL="0" distR="0" wp14:anchorId="40A83D5D" wp14:editId="1146FE2B">
            <wp:extent cx="5274310" cy="80518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805180"/>
                    </a:xfrm>
                    <a:prstGeom prst="rect">
                      <a:avLst/>
                    </a:prstGeom>
                  </pic:spPr>
                </pic:pic>
              </a:graphicData>
            </a:graphic>
          </wp:inline>
        </w:drawing>
      </w:r>
      <w:r w:rsidRPr="0000751F">
        <w:rPr>
          <w:rFonts w:ascii="Arial" w:eastAsia="Times New Roman" w:hAnsi="Arial" w:cs="Arial"/>
          <w:bCs/>
          <w:i/>
          <w:sz w:val="16"/>
          <w:szCs w:val="16"/>
          <w:lang w:val="en-US" w:eastAsia="el-GR"/>
        </w:rPr>
        <w:t xml:space="preserve">Undercorrected vs fully-corrected spectacles. </w:t>
      </w:r>
      <w:r w:rsidRPr="0000751F">
        <w:rPr>
          <w:rFonts w:ascii="Arial" w:hAnsi="Arial" w:cs="Arial"/>
          <w:sz w:val="16"/>
          <w:szCs w:val="16"/>
          <w:lang w:val="en-GB"/>
        </w:rPr>
        <w:t xml:space="preserve">Primary outcomes from baseline </w:t>
      </w:r>
      <w:r w:rsidRPr="0000751F">
        <w:rPr>
          <w:rFonts w:ascii="Arial" w:hAnsi="Arial" w:cs="Arial"/>
          <w:sz w:val="16"/>
          <w:szCs w:val="16"/>
          <w:lang w:val="en-US"/>
        </w:rPr>
        <w:t>(1 year)</w:t>
      </w:r>
      <w:r w:rsidRPr="0000751F">
        <w:rPr>
          <w:rFonts w:ascii="Arial" w:hAnsi="Arial" w:cs="Arial"/>
          <w:sz w:val="16"/>
          <w:szCs w:val="16"/>
          <w:lang w:val="en-GB"/>
        </w:rPr>
        <w:t xml:space="preserve"> – Change in refractive error (D).</w:t>
      </w:r>
      <w:r>
        <w:rPr>
          <w:sz w:val="20"/>
          <w:szCs w:val="20"/>
          <w:lang w:val="en-GB"/>
        </w:rPr>
        <w:t xml:space="preserve">  </w:t>
      </w:r>
    </w:p>
    <w:p w:rsidR="008B04AA" w:rsidRDefault="008B04AA" w:rsidP="0000751F">
      <w:pPr>
        <w:spacing w:line="240" w:lineRule="auto"/>
        <w:rPr>
          <w:sz w:val="20"/>
          <w:szCs w:val="20"/>
          <w:lang w:val="en-GB"/>
        </w:rPr>
      </w:pPr>
    </w:p>
    <w:p w:rsidR="008B04AA" w:rsidRPr="008B04AA" w:rsidRDefault="008B04AA" w:rsidP="008B04AA">
      <w:pPr>
        <w:pStyle w:val="ListParagraph"/>
        <w:numPr>
          <w:ilvl w:val="0"/>
          <w:numId w:val="43"/>
        </w:numPr>
        <w:spacing w:line="240" w:lineRule="auto"/>
        <w:rPr>
          <w:rFonts w:ascii="Times New Roman" w:hAnsi="Times New Roman" w:cs="Times New Roman"/>
          <w:sz w:val="20"/>
          <w:szCs w:val="20"/>
          <w:lang w:val="en-US"/>
        </w:rPr>
      </w:pPr>
    </w:p>
    <w:p w:rsidR="00972B4C" w:rsidRDefault="00972B4C" w:rsidP="0000751F">
      <w:pPr>
        <w:spacing w:line="240" w:lineRule="auto"/>
        <w:rPr>
          <w:sz w:val="20"/>
          <w:szCs w:val="20"/>
          <w:lang w:val="en-GB"/>
        </w:rPr>
      </w:pPr>
      <w:r w:rsidRPr="00DA3248">
        <w:rPr>
          <w:rFonts w:eastAsia="Times New Roman" w:cstheme="minorHAnsi"/>
          <w:b/>
          <w:bCs/>
          <w:i/>
          <w:noProof/>
          <w:lang w:eastAsia="el-GR"/>
        </w:rPr>
        <w:drawing>
          <wp:inline distT="0" distB="0" distL="0" distR="0" wp14:anchorId="6B9161E1" wp14:editId="4364DFA9">
            <wp:extent cx="5274310" cy="6096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609600"/>
                    </a:xfrm>
                    <a:prstGeom prst="rect">
                      <a:avLst/>
                    </a:prstGeom>
                  </pic:spPr>
                </pic:pic>
              </a:graphicData>
            </a:graphic>
          </wp:inline>
        </w:drawing>
      </w:r>
      <w:r w:rsidRPr="0000751F">
        <w:rPr>
          <w:rFonts w:ascii="Arial" w:eastAsia="Times New Roman" w:hAnsi="Arial" w:cs="Arial"/>
          <w:bCs/>
          <w:i/>
          <w:sz w:val="16"/>
          <w:szCs w:val="16"/>
          <w:lang w:val="en-US" w:eastAsia="el-GR"/>
        </w:rPr>
        <w:t xml:space="preserve">Undercorrected vs fully-corrected spectacles. </w:t>
      </w:r>
      <w:r w:rsidRPr="0000751F">
        <w:rPr>
          <w:rFonts w:ascii="Arial" w:hAnsi="Arial" w:cs="Arial"/>
          <w:sz w:val="16"/>
          <w:szCs w:val="16"/>
          <w:lang w:val="en-GB"/>
        </w:rPr>
        <w:t xml:space="preserve">Primary outcomes from baseline </w:t>
      </w:r>
      <w:r w:rsidRPr="0000751F">
        <w:rPr>
          <w:rFonts w:ascii="Arial" w:hAnsi="Arial" w:cs="Arial"/>
          <w:sz w:val="16"/>
          <w:szCs w:val="16"/>
          <w:lang w:val="en-US"/>
        </w:rPr>
        <w:t>(1 year)</w:t>
      </w:r>
      <w:r w:rsidRPr="0000751F">
        <w:rPr>
          <w:rFonts w:ascii="Arial" w:hAnsi="Arial" w:cs="Arial"/>
          <w:sz w:val="16"/>
          <w:szCs w:val="16"/>
          <w:lang w:val="en-GB"/>
        </w:rPr>
        <w:t xml:space="preserve"> – Change in axial length (mm).</w:t>
      </w:r>
      <w:r>
        <w:rPr>
          <w:sz w:val="20"/>
          <w:szCs w:val="20"/>
          <w:lang w:val="en-GB"/>
        </w:rPr>
        <w:t xml:space="preserve"> </w:t>
      </w:r>
    </w:p>
    <w:p w:rsidR="00972B4C" w:rsidRDefault="00972B4C" w:rsidP="00972B4C">
      <w:pPr>
        <w:rPr>
          <w:rFonts w:eastAsia="Times New Roman" w:cstheme="minorHAnsi"/>
          <w:b/>
          <w:bCs/>
          <w:i/>
          <w:lang w:val="en-GB" w:eastAsia="el-GR"/>
        </w:rPr>
      </w:pPr>
    </w:p>
    <w:p w:rsidR="008B04AA" w:rsidRPr="008B04AA" w:rsidRDefault="008B04AA" w:rsidP="008B04AA">
      <w:pPr>
        <w:pStyle w:val="ListParagraph"/>
        <w:numPr>
          <w:ilvl w:val="0"/>
          <w:numId w:val="43"/>
        </w:numPr>
        <w:rPr>
          <w:rFonts w:eastAsia="Times New Roman" w:cstheme="minorHAnsi"/>
          <w:b/>
          <w:bCs/>
          <w:i/>
          <w:lang w:val="en-GB" w:eastAsia="el-GR"/>
        </w:rPr>
      </w:pPr>
    </w:p>
    <w:p w:rsidR="00972B4C" w:rsidRPr="007A4771" w:rsidRDefault="00972B4C" w:rsidP="0000751F">
      <w:pPr>
        <w:spacing w:line="240" w:lineRule="auto"/>
        <w:rPr>
          <w:rFonts w:eastAsia="Times New Roman" w:cstheme="minorHAnsi"/>
          <w:b/>
          <w:bCs/>
          <w:i/>
          <w:lang w:val="en-US" w:eastAsia="el-GR"/>
        </w:rPr>
      </w:pPr>
      <w:r w:rsidRPr="00476DD2">
        <w:rPr>
          <w:rFonts w:eastAsia="Times New Roman" w:cstheme="minorHAnsi"/>
          <w:b/>
          <w:bCs/>
          <w:i/>
          <w:noProof/>
          <w:lang w:eastAsia="el-GR"/>
        </w:rPr>
        <w:drawing>
          <wp:inline distT="0" distB="0" distL="0" distR="0" wp14:anchorId="0FE53808" wp14:editId="67A33204">
            <wp:extent cx="5274310" cy="85534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855345"/>
                    </a:xfrm>
                    <a:prstGeom prst="rect">
                      <a:avLst/>
                    </a:prstGeom>
                  </pic:spPr>
                </pic:pic>
              </a:graphicData>
            </a:graphic>
          </wp:inline>
        </w:drawing>
      </w:r>
      <w:r w:rsidRPr="0000751F">
        <w:rPr>
          <w:rFonts w:ascii="Arial" w:eastAsia="Times New Roman" w:hAnsi="Arial" w:cs="Arial"/>
          <w:bCs/>
          <w:i/>
          <w:sz w:val="16"/>
          <w:szCs w:val="16"/>
          <w:lang w:val="en-US" w:eastAsia="el-GR"/>
        </w:rPr>
        <w:t xml:space="preserve">Undercorrected vs fully-corrected spectacles. </w:t>
      </w:r>
      <w:r w:rsidRPr="0000751F">
        <w:rPr>
          <w:rFonts w:ascii="Arial" w:hAnsi="Arial" w:cs="Arial"/>
          <w:sz w:val="16"/>
          <w:szCs w:val="16"/>
          <w:lang w:val="en-GB"/>
        </w:rPr>
        <w:t xml:space="preserve">Primary outcomes from baseline </w:t>
      </w:r>
      <w:r w:rsidRPr="0000751F">
        <w:rPr>
          <w:rFonts w:ascii="Arial" w:hAnsi="Arial" w:cs="Arial"/>
          <w:sz w:val="16"/>
          <w:szCs w:val="16"/>
          <w:lang w:val="en-US"/>
        </w:rPr>
        <w:t>(2 years)</w:t>
      </w:r>
      <w:r w:rsidRPr="0000751F">
        <w:rPr>
          <w:rFonts w:ascii="Arial" w:hAnsi="Arial" w:cs="Arial"/>
          <w:sz w:val="16"/>
          <w:szCs w:val="16"/>
          <w:lang w:val="en-GB"/>
        </w:rPr>
        <w:t xml:space="preserve"> – Change in refractive error (D).</w:t>
      </w:r>
    </w:p>
    <w:p w:rsidR="00972B4C" w:rsidRDefault="00972B4C" w:rsidP="00972B4C">
      <w:pPr>
        <w:rPr>
          <w:sz w:val="20"/>
          <w:szCs w:val="20"/>
          <w:lang w:val="en-GB"/>
        </w:rPr>
      </w:pPr>
    </w:p>
    <w:p w:rsidR="008B04AA" w:rsidRPr="008B04AA" w:rsidRDefault="008B04AA" w:rsidP="008B04AA">
      <w:pPr>
        <w:pStyle w:val="ListParagraph"/>
        <w:numPr>
          <w:ilvl w:val="0"/>
          <w:numId w:val="43"/>
        </w:numPr>
        <w:rPr>
          <w:sz w:val="20"/>
          <w:szCs w:val="20"/>
          <w:lang w:val="en-GB"/>
        </w:rPr>
      </w:pPr>
    </w:p>
    <w:p w:rsidR="00972B4C" w:rsidRDefault="00972B4C" w:rsidP="0000751F">
      <w:pPr>
        <w:spacing w:line="240" w:lineRule="auto"/>
        <w:rPr>
          <w:sz w:val="20"/>
          <w:szCs w:val="20"/>
          <w:lang w:val="en-GB"/>
        </w:rPr>
      </w:pPr>
      <w:r w:rsidRPr="007A4771">
        <w:rPr>
          <w:noProof/>
          <w:sz w:val="20"/>
          <w:szCs w:val="20"/>
          <w:lang w:eastAsia="el-GR"/>
        </w:rPr>
        <w:drawing>
          <wp:inline distT="0" distB="0" distL="0" distR="0" wp14:anchorId="7AC2BC9C" wp14:editId="1BCAA1DD">
            <wp:extent cx="5274310" cy="6096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609600"/>
                    </a:xfrm>
                    <a:prstGeom prst="rect">
                      <a:avLst/>
                    </a:prstGeom>
                  </pic:spPr>
                </pic:pic>
              </a:graphicData>
            </a:graphic>
          </wp:inline>
        </w:drawing>
      </w:r>
      <w:r w:rsidRPr="0000751F">
        <w:rPr>
          <w:rFonts w:ascii="Arial" w:eastAsia="Times New Roman" w:hAnsi="Arial" w:cs="Arial"/>
          <w:bCs/>
          <w:i/>
          <w:sz w:val="16"/>
          <w:szCs w:val="16"/>
          <w:lang w:val="en-US" w:eastAsia="el-GR"/>
        </w:rPr>
        <w:t xml:space="preserve">Undercorrected vs fully-corrected spectacles. </w:t>
      </w:r>
      <w:r w:rsidRPr="0000751F">
        <w:rPr>
          <w:rFonts w:ascii="Arial" w:hAnsi="Arial" w:cs="Arial"/>
          <w:sz w:val="16"/>
          <w:szCs w:val="16"/>
          <w:lang w:val="en-GB"/>
        </w:rPr>
        <w:t>Primary outcomes from baseline (2 years) – Change in axial length (mm).</w:t>
      </w:r>
      <w:r>
        <w:rPr>
          <w:sz w:val="20"/>
          <w:szCs w:val="20"/>
          <w:lang w:val="en-GB"/>
        </w:rPr>
        <w:t xml:space="preserve">  </w:t>
      </w:r>
    </w:p>
    <w:p w:rsidR="008B04AA" w:rsidRDefault="008B04AA" w:rsidP="0000751F">
      <w:pPr>
        <w:spacing w:line="240" w:lineRule="auto"/>
        <w:rPr>
          <w:sz w:val="20"/>
          <w:szCs w:val="20"/>
          <w:lang w:val="en-GB"/>
        </w:rPr>
      </w:pPr>
    </w:p>
    <w:p w:rsidR="00972B4C" w:rsidRPr="008B04AA" w:rsidRDefault="00972B4C" w:rsidP="008B04AA">
      <w:pPr>
        <w:pStyle w:val="ListParagraph"/>
        <w:numPr>
          <w:ilvl w:val="0"/>
          <w:numId w:val="43"/>
        </w:numPr>
        <w:rPr>
          <w:sz w:val="20"/>
          <w:szCs w:val="20"/>
          <w:lang w:val="en-GB"/>
        </w:rPr>
      </w:pPr>
    </w:p>
    <w:p w:rsidR="00972B4C" w:rsidRDefault="00972B4C" w:rsidP="00972B4C">
      <w:pPr>
        <w:rPr>
          <w:rFonts w:eastAsia="Times New Roman" w:cstheme="minorHAnsi"/>
          <w:b/>
          <w:bCs/>
          <w:i/>
          <w:lang w:val="en-US" w:eastAsia="el-GR"/>
        </w:rPr>
      </w:pPr>
      <w:r w:rsidRPr="006B172E">
        <w:rPr>
          <w:rFonts w:eastAsia="Times New Roman" w:cstheme="minorHAnsi"/>
          <w:b/>
          <w:bCs/>
          <w:i/>
          <w:noProof/>
          <w:lang w:eastAsia="el-GR"/>
        </w:rPr>
        <w:drawing>
          <wp:inline distT="0" distB="0" distL="0" distR="0" wp14:anchorId="47B0520F" wp14:editId="5248DAD2">
            <wp:extent cx="5274310" cy="868680"/>
            <wp:effectExtent l="0" t="0" r="254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868680"/>
                    </a:xfrm>
                    <a:prstGeom prst="rect">
                      <a:avLst/>
                    </a:prstGeom>
                  </pic:spPr>
                </pic:pic>
              </a:graphicData>
            </a:graphic>
          </wp:inline>
        </w:drawing>
      </w:r>
    </w:p>
    <w:p w:rsidR="00972B4C" w:rsidRDefault="00972B4C" w:rsidP="0000751F">
      <w:pPr>
        <w:spacing w:line="240" w:lineRule="auto"/>
        <w:rPr>
          <w:rFonts w:ascii="Arial" w:hAnsi="Arial" w:cs="Arial"/>
          <w:sz w:val="16"/>
          <w:szCs w:val="16"/>
          <w:lang w:val="en-GB"/>
        </w:rPr>
      </w:pPr>
      <w:r w:rsidRPr="0000751F">
        <w:rPr>
          <w:rFonts w:ascii="Arial" w:eastAsia="Times New Roman" w:hAnsi="Arial" w:cs="Arial"/>
          <w:bCs/>
          <w:i/>
          <w:sz w:val="16"/>
          <w:szCs w:val="16"/>
          <w:lang w:val="en-US" w:eastAsia="el-GR"/>
        </w:rPr>
        <w:t>Bifocal spectacles vs single vision lens spectacles (SVLs).</w:t>
      </w:r>
      <w:r w:rsidRPr="0000751F">
        <w:rPr>
          <w:rFonts w:ascii="Arial" w:hAnsi="Arial" w:cs="Arial"/>
          <w:sz w:val="16"/>
          <w:szCs w:val="16"/>
          <w:lang w:val="en-GB"/>
        </w:rPr>
        <w:t xml:space="preserve"> Primary outcomes from baseline </w:t>
      </w:r>
      <w:r w:rsidRPr="0000751F">
        <w:rPr>
          <w:rFonts w:ascii="Arial" w:hAnsi="Arial" w:cs="Arial"/>
          <w:sz w:val="16"/>
          <w:szCs w:val="16"/>
          <w:lang w:val="en-US"/>
        </w:rPr>
        <w:t>(1 year)</w:t>
      </w:r>
      <w:r w:rsidRPr="0000751F">
        <w:rPr>
          <w:rFonts w:ascii="Arial" w:hAnsi="Arial" w:cs="Arial"/>
          <w:sz w:val="16"/>
          <w:szCs w:val="16"/>
          <w:lang w:val="en-GB"/>
        </w:rPr>
        <w:t xml:space="preserve"> – Change in refractive error (D).  </w:t>
      </w:r>
    </w:p>
    <w:p w:rsidR="008B04AA" w:rsidRDefault="008B04AA" w:rsidP="0000751F">
      <w:pPr>
        <w:spacing w:line="240" w:lineRule="auto"/>
        <w:rPr>
          <w:rFonts w:ascii="Arial" w:hAnsi="Arial" w:cs="Arial"/>
          <w:sz w:val="16"/>
          <w:szCs w:val="16"/>
          <w:lang w:val="en-GB"/>
        </w:rPr>
      </w:pPr>
    </w:p>
    <w:p w:rsidR="00972B4C" w:rsidRDefault="00972B4C" w:rsidP="00972B4C">
      <w:pPr>
        <w:rPr>
          <w:rFonts w:ascii="Arial" w:hAnsi="Arial" w:cs="Arial"/>
          <w:sz w:val="16"/>
          <w:szCs w:val="16"/>
          <w:lang w:val="en-GB"/>
        </w:rPr>
      </w:pPr>
    </w:p>
    <w:p w:rsidR="008B04AA" w:rsidRPr="008B04AA" w:rsidRDefault="008B04AA" w:rsidP="008B04AA">
      <w:pPr>
        <w:pStyle w:val="ListParagraph"/>
        <w:numPr>
          <w:ilvl w:val="0"/>
          <w:numId w:val="43"/>
        </w:numPr>
        <w:rPr>
          <w:rFonts w:eastAsia="Times New Roman" w:cstheme="minorHAnsi"/>
          <w:b/>
          <w:bCs/>
          <w:i/>
          <w:lang w:val="en-US" w:eastAsia="el-GR"/>
        </w:rPr>
      </w:pPr>
    </w:p>
    <w:p w:rsidR="00972B4C" w:rsidRDefault="00972B4C" w:rsidP="00972B4C">
      <w:pPr>
        <w:rPr>
          <w:rFonts w:eastAsia="Times New Roman" w:cstheme="minorHAnsi"/>
          <w:b/>
          <w:bCs/>
          <w:i/>
          <w:lang w:val="en-US" w:eastAsia="el-GR"/>
        </w:rPr>
      </w:pPr>
      <w:r w:rsidRPr="00126D8D">
        <w:rPr>
          <w:rFonts w:eastAsia="Times New Roman" w:cstheme="minorHAnsi"/>
          <w:b/>
          <w:bCs/>
          <w:i/>
          <w:noProof/>
          <w:lang w:eastAsia="el-GR"/>
        </w:rPr>
        <w:drawing>
          <wp:inline distT="0" distB="0" distL="0" distR="0" wp14:anchorId="4FFF8E2B" wp14:editId="19FDE655">
            <wp:extent cx="5274310" cy="90424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904240"/>
                    </a:xfrm>
                    <a:prstGeom prst="rect">
                      <a:avLst/>
                    </a:prstGeom>
                  </pic:spPr>
                </pic:pic>
              </a:graphicData>
            </a:graphic>
          </wp:inline>
        </w:drawing>
      </w:r>
    </w:p>
    <w:p w:rsidR="00972B4C" w:rsidRPr="0000751F" w:rsidRDefault="00972B4C" w:rsidP="0000751F">
      <w:pPr>
        <w:spacing w:line="240" w:lineRule="auto"/>
        <w:rPr>
          <w:rFonts w:ascii="Arial" w:hAnsi="Arial" w:cs="Arial"/>
          <w:sz w:val="16"/>
          <w:szCs w:val="16"/>
          <w:lang w:val="en-GB"/>
        </w:rPr>
      </w:pPr>
      <w:r w:rsidRPr="0000751F">
        <w:rPr>
          <w:rFonts w:ascii="Arial" w:eastAsia="Times New Roman" w:hAnsi="Arial" w:cs="Arial"/>
          <w:bCs/>
          <w:i/>
          <w:sz w:val="16"/>
          <w:szCs w:val="16"/>
          <w:lang w:val="en-US" w:eastAsia="el-GR"/>
        </w:rPr>
        <w:t>Bifocal spectacles vs single vision lens spectacles (SVLs).</w:t>
      </w:r>
      <w:r w:rsidRPr="0000751F">
        <w:rPr>
          <w:rFonts w:ascii="Arial" w:hAnsi="Arial" w:cs="Arial"/>
          <w:sz w:val="16"/>
          <w:szCs w:val="16"/>
          <w:lang w:val="en-GB"/>
        </w:rPr>
        <w:t xml:space="preserve"> Primary outcomes from baseline </w:t>
      </w:r>
      <w:r w:rsidRPr="0000751F">
        <w:rPr>
          <w:rFonts w:ascii="Arial" w:hAnsi="Arial" w:cs="Arial"/>
          <w:sz w:val="16"/>
          <w:szCs w:val="16"/>
          <w:lang w:val="en-US"/>
        </w:rPr>
        <w:t>(2 years)</w:t>
      </w:r>
      <w:r w:rsidRPr="0000751F">
        <w:rPr>
          <w:rFonts w:ascii="Arial" w:hAnsi="Arial" w:cs="Arial"/>
          <w:sz w:val="16"/>
          <w:szCs w:val="16"/>
          <w:lang w:val="en-GB"/>
        </w:rPr>
        <w:t xml:space="preserve"> – Change in refractive error (D). </w:t>
      </w:r>
    </w:p>
    <w:p w:rsidR="00972B4C" w:rsidRDefault="00972B4C" w:rsidP="00972B4C">
      <w:pPr>
        <w:rPr>
          <w:sz w:val="20"/>
          <w:szCs w:val="20"/>
          <w:lang w:val="en-GB"/>
        </w:rPr>
      </w:pPr>
    </w:p>
    <w:p w:rsidR="008B04AA" w:rsidRPr="008B04AA" w:rsidRDefault="008B04AA" w:rsidP="008B04AA">
      <w:pPr>
        <w:pStyle w:val="ListParagraph"/>
        <w:numPr>
          <w:ilvl w:val="0"/>
          <w:numId w:val="43"/>
        </w:numPr>
        <w:rPr>
          <w:sz w:val="20"/>
          <w:szCs w:val="20"/>
          <w:lang w:val="en-GB"/>
        </w:rPr>
      </w:pPr>
    </w:p>
    <w:p w:rsidR="00972B4C" w:rsidRDefault="00972B4C" w:rsidP="00FA5513">
      <w:pPr>
        <w:spacing w:line="240" w:lineRule="auto"/>
        <w:rPr>
          <w:sz w:val="20"/>
          <w:szCs w:val="20"/>
          <w:lang w:val="en-GB"/>
        </w:rPr>
      </w:pPr>
      <w:r w:rsidRPr="007A3ADE">
        <w:rPr>
          <w:noProof/>
          <w:sz w:val="20"/>
          <w:szCs w:val="20"/>
          <w:lang w:eastAsia="el-GR"/>
        </w:rPr>
        <w:drawing>
          <wp:inline distT="0" distB="0" distL="0" distR="0" wp14:anchorId="3C7A1522" wp14:editId="3289936B">
            <wp:extent cx="5274310" cy="658495"/>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658495"/>
                    </a:xfrm>
                    <a:prstGeom prst="rect">
                      <a:avLst/>
                    </a:prstGeom>
                  </pic:spPr>
                </pic:pic>
              </a:graphicData>
            </a:graphic>
          </wp:inline>
        </w:drawing>
      </w:r>
      <w:r w:rsidRPr="00FA5513">
        <w:rPr>
          <w:rFonts w:ascii="Arial" w:eastAsia="Times New Roman" w:hAnsi="Arial" w:cs="Arial"/>
          <w:bCs/>
          <w:i/>
          <w:sz w:val="16"/>
          <w:szCs w:val="16"/>
          <w:lang w:val="en-US" w:eastAsia="el-GR"/>
        </w:rPr>
        <w:t>Bifocal spectacles vs single vision lens spectacles (SVLs).</w:t>
      </w:r>
      <w:r w:rsidRPr="00FA5513">
        <w:rPr>
          <w:rFonts w:ascii="Arial" w:hAnsi="Arial" w:cs="Arial"/>
          <w:sz w:val="16"/>
          <w:szCs w:val="16"/>
          <w:lang w:val="en-GB"/>
        </w:rPr>
        <w:t xml:space="preserve"> Primary outcomes from baseline (2 years) – Change in axial length (mm).</w:t>
      </w:r>
      <w:r>
        <w:rPr>
          <w:sz w:val="20"/>
          <w:szCs w:val="20"/>
          <w:lang w:val="en-GB"/>
        </w:rPr>
        <w:t xml:space="preserve">  </w:t>
      </w:r>
    </w:p>
    <w:p w:rsidR="00972B4C" w:rsidRDefault="00972B4C" w:rsidP="00972B4C">
      <w:pPr>
        <w:rPr>
          <w:sz w:val="20"/>
          <w:szCs w:val="20"/>
          <w:lang w:val="en-GB"/>
        </w:rPr>
      </w:pPr>
    </w:p>
    <w:p w:rsidR="008B04AA" w:rsidRPr="008B04AA" w:rsidRDefault="008B04AA" w:rsidP="008B04AA">
      <w:pPr>
        <w:pStyle w:val="ListParagraph"/>
        <w:numPr>
          <w:ilvl w:val="0"/>
          <w:numId w:val="43"/>
        </w:numPr>
        <w:rPr>
          <w:sz w:val="20"/>
          <w:szCs w:val="20"/>
          <w:lang w:val="en-GB"/>
        </w:rPr>
      </w:pPr>
    </w:p>
    <w:p w:rsidR="00972B4C" w:rsidRPr="00BE4CEB" w:rsidRDefault="00972B4C" w:rsidP="00972B4C">
      <w:pPr>
        <w:rPr>
          <w:rFonts w:eastAsia="Times New Roman" w:cstheme="minorHAnsi"/>
          <w:b/>
          <w:bCs/>
          <w:i/>
          <w:lang w:val="en-GB" w:eastAsia="el-GR"/>
        </w:rPr>
      </w:pPr>
      <w:r w:rsidRPr="00BE4CEB">
        <w:rPr>
          <w:rFonts w:eastAsia="Times New Roman" w:cstheme="minorHAnsi"/>
          <w:b/>
          <w:bCs/>
          <w:i/>
          <w:noProof/>
          <w:lang w:eastAsia="el-GR"/>
        </w:rPr>
        <w:drawing>
          <wp:inline distT="0" distB="0" distL="0" distR="0" wp14:anchorId="62E93015" wp14:editId="26E68905">
            <wp:extent cx="5274310" cy="209296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092960"/>
                    </a:xfrm>
                    <a:prstGeom prst="rect">
                      <a:avLst/>
                    </a:prstGeom>
                  </pic:spPr>
                </pic:pic>
              </a:graphicData>
            </a:graphic>
          </wp:inline>
        </w:drawing>
      </w:r>
    </w:p>
    <w:p w:rsidR="00972B4C" w:rsidRPr="00FA5513" w:rsidRDefault="00972B4C" w:rsidP="00972B4C">
      <w:pPr>
        <w:rPr>
          <w:rFonts w:ascii="Arial" w:hAnsi="Arial" w:cs="Arial"/>
          <w:sz w:val="16"/>
          <w:szCs w:val="16"/>
          <w:lang w:val="en-GB"/>
        </w:rPr>
      </w:pPr>
      <w:r w:rsidRPr="00FA5513">
        <w:rPr>
          <w:rFonts w:ascii="Arial" w:eastAsia="Times New Roman" w:hAnsi="Arial" w:cs="Arial"/>
          <w:bCs/>
          <w:i/>
          <w:sz w:val="16"/>
          <w:szCs w:val="16"/>
          <w:lang w:val="en-US" w:eastAsia="el-GR"/>
        </w:rPr>
        <w:t>1% Atropine vs placebo.</w:t>
      </w:r>
      <w:r w:rsidRPr="00FA5513">
        <w:rPr>
          <w:rFonts w:ascii="Arial" w:hAnsi="Arial" w:cs="Arial"/>
          <w:sz w:val="16"/>
          <w:szCs w:val="16"/>
          <w:lang w:val="en-GB"/>
        </w:rPr>
        <w:t xml:space="preserve"> Primary outcomes from baseline </w:t>
      </w:r>
      <w:r w:rsidRPr="00FA5513">
        <w:rPr>
          <w:rFonts w:ascii="Arial" w:hAnsi="Arial" w:cs="Arial"/>
          <w:sz w:val="16"/>
          <w:szCs w:val="16"/>
          <w:lang w:val="en-US"/>
        </w:rPr>
        <w:t>(1 year)</w:t>
      </w:r>
      <w:r w:rsidRPr="00FA5513">
        <w:rPr>
          <w:rFonts w:ascii="Arial" w:hAnsi="Arial" w:cs="Arial"/>
          <w:sz w:val="16"/>
          <w:szCs w:val="16"/>
          <w:lang w:val="en-GB"/>
        </w:rPr>
        <w:t xml:space="preserve"> – Change in refractive error (D). </w:t>
      </w:r>
    </w:p>
    <w:p w:rsidR="00972B4C" w:rsidRDefault="00972B4C" w:rsidP="00972B4C">
      <w:pPr>
        <w:rPr>
          <w:sz w:val="20"/>
          <w:szCs w:val="20"/>
          <w:lang w:val="en-GB"/>
        </w:rPr>
      </w:pPr>
    </w:p>
    <w:p w:rsidR="008B04AA" w:rsidRPr="008B04AA" w:rsidRDefault="008B04AA" w:rsidP="008B04AA">
      <w:pPr>
        <w:pStyle w:val="ListParagraph"/>
        <w:numPr>
          <w:ilvl w:val="0"/>
          <w:numId w:val="43"/>
        </w:numPr>
        <w:rPr>
          <w:sz w:val="20"/>
          <w:szCs w:val="20"/>
          <w:lang w:val="en-GB"/>
        </w:rPr>
      </w:pPr>
    </w:p>
    <w:p w:rsidR="00972B4C" w:rsidRDefault="00972B4C" w:rsidP="00972B4C">
      <w:pPr>
        <w:rPr>
          <w:rFonts w:eastAsia="Times New Roman" w:cstheme="minorHAnsi"/>
          <w:b/>
          <w:bCs/>
          <w:i/>
          <w:lang w:val="en-US" w:eastAsia="el-GR"/>
        </w:rPr>
      </w:pPr>
      <w:r w:rsidRPr="0004443F">
        <w:rPr>
          <w:rFonts w:eastAsia="Times New Roman" w:cstheme="minorHAnsi"/>
          <w:b/>
          <w:bCs/>
          <w:i/>
          <w:noProof/>
          <w:lang w:eastAsia="el-GR"/>
        </w:rPr>
        <w:drawing>
          <wp:inline distT="0" distB="0" distL="0" distR="0" wp14:anchorId="7523542A" wp14:editId="6760B6CF">
            <wp:extent cx="5274310" cy="163957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639570"/>
                    </a:xfrm>
                    <a:prstGeom prst="rect">
                      <a:avLst/>
                    </a:prstGeom>
                  </pic:spPr>
                </pic:pic>
              </a:graphicData>
            </a:graphic>
          </wp:inline>
        </w:drawing>
      </w:r>
    </w:p>
    <w:p w:rsidR="00972B4C" w:rsidRDefault="00972B4C" w:rsidP="00972B4C">
      <w:pPr>
        <w:rPr>
          <w:rFonts w:ascii="Arial" w:hAnsi="Arial" w:cs="Arial"/>
          <w:sz w:val="16"/>
          <w:szCs w:val="16"/>
          <w:lang w:val="en-GB"/>
        </w:rPr>
      </w:pPr>
      <w:r w:rsidRPr="00FA5513">
        <w:rPr>
          <w:rFonts w:ascii="Arial" w:eastAsia="Times New Roman" w:hAnsi="Arial" w:cs="Arial"/>
          <w:bCs/>
          <w:i/>
          <w:sz w:val="16"/>
          <w:szCs w:val="16"/>
          <w:lang w:val="en-US" w:eastAsia="el-GR"/>
        </w:rPr>
        <w:t>1% Atropine vs placebo.</w:t>
      </w:r>
      <w:r w:rsidRPr="00FA5513">
        <w:rPr>
          <w:rFonts w:ascii="Arial" w:hAnsi="Arial" w:cs="Arial"/>
          <w:sz w:val="16"/>
          <w:szCs w:val="16"/>
          <w:lang w:val="en-GB"/>
        </w:rPr>
        <w:t xml:space="preserve"> Primary outcomes from baseline </w:t>
      </w:r>
      <w:r w:rsidRPr="00FA5513">
        <w:rPr>
          <w:rFonts w:ascii="Arial" w:hAnsi="Arial" w:cs="Arial"/>
          <w:sz w:val="16"/>
          <w:szCs w:val="16"/>
          <w:lang w:val="en-US"/>
        </w:rPr>
        <w:t>(1 year)</w:t>
      </w:r>
      <w:r w:rsidRPr="00FA5513">
        <w:rPr>
          <w:rFonts w:ascii="Arial" w:hAnsi="Arial" w:cs="Arial"/>
          <w:sz w:val="16"/>
          <w:szCs w:val="16"/>
          <w:lang w:val="en-GB"/>
        </w:rPr>
        <w:t xml:space="preserve"> – Change in axial length (mm). </w:t>
      </w:r>
    </w:p>
    <w:p w:rsidR="008B04AA" w:rsidRDefault="008B04AA" w:rsidP="00972B4C">
      <w:pPr>
        <w:rPr>
          <w:rFonts w:ascii="Arial" w:hAnsi="Arial" w:cs="Arial"/>
          <w:sz w:val="16"/>
          <w:szCs w:val="16"/>
          <w:lang w:val="en-GB"/>
        </w:rPr>
      </w:pPr>
    </w:p>
    <w:p w:rsidR="008B04AA" w:rsidRDefault="008B04AA" w:rsidP="00972B4C">
      <w:pPr>
        <w:rPr>
          <w:rFonts w:ascii="Arial" w:hAnsi="Arial" w:cs="Arial"/>
          <w:sz w:val="16"/>
          <w:szCs w:val="16"/>
          <w:lang w:val="en-GB"/>
        </w:rPr>
      </w:pPr>
    </w:p>
    <w:p w:rsidR="00FA5513" w:rsidRPr="008B04AA" w:rsidRDefault="00FA5513" w:rsidP="008B04AA">
      <w:pPr>
        <w:pStyle w:val="ListParagraph"/>
        <w:numPr>
          <w:ilvl w:val="0"/>
          <w:numId w:val="43"/>
        </w:numPr>
        <w:rPr>
          <w:rFonts w:ascii="Arial" w:hAnsi="Arial" w:cs="Arial"/>
          <w:sz w:val="16"/>
          <w:szCs w:val="16"/>
          <w:lang w:val="en-GB"/>
        </w:rPr>
      </w:pPr>
    </w:p>
    <w:p w:rsidR="00972B4C" w:rsidRPr="00FA5513" w:rsidRDefault="00972B4C" w:rsidP="00972B4C">
      <w:pPr>
        <w:keepNext/>
        <w:keepLines/>
        <w:spacing w:before="40" w:after="0" w:line="240" w:lineRule="auto"/>
        <w:outlineLvl w:val="1"/>
        <w:rPr>
          <w:rFonts w:ascii="Arial" w:eastAsia="Times New Roman" w:hAnsi="Arial" w:cs="Arial"/>
          <w:bCs/>
          <w:i/>
          <w:sz w:val="16"/>
          <w:szCs w:val="16"/>
          <w:lang w:val="en-US" w:eastAsia="el-GR"/>
        </w:rPr>
      </w:pPr>
      <w:r w:rsidRPr="000E2EDE">
        <w:rPr>
          <w:rFonts w:eastAsia="Times New Roman" w:cstheme="minorHAnsi"/>
          <w:bCs/>
          <w:i/>
          <w:noProof/>
          <w:sz w:val="20"/>
          <w:szCs w:val="20"/>
          <w:lang w:eastAsia="el-GR"/>
        </w:rPr>
        <w:drawing>
          <wp:inline distT="0" distB="0" distL="0" distR="0" wp14:anchorId="0451FE3E" wp14:editId="5893383C">
            <wp:extent cx="5274310" cy="67500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675005"/>
                    </a:xfrm>
                    <a:prstGeom prst="rect">
                      <a:avLst/>
                    </a:prstGeom>
                  </pic:spPr>
                </pic:pic>
              </a:graphicData>
            </a:graphic>
          </wp:inline>
        </w:drawing>
      </w:r>
      <w:r w:rsidRPr="00FA5513">
        <w:rPr>
          <w:rFonts w:ascii="Arial" w:eastAsia="Times New Roman" w:hAnsi="Arial" w:cs="Arial"/>
          <w:bCs/>
          <w:i/>
          <w:sz w:val="16"/>
          <w:szCs w:val="16"/>
          <w:lang w:val="en-US" w:eastAsia="el-GR"/>
        </w:rPr>
        <w:t>1% Atropine vs placebo.</w:t>
      </w:r>
      <w:r w:rsidRPr="00FA5513">
        <w:rPr>
          <w:rFonts w:ascii="Arial" w:hAnsi="Arial" w:cs="Arial"/>
          <w:sz w:val="16"/>
          <w:szCs w:val="16"/>
          <w:lang w:val="en-GB"/>
        </w:rPr>
        <w:t xml:space="preserve"> Primary outcomes from baseline </w:t>
      </w:r>
      <w:r w:rsidRPr="00FA5513">
        <w:rPr>
          <w:rFonts w:ascii="Arial" w:hAnsi="Arial" w:cs="Arial"/>
          <w:sz w:val="16"/>
          <w:szCs w:val="16"/>
          <w:lang w:val="en-US"/>
        </w:rPr>
        <w:t>(2 years)</w:t>
      </w:r>
      <w:r w:rsidRPr="00FA5513">
        <w:rPr>
          <w:rFonts w:ascii="Arial" w:hAnsi="Arial" w:cs="Arial"/>
          <w:sz w:val="16"/>
          <w:szCs w:val="16"/>
          <w:lang w:val="en-GB"/>
        </w:rPr>
        <w:t xml:space="preserve"> – Change in refractive error (D). </w:t>
      </w:r>
    </w:p>
    <w:p w:rsidR="00972B4C" w:rsidRDefault="00972B4C" w:rsidP="00972B4C">
      <w:pPr>
        <w:keepNext/>
        <w:keepLines/>
        <w:spacing w:before="40" w:after="0" w:line="240" w:lineRule="auto"/>
        <w:outlineLvl w:val="1"/>
        <w:rPr>
          <w:rFonts w:eastAsia="Times New Roman" w:cstheme="minorHAnsi"/>
          <w:b/>
          <w:bCs/>
          <w:i/>
          <w:lang w:val="en-US" w:eastAsia="el-GR"/>
        </w:rPr>
      </w:pPr>
    </w:p>
    <w:p w:rsidR="00972B4C" w:rsidRDefault="00972B4C" w:rsidP="00972B4C">
      <w:pPr>
        <w:keepNext/>
        <w:keepLines/>
        <w:spacing w:before="40" w:after="0" w:line="240" w:lineRule="auto"/>
        <w:outlineLvl w:val="1"/>
        <w:rPr>
          <w:rFonts w:eastAsia="Times New Roman" w:cstheme="minorHAnsi"/>
          <w:bCs/>
          <w:i/>
          <w:sz w:val="20"/>
          <w:szCs w:val="20"/>
          <w:lang w:val="en-US" w:eastAsia="el-GR"/>
        </w:rPr>
      </w:pPr>
    </w:p>
    <w:p w:rsidR="00972B4C" w:rsidRPr="008B04AA" w:rsidRDefault="00972B4C" w:rsidP="008B04AA">
      <w:pPr>
        <w:pStyle w:val="ListParagraph"/>
        <w:keepNext/>
        <w:keepLines/>
        <w:numPr>
          <w:ilvl w:val="0"/>
          <w:numId w:val="43"/>
        </w:numPr>
        <w:spacing w:before="40" w:after="0" w:line="240" w:lineRule="auto"/>
        <w:outlineLvl w:val="1"/>
        <w:rPr>
          <w:rFonts w:eastAsia="Times New Roman" w:cstheme="minorHAnsi"/>
          <w:bCs/>
          <w:i/>
          <w:sz w:val="20"/>
          <w:szCs w:val="20"/>
          <w:lang w:val="en-US" w:eastAsia="el-GR"/>
        </w:rPr>
      </w:pPr>
    </w:p>
    <w:p w:rsidR="00972B4C" w:rsidRPr="00CB3F5B" w:rsidRDefault="00972B4C" w:rsidP="00972B4C">
      <w:pPr>
        <w:keepNext/>
        <w:keepLines/>
        <w:spacing w:before="40" w:after="0" w:line="240" w:lineRule="auto"/>
        <w:outlineLvl w:val="1"/>
        <w:rPr>
          <w:rFonts w:eastAsia="Times New Roman" w:cstheme="minorHAnsi"/>
          <w:bCs/>
          <w:i/>
          <w:sz w:val="20"/>
          <w:szCs w:val="20"/>
          <w:lang w:val="en-US" w:eastAsia="el-GR"/>
        </w:rPr>
      </w:pPr>
      <w:r w:rsidRPr="00B423BE">
        <w:rPr>
          <w:rFonts w:eastAsia="Times New Roman" w:cstheme="minorHAnsi"/>
          <w:bCs/>
          <w:i/>
          <w:noProof/>
          <w:sz w:val="20"/>
          <w:szCs w:val="20"/>
          <w:lang w:eastAsia="el-GR"/>
        </w:rPr>
        <w:drawing>
          <wp:inline distT="0" distB="0" distL="0" distR="0" wp14:anchorId="22E139FA" wp14:editId="357A000A">
            <wp:extent cx="5274310" cy="675005"/>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675005"/>
                    </a:xfrm>
                    <a:prstGeom prst="rect">
                      <a:avLst/>
                    </a:prstGeom>
                  </pic:spPr>
                </pic:pic>
              </a:graphicData>
            </a:graphic>
          </wp:inline>
        </w:drawing>
      </w:r>
      <w:r w:rsidRPr="00FA5513">
        <w:rPr>
          <w:rFonts w:ascii="Arial" w:eastAsia="Times New Roman" w:hAnsi="Arial" w:cs="Arial"/>
          <w:bCs/>
          <w:i/>
          <w:sz w:val="16"/>
          <w:szCs w:val="16"/>
          <w:lang w:val="en-US" w:eastAsia="el-GR"/>
        </w:rPr>
        <w:t>1% Atropine vs placebo.</w:t>
      </w:r>
      <w:r w:rsidRPr="00FA5513">
        <w:rPr>
          <w:rFonts w:ascii="Arial" w:hAnsi="Arial" w:cs="Arial"/>
          <w:sz w:val="16"/>
          <w:szCs w:val="16"/>
          <w:lang w:val="en-GB"/>
        </w:rPr>
        <w:t xml:space="preserve"> Primary outcomes from baseline </w:t>
      </w:r>
      <w:r w:rsidRPr="00FA5513">
        <w:rPr>
          <w:rFonts w:ascii="Arial" w:hAnsi="Arial" w:cs="Arial"/>
          <w:sz w:val="16"/>
          <w:szCs w:val="16"/>
          <w:lang w:val="en-US"/>
        </w:rPr>
        <w:t>(2 years)</w:t>
      </w:r>
      <w:r w:rsidRPr="00FA5513">
        <w:rPr>
          <w:rFonts w:ascii="Arial" w:hAnsi="Arial" w:cs="Arial"/>
          <w:sz w:val="16"/>
          <w:szCs w:val="16"/>
          <w:lang w:val="en-GB"/>
        </w:rPr>
        <w:t xml:space="preserve"> – Change in axial length (mm).  </w:t>
      </w:r>
    </w:p>
    <w:p w:rsidR="00972B4C" w:rsidRDefault="00972B4C" w:rsidP="00972B4C">
      <w:pPr>
        <w:rPr>
          <w:sz w:val="20"/>
          <w:szCs w:val="20"/>
          <w:lang w:val="en-GB"/>
        </w:rPr>
      </w:pPr>
    </w:p>
    <w:p w:rsidR="008B04AA" w:rsidRDefault="008B04AA" w:rsidP="008B04AA">
      <w:pPr>
        <w:rPr>
          <w:sz w:val="20"/>
          <w:szCs w:val="20"/>
          <w:lang w:val="en-GB"/>
        </w:rPr>
      </w:pPr>
    </w:p>
    <w:p w:rsidR="008B04AA" w:rsidRDefault="008B04AA" w:rsidP="008B04AA">
      <w:pPr>
        <w:rPr>
          <w:sz w:val="20"/>
          <w:szCs w:val="20"/>
          <w:lang w:val="en-GB"/>
        </w:rPr>
      </w:pPr>
      <w:r>
        <w:rPr>
          <w:sz w:val="20"/>
          <w:szCs w:val="20"/>
          <w:lang w:val="en-GB"/>
        </w:rPr>
        <w:t xml:space="preserve">         12. </w:t>
      </w:r>
    </w:p>
    <w:p w:rsidR="00972B4C" w:rsidRPr="00360520" w:rsidRDefault="00972B4C" w:rsidP="00972B4C">
      <w:pPr>
        <w:rPr>
          <w:rFonts w:eastAsia="Times New Roman" w:cstheme="minorHAnsi"/>
          <w:bCs/>
          <w:i/>
          <w:sz w:val="20"/>
          <w:szCs w:val="20"/>
          <w:lang w:val="en-GB" w:eastAsia="el-GR"/>
        </w:rPr>
      </w:pPr>
      <w:r w:rsidRPr="005E4FA8">
        <w:rPr>
          <w:rFonts w:eastAsia="Times New Roman" w:cstheme="minorHAnsi"/>
          <w:bCs/>
          <w:i/>
          <w:noProof/>
          <w:sz w:val="20"/>
          <w:szCs w:val="20"/>
          <w:lang w:eastAsia="el-GR"/>
        </w:rPr>
        <w:drawing>
          <wp:inline distT="0" distB="0" distL="0" distR="0" wp14:anchorId="24605FC5" wp14:editId="2046BDC5">
            <wp:extent cx="5274310" cy="8566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856615"/>
                    </a:xfrm>
                    <a:prstGeom prst="rect">
                      <a:avLst/>
                    </a:prstGeom>
                  </pic:spPr>
                </pic:pic>
              </a:graphicData>
            </a:graphic>
          </wp:inline>
        </w:drawing>
      </w:r>
      <w:r w:rsidRPr="00F11A94">
        <w:rPr>
          <w:rFonts w:ascii="Arial" w:eastAsia="Times New Roman" w:hAnsi="Arial" w:cs="Arial"/>
          <w:bCs/>
          <w:i/>
          <w:sz w:val="16"/>
          <w:szCs w:val="16"/>
          <w:lang w:val="en-US" w:eastAsia="el-GR"/>
        </w:rPr>
        <w:t xml:space="preserve">0.025% to 0.05% Atropine vs control. </w:t>
      </w:r>
      <w:r w:rsidRPr="00F11A94">
        <w:rPr>
          <w:rFonts w:ascii="Arial" w:hAnsi="Arial" w:cs="Arial"/>
          <w:sz w:val="16"/>
          <w:szCs w:val="16"/>
          <w:lang w:val="en-GB"/>
        </w:rPr>
        <w:t xml:space="preserve">Primary outcomes from baseline </w:t>
      </w:r>
      <w:r w:rsidRPr="00F11A94">
        <w:rPr>
          <w:rFonts w:ascii="Arial" w:hAnsi="Arial" w:cs="Arial"/>
          <w:sz w:val="16"/>
          <w:szCs w:val="16"/>
          <w:lang w:val="en-US"/>
        </w:rPr>
        <w:t>(1 year)</w:t>
      </w:r>
      <w:r w:rsidRPr="00F11A94">
        <w:rPr>
          <w:rFonts w:ascii="Arial" w:hAnsi="Arial" w:cs="Arial"/>
          <w:sz w:val="16"/>
          <w:szCs w:val="16"/>
          <w:lang w:val="en-GB"/>
        </w:rPr>
        <w:t xml:space="preserve"> – Change in refractive error (D).</w:t>
      </w:r>
      <w:r>
        <w:rPr>
          <w:sz w:val="20"/>
          <w:szCs w:val="20"/>
          <w:lang w:val="en-GB"/>
        </w:rPr>
        <w:t xml:space="preserve"> </w:t>
      </w:r>
    </w:p>
    <w:p w:rsidR="00972B4C" w:rsidRDefault="00972B4C" w:rsidP="00972B4C">
      <w:pPr>
        <w:rPr>
          <w:rFonts w:eastAsia="Times New Roman" w:cstheme="minorHAnsi"/>
          <w:bCs/>
          <w:i/>
          <w:sz w:val="20"/>
          <w:szCs w:val="20"/>
          <w:lang w:val="en-GB" w:eastAsia="el-GR"/>
        </w:rPr>
      </w:pPr>
    </w:p>
    <w:p w:rsidR="008B04AA" w:rsidRPr="008B04AA" w:rsidRDefault="008B04AA" w:rsidP="00972B4C">
      <w:pPr>
        <w:rPr>
          <w:rFonts w:eastAsia="Times New Roman" w:cstheme="minorHAnsi"/>
          <w:bCs/>
          <w:sz w:val="20"/>
          <w:szCs w:val="20"/>
          <w:lang w:val="en-GB" w:eastAsia="el-GR"/>
        </w:rPr>
      </w:pPr>
      <w:r>
        <w:rPr>
          <w:rFonts w:eastAsia="Times New Roman" w:cstheme="minorHAnsi"/>
          <w:bCs/>
          <w:sz w:val="20"/>
          <w:szCs w:val="20"/>
          <w:lang w:val="en-GB" w:eastAsia="el-GR"/>
        </w:rPr>
        <w:t xml:space="preserve">         </w:t>
      </w:r>
      <w:r w:rsidRPr="008B04AA">
        <w:rPr>
          <w:rFonts w:eastAsia="Times New Roman" w:cstheme="minorHAnsi"/>
          <w:bCs/>
          <w:sz w:val="20"/>
          <w:szCs w:val="20"/>
          <w:lang w:val="en-GB" w:eastAsia="el-GR"/>
        </w:rPr>
        <w:t xml:space="preserve">13. </w:t>
      </w:r>
    </w:p>
    <w:p w:rsidR="00972B4C" w:rsidRPr="00360520" w:rsidRDefault="00972B4C" w:rsidP="00972B4C">
      <w:pPr>
        <w:rPr>
          <w:rFonts w:eastAsia="Times New Roman" w:cstheme="minorHAnsi"/>
          <w:bCs/>
          <w:i/>
          <w:sz w:val="20"/>
          <w:szCs w:val="20"/>
          <w:lang w:val="en-GB" w:eastAsia="el-GR"/>
        </w:rPr>
      </w:pPr>
      <w:r w:rsidRPr="00F8001E">
        <w:rPr>
          <w:rFonts w:eastAsia="Times New Roman" w:cstheme="minorHAnsi"/>
          <w:bCs/>
          <w:i/>
          <w:noProof/>
          <w:sz w:val="20"/>
          <w:szCs w:val="20"/>
          <w:lang w:eastAsia="el-GR"/>
        </w:rPr>
        <w:drawing>
          <wp:inline distT="0" distB="0" distL="0" distR="0" wp14:anchorId="54EAE0B1" wp14:editId="51BAD3FF">
            <wp:extent cx="5274310" cy="587375"/>
            <wp:effectExtent l="0" t="0" r="254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587375"/>
                    </a:xfrm>
                    <a:prstGeom prst="rect">
                      <a:avLst/>
                    </a:prstGeom>
                  </pic:spPr>
                </pic:pic>
              </a:graphicData>
            </a:graphic>
          </wp:inline>
        </w:drawing>
      </w:r>
      <w:r w:rsidRPr="00F11A94">
        <w:rPr>
          <w:rFonts w:ascii="Arial" w:eastAsia="Times New Roman" w:hAnsi="Arial" w:cs="Arial"/>
          <w:bCs/>
          <w:i/>
          <w:sz w:val="16"/>
          <w:szCs w:val="16"/>
          <w:lang w:val="en-US" w:eastAsia="el-GR"/>
        </w:rPr>
        <w:t xml:space="preserve">0.01% Atropine vs control. </w:t>
      </w:r>
      <w:r w:rsidRPr="00F11A94">
        <w:rPr>
          <w:rFonts w:ascii="Arial" w:hAnsi="Arial" w:cs="Arial"/>
          <w:sz w:val="16"/>
          <w:szCs w:val="16"/>
          <w:lang w:val="en-GB"/>
        </w:rPr>
        <w:t xml:space="preserve">Primary outcomes from baseline </w:t>
      </w:r>
      <w:r w:rsidRPr="00F11A94">
        <w:rPr>
          <w:rFonts w:ascii="Arial" w:hAnsi="Arial" w:cs="Arial"/>
          <w:sz w:val="16"/>
          <w:szCs w:val="16"/>
          <w:lang w:val="en-US"/>
        </w:rPr>
        <w:t>(1 year)</w:t>
      </w:r>
      <w:r w:rsidRPr="00F11A94">
        <w:rPr>
          <w:rFonts w:ascii="Arial" w:hAnsi="Arial" w:cs="Arial"/>
          <w:sz w:val="16"/>
          <w:szCs w:val="16"/>
          <w:lang w:val="en-GB"/>
        </w:rPr>
        <w:t xml:space="preserve"> – Change in refractive error (D).</w:t>
      </w:r>
      <w:r>
        <w:rPr>
          <w:sz w:val="20"/>
          <w:szCs w:val="20"/>
          <w:lang w:val="en-GB"/>
        </w:rPr>
        <w:t xml:space="preserve"> </w:t>
      </w:r>
    </w:p>
    <w:p w:rsidR="00972B4C" w:rsidRDefault="00972B4C" w:rsidP="00972B4C">
      <w:pPr>
        <w:rPr>
          <w:rFonts w:eastAsia="Times New Roman" w:cstheme="minorHAnsi"/>
          <w:bCs/>
          <w:i/>
          <w:sz w:val="20"/>
          <w:szCs w:val="20"/>
          <w:lang w:val="en-GB" w:eastAsia="el-GR"/>
        </w:rPr>
      </w:pPr>
    </w:p>
    <w:p w:rsidR="00972B4C" w:rsidRPr="008B04AA" w:rsidRDefault="008B04AA" w:rsidP="00972B4C">
      <w:pPr>
        <w:rPr>
          <w:rFonts w:eastAsia="Times New Roman" w:cstheme="minorHAnsi"/>
          <w:bCs/>
          <w:sz w:val="20"/>
          <w:szCs w:val="20"/>
          <w:lang w:val="en-GB" w:eastAsia="el-GR"/>
        </w:rPr>
      </w:pPr>
      <w:r>
        <w:rPr>
          <w:rFonts w:eastAsia="Times New Roman" w:cstheme="minorHAnsi"/>
          <w:bCs/>
          <w:sz w:val="20"/>
          <w:szCs w:val="20"/>
          <w:lang w:val="en-GB" w:eastAsia="el-GR"/>
        </w:rPr>
        <w:t xml:space="preserve">          </w:t>
      </w:r>
      <w:r w:rsidRPr="008B04AA">
        <w:rPr>
          <w:rFonts w:eastAsia="Times New Roman" w:cstheme="minorHAnsi"/>
          <w:bCs/>
          <w:sz w:val="20"/>
          <w:szCs w:val="20"/>
          <w:lang w:val="en-GB" w:eastAsia="el-GR"/>
        </w:rPr>
        <w:t xml:space="preserve">14. </w:t>
      </w:r>
    </w:p>
    <w:p w:rsidR="00972B4C" w:rsidRPr="00F11A94" w:rsidRDefault="00972B4C" w:rsidP="00972B4C">
      <w:pPr>
        <w:rPr>
          <w:rFonts w:ascii="Arial" w:hAnsi="Arial" w:cs="Arial"/>
          <w:sz w:val="16"/>
          <w:szCs w:val="16"/>
          <w:lang w:val="en-GB"/>
        </w:rPr>
      </w:pPr>
      <w:r w:rsidRPr="00153F41">
        <w:rPr>
          <w:rFonts w:eastAsia="Times New Roman" w:cstheme="minorHAnsi"/>
          <w:bCs/>
          <w:i/>
          <w:noProof/>
          <w:sz w:val="20"/>
          <w:szCs w:val="20"/>
          <w:lang w:eastAsia="el-GR"/>
        </w:rPr>
        <w:drawing>
          <wp:inline distT="0" distB="0" distL="0" distR="0" wp14:anchorId="0763B47B" wp14:editId="170F9A2B">
            <wp:extent cx="5274310" cy="640080"/>
            <wp:effectExtent l="0" t="0" r="254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640080"/>
                    </a:xfrm>
                    <a:prstGeom prst="rect">
                      <a:avLst/>
                    </a:prstGeom>
                  </pic:spPr>
                </pic:pic>
              </a:graphicData>
            </a:graphic>
          </wp:inline>
        </w:drawing>
      </w:r>
      <w:r w:rsidRPr="00F11A94">
        <w:rPr>
          <w:rFonts w:ascii="Arial" w:eastAsia="Times New Roman" w:hAnsi="Arial" w:cs="Arial"/>
          <w:bCs/>
          <w:i/>
          <w:sz w:val="16"/>
          <w:szCs w:val="16"/>
          <w:lang w:val="en-US" w:eastAsia="el-GR"/>
        </w:rPr>
        <w:t>2% Pirenzepine gel vs placebo.</w:t>
      </w:r>
      <w:r w:rsidRPr="00F11A94">
        <w:rPr>
          <w:rFonts w:ascii="Arial" w:hAnsi="Arial" w:cs="Arial"/>
          <w:sz w:val="16"/>
          <w:szCs w:val="16"/>
          <w:lang w:val="en-GB"/>
        </w:rPr>
        <w:t xml:space="preserve"> Primary outcomes from baseline </w:t>
      </w:r>
      <w:r w:rsidRPr="00F11A94">
        <w:rPr>
          <w:rFonts w:ascii="Arial" w:hAnsi="Arial" w:cs="Arial"/>
          <w:sz w:val="16"/>
          <w:szCs w:val="16"/>
          <w:lang w:val="en-US"/>
        </w:rPr>
        <w:t>(1 year)</w:t>
      </w:r>
      <w:r w:rsidRPr="00F11A94">
        <w:rPr>
          <w:rFonts w:ascii="Arial" w:hAnsi="Arial" w:cs="Arial"/>
          <w:sz w:val="16"/>
          <w:szCs w:val="16"/>
          <w:lang w:val="en-GB"/>
        </w:rPr>
        <w:t xml:space="preserve"> – Change in refractive error (D).</w:t>
      </w:r>
    </w:p>
    <w:p w:rsidR="00972B4C" w:rsidRDefault="00972B4C" w:rsidP="00972B4C">
      <w:pPr>
        <w:rPr>
          <w:sz w:val="20"/>
          <w:szCs w:val="20"/>
          <w:lang w:val="en-GB"/>
        </w:rPr>
      </w:pPr>
    </w:p>
    <w:p w:rsidR="008B04AA" w:rsidRDefault="008B04AA" w:rsidP="00972B4C">
      <w:pPr>
        <w:rPr>
          <w:sz w:val="20"/>
          <w:szCs w:val="20"/>
          <w:lang w:val="en-GB"/>
        </w:rPr>
      </w:pPr>
    </w:p>
    <w:p w:rsidR="008B04AA" w:rsidRDefault="008B04AA" w:rsidP="00972B4C">
      <w:pPr>
        <w:rPr>
          <w:sz w:val="20"/>
          <w:szCs w:val="20"/>
          <w:lang w:val="en-GB"/>
        </w:rPr>
      </w:pPr>
    </w:p>
    <w:p w:rsidR="008B04AA" w:rsidRDefault="008B04AA" w:rsidP="00972B4C">
      <w:pPr>
        <w:rPr>
          <w:sz w:val="20"/>
          <w:szCs w:val="20"/>
          <w:lang w:val="en-GB"/>
        </w:rPr>
      </w:pPr>
    </w:p>
    <w:p w:rsidR="008B04AA" w:rsidRDefault="008B04AA" w:rsidP="00972B4C">
      <w:pPr>
        <w:rPr>
          <w:sz w:val="20"/>
          <w:szCs w:val="20"/>
          <w:lang w:val="en-GB"/>
        </w:rPr>
      </w:pPr>
    </w:p>
    <w:p w:rsidR="008B04AA" w:rsidRDefault="008B04AA" w:rsidP="00972B4C">
      <w:pPr>
        <w:rPr>
          <w:sz w:val="20"/>
          <w:szCs w:val="20"/>
          <w:lang w:val="en-GB"/>
        </w:rPr>
      </w:pPr>
    </w:p>
    <w:p w:rsidR="008B04AA" w:rsidRDefault="008B04AA" w:rsidP="00972B4C">
      <w:pPr>
        <w:rPr>
          <w:sz w:val="20"/>
          <w:szCs w:val="20"/>
          <w:lang w:val="en-GB"/>
        </w:rPr>
      </w:pPr>
      <w:r>
        <w:rPr>
          <w:sz w:val="20"/>
          <w:szCs w:val="20"/>
          <w:lang w:val="en-GB"/>
        </w:rPr>
        <w:lastRenderedPageBreak/>
        <w:t xml:space="preserve">15. </w:t>
      </w:r>
    </w:p>
    <w:p w:rsidR="00972B4C" w:rsidRPr="00F11A94" w:rsidRDefault="00972B4C" w:rsidP="00972B4C">
      <w:pPr>
        <w:keepNext/>
        <w:keepLines/>
        <w:spacing w:before="40" w:after="0" w:line="240" w:lineRule="auto"/>
        <w:outlineLvl w:val="1"/>
        <w:rPr>
          <w:rFonts w:ascii="Arial" w:eastAsia="Times New Roman" w:hAnsi="Arial" w:cs="Arial"/>
          <w:bCs/>
          <w:i/>
          <w:sz w:val="16"/>
          <w:szCs w:val="16"/>
          <w:lang w:val="en-US" w:eastAsia="el-GR"/>
        </w:rPr>
      </w:pPr>
      <w:r w:rsidRPr="00847C12">
        <w:rPr>
          <w:rFonts w:eastAsia="Times New Roman" w:cstheme="minorHAnsi"/>
          <w:b/>
          <w:bCs/>
          <w:i/>
          <w:noProof/>
          <w:lang w:eastAsia="el-GR"/>
        </w:rPr>
        <w:drawing>
          <wp:inline distT="0" distB="0" distL="0" distR="0" wp14:anchorId="4C9A2209" wp14:editId="501898DF">
            <wp:extent cx="5274310" cy="754380"/>
            <wp:effectExtent l="0" t="0" r="254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754380"/>
                    </a:xfrm>
                    <a:prstGeom prst="rect">
                      <a:avLst/>
                    </a:prstGeom>
                  </pic:spPr>
                </pic:pic>
              </a:graphicData>
            </a:graphic>
          </wp:inline>
        </w:drawing>
      </w:r>
      <w:r w:rsidRPr="00F11A94">
        <w:rPr>
          <w:rFonts w:ascii="Arial" w:eastAsia="Times New Roman" w:hAnsi="Arial" w:cs="Arial"/>
          <w:bCs/>
          <w:i/>
          <w:sz w:val="16"/>
          <w:szCs w:val="16"/>
          <w:lang w:val="en-US" w:eastAsia="el-GR"/>
        </w:rPr>
        <w:t>2% Pirenzepine gel vs placebo.</w:t>
      </w:r>
      <w:r w:rsidRPr="00F11A94">
        <w:rPr>
          <w:rFonts w:ascii="Arial" w:hAnsi="Arial" w:cs="Arial"/>
          <w:sz w:val="16"/>
          <w:szCs w:val="16"/>
          <w:lang w:val="en-GB"/>
        </w:rPr>
        <w:t xml:space="preserve"> Primary outcomes from baseline </w:t>
      </w:r>
      <w:r w:rsidRPr="00F11A94">
        <w:rPr>
          <w:rFonts w:ascii="Arial" w:hAnsi="Arial" w:cs="Arial"/>
          <w:sz w:val="16"/>
          <w:szCs w:val="16"/>
          <w:lang w:val="en-US"/>
        </w:rPr>
        <w:t>(1 year)</w:t>
      </w:r>
      <w:r w:rsidRPr="00F11A94">
        <w:rPr>
          <w:rFonts w:ascii="Arial" w:hAnsi="Arial" w:cs="Arial"/>
          <w:sz w:val="16"/>
          <w:szCs w:val="16"/>
          <w:lang w:val="en-GB"/>
        </w:rPr>
        <w:t xml:space="preserve"> – Change in axial length (mm).  </w:t>
      </w:r>
    </w:p>
    <w:p w:rsidR="00972B4C" w:rsidRPr="00CA30C4" w:rsidRDefault="00972B4C" w:rsidP="00972B4C">
      <w:pPr>
        <w:rPr>
          <w:sz w:val="20"/>
          <w:szCs w:val="20"/>
          <w:lang w:val="en-US"/>
        </w:rPr>
      </w:pPr>
    </w:p>
    <w:p w:rsidR="00972B4C" w:rsidRDefault="00972B4C" w:rsidP="00972B4C">
      <w:pPr>
        <w:rPr>
          <w:sz w:val="20"/>
          <w:szCs w:val="20"/>
          <w:lang w:val="en-GB"/>
        </w:rPr>
      </w:pPr>
    </w:p>
    <w:p w:rsidR="008B04AA" w:rsidRDefault="008B04AA" w:rsidP="00972B4C">
      <w:pPr>
        <w:rPr>
          <w:sz w:val="20"/>
          <w:szCs w:val="20"/>
          <w:lang w:val="en-GB"/>
        </w:rPr>
      </w:pPr>
      <w:r>
        <w:rPr>
          <w:sz w:val="20"/>
          <w:szCs w:val="20"/>
          <w:lang w:val="en-GB"/>
        </w:rPr>
        <w:t xml:space="preserve">16. </w:t>
      </w:r>
    </w:p>
    <w:p w:rsidR="00972B4C" w:rsidRDefault="00972B4C" w:rsidP="00972B4C">
      <w:pPr>
        <w:rPr>
          <w:rFonts w:eastAsia="Times New Roman" w:cstheme="minorHAnsi"/>
          <w:bCs/>
          <w:i/>
          <w:sz w:val="20"/>
          <w:szCs w:val="20"/>
          <w:lang w:val="en-GB" w:eastAsia="el-GR"/>
        </w:rPr>
      </w:pPr>
      <w:r w:rsidRPr="00B65004">
        <w:rPr>
          <w:rFonts w:eastAsia="Times New Roman" w:cstheme="minorHAnsi"/>
          <w:bCs/>
          <w:i/>
          <w:noProof/>
          <w:sz w:val="20"/>
          <w:szCs w:val="20"/>
          <w:lang w:eastAsia="el-GR"/>
        </w:rPr>
        <w:drawing>
          <wp:inline distT="0" distB="0" distL="0" distR="0" wp14:anchorId="5AAD888A" wp14:editId="4E5BF4B1">
            <wp:extent cx="5274310" cy="640080"/>
            <wp:effectExtent l="0" t="0" r="254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640080"/>
                    </a:xfrm>
                    <a:prstGeom prst="rect">
                      <a:avLst/>
                    </a:prstGeom>
                  </pic:spPr>
                </pic:pic>
              </a:graphicData>
            </a:graphic>
          </wp:inline>
        </w:drawing>
      </w:r>
      <w:r w:rsidRPr="00F11A94">
        <w:rPr>
          <w:rFonts w:ascii="Arial" w:eastAsia="Times New Roman" w:hAnsi="Arial" w:cs="Arial"/>
          <w:bCs/>
          <w:i/>
          <w:sz w:val="16"/>
          <w:szCs w:val="16"/>
          <w:lang w:val="en-US" w:eastAsia="el-GR"/>
        </w:rPr>
        <w:t>2% Pirenzepine gel vs placebo.</w:t>
      </w:r>
      <w:r w:rsidRPr="00F11A94">
        <w:rPr>
          <w:rFonts w:ascii="Arial" w:hAnsi="Arial" w:cs="Arial"/>
          <w:sz w:val="16"/>
          <w:szCs w:val="16"/>
          <w:lang w:val="en-GB"/>
        </w:rPr>
        <w:t xml:space="preserve"> Primary outcomes from baseline </w:t>
      </w:r>
      <w:r w:rsidRPr="00F11A94">
        <w:rPr>
          <w:rFonts w:ascii="Arial" w:hAnsi="Arial" w:cs="Arial"/>
          <w:sz w:val="16"/>
          <w:szCs w:val="16"/>
          <w:lang w:val="en-US"/>
        </w:rPr>
        <w:t>(2 years)</w:t>
      </w:r>
      <w:r w:rsidRPr="00F11A94">
        <w:rPr>
          <w:rFonts w:ascii="Arial" w:hAnsi="Arial" w:cs="Arial"/>
          <w:sz w:val="16"/>
          <w:szCs w:val="16"/>
          <w:lang w:val="en-GB"/>
        </w:rPr>
        <w:t xml:space="preserve"> – Change in refractive error (D).</w:t>
      </w:r>
    </w:p>
    <w:p w:rsidR="00972B4C" w:rsidRDefault="00972B4C" w:rsidP="00972B4C">
      <w:pPr>
        <w:rPr>
          <w:rFonts w:eastAsia="Times New Roman" w:cstheme="minorHAnsi"/>
          <w:bCs/>
          <w:i/>
          <w:sz w:val="20"/>
          <w:szCs w:val="20"/>
          <w:lang w:val="en-GB" w:eastAsia="el-GR"/>
        </w:rPr>
      </w:pPr>
    </w:p>
    <w:p w:rsidR="008B04AA" w:rsidRPr="008B04AA" w:rsidRDefault="008B04AA" w:rsidP="00972B4C">
      <w:pPr>
        <w:rPr>
          <w:rFonts w:eastAsia="Times New Roman" w:cstheme="minorHAnsi"/>
          <w:bCs/>
          <w:sz w:val="20"/>
          <w:szCs w:val="20"/>
          <w:lang w:val="en-GB" w:eastAsia="el-GR"/>
        </w:rPr>
      </w:pPr>
      <w:r w:rsidRPr="008B04AA">
        <w:rPr>
          <w:rFonts w:eastAsia="Times New Roman" w:cstheme="minorHAnsi"/>
          <w:bCs/>
          <w:sz w:val="20"/>
          <w:szCs w:val="20"/>
          <w:lang w:val="en-GB" w:eastAsia="el-GR"/>
        </w:rPr>
        <w:t xml:space="preserve">17. </w:t>
      </w:r>
    </w:p>
    <w:p w:rsidR="00972B4C" w:rsidRPr="00F11A94" w:rsidRDefault="00972B4C" w:rsidP="00F11A94">
      <w:pPr>
        <w:rPr>
          <w:rFonts w:eastAsia="Times New Roman" w:cstheme="minorHAnsi"/>
          <w:sz w:val="20"/>
          <w:szCs w:val="20"/>
          <w:lang w:val="en-GB" w:eastAsia="el-GR"/>
        </w:rPr>
      </w:pPr>
      <w:r w:rsidRPr="0088450B">
        <w:rPr>
          <w:rFonts w:eastAsia="Times New Roman" w:cstheme="minorHAnsi"/>
          <w:noProof/>
          <w:sz w:val="20"/>
          <w:szCs w:val="20"/>
          <w:lang w:eastAsia="el-GR"/>
        </w:rPr>
        <w:drawing>
          <wp:inline distT="0" distB="0" distL="0" distR="0" wp14:anchorId="38C70CFB" wp14:editId="4749DB7D">
            <wp:extent cx="5274310" cy="643255"/>
            <wp:effectExtent l="0" t="0" r="254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643255"/>
                    </a:xfrm>
                    <a:prstGeom prst="rect">
                      <a:avLst/>
                    </a:prstGeom>
                  </pic:spPr>
                </pic:pic>
              </a:graphicData>
            </a:graphic>
          </wp:inline>
        </w:drawing>
      </w:r>
      <w:r w:rsidRPr="00F11A94">
        <w:rPr>
          <w:rFonts w:ascii="Arial" w:eastAsia="Times New Roman" w:hAnsi="Arial" w:cs="Arial"/>
          <w:bCs/>
          <w:i/>
          <w:sz w:val="16"/>
          <w:szCs w:val="16"/>
          <w:lang w:val="en-US" w:eastAsia="el-GR"/>
        </w:rPr>
        <w:t>2% Pirenzepine gel vs placebo.</w:t>
      </w:r>
      <w:r w:rsidRPr="00F11A94">
        <w:rPr>
          <w:rFonts w:ascii="Arial" w:hAnsi="Arial" w:cs="Arial"/>
          <w:sz w:val="16"/>
          <w:szCs w:val="16"/>
          <w:lang w:val="en-GB"/>
        </w:rPr>
        <w:t xml:space="preserve"> Primary outcomes from baseline </w:t>
      </w:r>
      <w:r w:rsidRPr="00F11A94">
        <w:rPr>
          <w:rFonts w:ascii="Arial" w:hAnsi="Arial" w:cs="Arial"/>
          <w:sz w:val="16"/>
          <w:szCs w:val="16"/>
          <w:lang w:val="en-US"/>
        </w:rPr>
        <w:t>(2 years)</w:t>
      </w:r>
      <w:r w:rsidRPr="00F11A94">
        <w:rPr>
          <w:rFonts w:ascii="Arial" w:hAnsi="Arial" w:cs="Arial"/>
          <w:sz w:val="16"/>
          <w:szCs w:val="16"/>
          <w:lang w:val="en-GB"/>
        </w:rPr>
        <w:t xml:space="preserve"> – Change in axial length (mm).  </w:t>
      </w:r>
    </w:p>
    <w:p w:rsidR="00972B4C" w:rsidRDefault="00972B4C" w:rsidP="00972B4C">
      <w:pPr>
        <w:keepNext/>
        <w:keepLines/>
        <w:spacing w:before="40" w:after="0" w:line="240" w:lineRule="auto"/>
        <w:outlineLvl w:val="1"/>
        <w:rPr>
          <w:rFonts w:eastAsia="Times New Roman" w:cstheme="minorHAnsi"/>
          <w:bCs/>
          <w:i/>
          <w:sz w:val="20"/>
          <w:szCs w:val="20"/>
          <w:lang w:val="en-US" w:eastAsia="el-GR"/>
        </w:rPr>
      </w:pPr>
    </w:p>
    <w:p w:rsidR="008B04AA" w:rsidRPr="008B04AA" w:rsidRDefault="008B04AA" w:rsidP="00972B4C">
      <w:pPr>
        <w:keepNext/>
        <w:keepLines/>
        <w:spacing w:before="40" w:after="0" w:line="240" w:lineRule="auto"/>
        <w:outlineLvl w:val="1"/>
        <w:rPr>
          <w:rFonts w:eastAsia="Times New Roman" w:cstheme="minorHAnsi"/>
          <w:bCs/>
          <w:sz w:val="20"/>
          <w:szCs w:val="20"/>
          <w:lang w:val="en-US" w:eastAsia="el-GR"/>
        </w:rPr>
      </w:pPr>
      <w:r w:rsidRPr="008B04AA">
        <w:rPr>
          <w:rFonts w:eastAsia="Times New Roman" w:cstheme="minorHAnsi"/>
          <w:bCs/>
          <w:sz w:val="20"/>
          <w:szCs w:val="20"/>
          <w:lang w:val="en-US" w:eastAsia="el-GR"/>
        </w:rPr>
        <w:t xml:space="preserve">18. </w:t>
      </w:r>
    </w:p>
    <w:p w:rsidR="00972B4C" w:rsidRDefault="00972B4C" w:rsidP="00972B4C">
      <w:pPr>
        <w:keepNext/>
        <w:keepLines/>
        <w:spacing w:before="40" w:after="0" w:line="480" w:lineRule="auto"/>
        <w:outlineLvl w:val="1"/>
        <w:rPr>
          <w:rFonts w:eastAsia="Times New Roman" w:cstheme="minorHAnsi"/>
          <w:b/>
          <w:bCs/>
          <w:i/>
          <w:lang w:val="en-US" w:eastAsia="el-GR"/>
        </w:rPr>
      </w:pPr>
      <w:r w:rsidRPr="00B22DA2">
        <w:rPr>
          <w:rFonts w:eastAsia="Times New Roman" w:cstheme="minorHAnsi"/>
          <w:b/>
          <w:bCs/>
          <w:i/>
          <w:noProof/>
          <w:lang w:eastAsia="el-GR"/>
        </w:rPr>
        <w:drawing>
          <wp:inline distT="0" distB="0" distL="0" distR="0" wp14:anchorId="7776303C" wp14:editId="0C25683C">
            <wp:extent cx="5274310" cy="818515"/>
            <wp:effectExtent l="0" t="0" r="254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818515"/>
                    </a:xfrm>
                    <a:prstGeom prst="rect">
                      <a:avLst/>
                    </a:prstGeom>
                  </pic:spPr>
                </pic:pic>
              </a:graphicData>
            </a:graphic>
          </wp:inline>
        </w:drawing>
      </w:r>
    </w:p>
    <w:p w:rsidR="00972B4C" w:rsidRPr="00F11A94" w:rsidRDefault="00972B4C" w:rsidP="00F11A94">
      <w:pPr>
        <w:keepNext/>
        <w:keepLines/>
        <w:spacing w:before="40" w:after="0" w:line="240" w:lineRule="auto"/>
        <w:outlineLvl w:val="1"/>
        <w:rPr>
          <w:rFonts w:ascii="Arial" w:eastAsia="Times New Roman" w:hAnsi="Arial" w:cs="Arial"/>
          <w:bCs/>
          <w:i/>
          <w:sz w:val="16"/>
          <w:szCs w:val="16"/>
          <w:lang w:val="en-US" w:eastAsia="el-GR"/>
        </w:rPr>
      </w:pPr>
      <w:r w:rsidRPr="00F11A94">
        <w:rPr>
          <w:rFonts w:ascii="Arial" w:eastAsia="Times New Roman" w:hAnsi="Arial" w:cs="Arial"/>
          <w:bCs/>
          <w:i/>
          <w:sz w:val="16"/>
          <w:szCs w:val="16"/>
          <w:lang w:val="en-US" w:eastAsia="el-GR"/>
        </w:rPr>
        <w:t xml:space="preserve">Rigid gas permeable contact lenses (RGPCLs) vs spectacles/soft contact lenses (SCLs). </w:t>
      </w:r>
      <w:r w:rsidRPr="00F11A94">
        <w:rPr>
          <w:rFonts w:ascii="Arial" w:hAnsi="Arial" w:cs="Arial"/>
          <w:sz w:val="16"/>
          <w:szCs w:val="16"/>
          <w:lang w:val="en-GB"/>
        </w:rPr>
        <w:t xml:space="preserve">Primary outcomes from baseline </w:t>
      </w:r>
      <w:r w:rsidRPr="00F11A94">
        <w:rPr>
          <w:rFonts w:ascii="Arial" w:hAnsi="Arial" w:cs="Arial"/>
          <w:sz w:val="16"/>
          <w:szCs w:val="16"/>
          <w:lang w:val="en-US"/>
        </w:rPr>
        <w:t>(1 year)</w:t>
      </w:r>
      <w:r w:rsidRPr="00F11A94">
        <w:rPr>
          <w:rFonts w:ascii="Arial" w:hAnsi="Arial" w:cs="Arial"/>
          <w:sz w:val="16"/>
          <w:szCs w:val="16"/>
          <w:lang w:val="en-GB"/>
        </w:rPr>
        <w:t xml:space="preserve"> – Change in refractive error (D). </w:t>
      </w:r>
    </w:p>
    <w:p w:rsidR="00972B4C" w:rsidRDefault="00972B4C" w:rsidP="00972B4C">
      <w:pPr>
        <w:keepNext/>
        <w:keepLines/>
        <w:spacing w:before="40" w:after="0" w:line="480" w:lineRule="auto"/>
        <w:outlineLvl w:val="1"/>
        <w:rPr>
          <w:rFonts w:eastAsia="Times New Roman" w:cstheme="minorHAnsi"/>
          <w:b/>
          <w:bCs/>
          <w:i/>
          <w:lang w:val="en-US" w:eastAsia="el-GR"/>
        </w:rPr>
      </w:pPr>
    </w:p>
    <w:p w:rsidR="008B04AA" w:rsidRPr="008B04AA" w:rsidRDefault="008B04AA" w:rsidP="00972B4C">
      <w:pPr>
        <w:keepNext/>
        <w:keepLines/>
        <w:spacing w:before="40" w:after="0" w:line="480" w:lineRule="auto"/>
        <w:outlineLvl w:val="1"/>
        <w:rPr>
          <w:rFonts w:eastAsia="Times New Roman" w:cstheme="minorHAnsi"/>
          <w:bCs/>
          <w:sz w:val="20"/>
          <w:szCs w:val="20"/>
          <w:lang w:val="en-US" w:eastAsia="el-GR"/>
        </w:rPr>
      </w:pPr>
      <w:r w:rsidRPr="008B04AA">
        <w:rPr>
          <w:rFonts w:eastAsia="Times New Roman" w:cstheme="minorHAnsi"/>
          <w:bCs/>
          <w:sz w:val="20"/>
          <w:szCs w:val="20"/>
          <w:lang w:val="en-US" w:eastAsia="el-GR"/>
        </w:rPr>
        <w:t xml:space="preserve">19. </w:t>
      </w:r>
    </w:p>
    <w:p w:rsidR="00972B4C" w:rsidRDefault="00972B4C" w:rsidP="00972B4C">
      <w:pPr>
        <w:keepNext/>
        <w:keepLines/>
        <w:spacing w:before="40" w:after="0" w:line="480" w:lineRule="auto"/>
        <w:outlineLvl w:val="1"/>
        <w:rPr>
          <w:rFonts w:eastAsia="Times New Roman" w:cstheme="minorHAnsi"/>
          <w:b/>
          <w:bCs/>
          <w:i/>
          <w:lang w:val="en-US" w:eastAsia="el-GR"/>
        </w:rPr>
      </w:pPr>
      <w:r w:rsidRPr="001C329C">
        <w:rPr>
          <w:rFonts w:eastAsia="Times New Roman" w:cstheme="minorHAnsi"/>
          <w:b/>
          <w:bCs/>
          <w:i/>
          <w:noProof/>
          <w:lang w:eastAsia="el-GR"/>
        </w:rPr>
        <w:drawing>
          <wp:inline distT="0" distB="0" distL="0" distR="0" wp14:anchorId="121C71C8" wp14:editId="6845D108">
            <wp:extent cx="5274310" cy="773430"/>
            <wp:effectExtent l="0" t="0" r="254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773430"/>
                    </a:xfrm>
                    <a:prstGeom prst="rect">
                      <a:avLst/>
                    </a:prstGeom>
                  </pic:spPr>
                </pic:pic>
              </a:graphicData>
            </a:graphic>
          </wp:inline>
        </w:drawing>
      </w:r>
    </w:p>
    <w:p w:rsidR="00972B4C" w:rsidRPr="00F11A94" w:rsidRDefault="00972B4C" w:rsidP="00F11A94">
      <w:pPr>
        <w:spacing w:line="240" w:lineRule="auto"/>
        <w:rPr>
          <w:rFonts w:ascii="Arial" w:hAnsi="Arial" w:cs="Arial"/>
          <w:sz w:val="16"/>
          <w:szCs w:val="16"/>
          <w:lang w:val="en-GB"/>
        </w:rPr>
      </w:pPr>
      <w:r w:rsidRPr="00F11A94">
        <w:rPr>
          <w:rFonts w:ascii="Arial" w:eastAsia="Times New Roman" w:hAnsi="Arial" w:cs="Arial"/>
          <w:bCs/>
          <w:i/>
          <w:sz w:val="16"/>
          <w:szCs w:val="16"/>
          <w:lang w:val="en-US" w:eastAsia="el-GR"/>
        </w:rPr>
        <w:t xml:space="preserve">Rigid gas permeable contact lenses (RGPCLs) vs spectacles/soft contact lenses (SCLs). </w:t>
      </w:r>
      <w:r w:rsidRPr="00F11A94">
        <w:rPr>
          <w:rFonts w:ascii="Arial" w:hAnsi="Arial" w:cs="Arial"/>
          <w:sz w:val="16"/>
          <w:szCs w:val="16"/>
          <w:lang w:val="en-GB"/>
        </w:rPr>
        <w:t xml:space="preserve">Primary outcomes from baseline (1 year) – Change in axial length (mm). </w:t>
      </w:r>
    </w:p>
    <w:p w:rsidR="00972B4C" w:rsidRPr="008B04AA" w:rsidRDefault="008B04AA" w:rsidP="00972B4C">
      <w:pPr>
        <w:keepNext/>
        <w:keepLines/>
        <w:spacing w:before="40" w:after="0" w:line="480" w:lineRule="auto"/>
        <w:outlineLvl w:val="1"/>
        <w:rPr>
          <w:rFonts w:eastAsia="Times New Roman" w:cstheme="minorHAnsi"/>
          <w:bCs/>
          <w:sz w:val="20"/>
          <w:szCs w:val="20"/>
          <w:lang w:val="en-GB" w:eastAsia="el-GR"/>
        </w:rPr>
      </w:pPr>
      <w:r w:rsidRPr="008B04AA">
        <w:rPr>
          <w:rFonts w:eastAsia="Times New Roman" w:cstheme="minorHAnsi"/>
          <w:bCs/>
          <w:sz w:val="20"/>
          <w:szCs w:val="20"/>
          <w:lang w:val="en-GB" w:eastAsia="el-GR"/>
        </w:rPr>
        <w:lastRenderedPageBreak/>
        <w:t xml:space="preserve">20. </w:t>
      </w:r>
    </w:p>
    <w:p w:rsidR="00972B4C" w:rsidRDefault="00972B4C" w:rsidP="00972B4C">
      <w:pPr>
        <w:keepNext/>
        <w:keepLines/>
        <w:spacing w:before="40" w:after="0" w:line="240" w:lineRule="auto"/>
        <w:outlineLvl w:val="1"/>
        <w:rPr>
          <w:rFonts w:eastAsia="Times New Roman" w:cstheme="minorHAnsi"/>
          <w:bCs/>
          <w:i/>
          <w:sz w:val="20"/>
          <w:szCs w:val="20"/>
          <w:lang w:val="en-US" w:eastAsia="el-GR"/>
        </w:rPr>
      </w:pPr>
      <w:r w:rsidRPr="005949B6">
        <w:rPr>
          <w:rFonts w:eastAsia="Times New Roman" w:cstheme="minorHAnsi"/>
          <w:b/>
          <w:bCs/>
          <w:i/>
          <w:noProof/>
          <w:lang w:eastAsia="el-GR"/>
        </w:rPr>
        <w:drawing>
          <wp:inline distT="0" distB="0" distL="0" distR="0" wp14:anchorId="597115C4" wp14:editId="625CF5B0">
            <wp:extent cx="5274310" cy="832485"/>
            <wp:effectExtent l="0" t="0" r="254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832485"/>
                    </a:xfrm>
                    <a:prstGeom prst="rect">
                      <a:avLst/>
                    </a:prstGeom>
                  </pic:spPr>
                </pic:pic>
              </a:graphicData>
            </a:graphic>
          </wp:inline>
        </w:drawing>
      </w:r>
      <w:r w:rsidRPr="00B82295">
        <w:rPr>
          <w:rFonts w:eastAsia="Times New Roman" w:cstheme="minorHAnsi"/>
          <w:bCs/>
          <w:i/>
          <w:sz w:val="20"/>
          <w:szCs w:val="20"/>
          <w:lang w:val="en-US" w:eastAsia="el-GR"/>
        </w:rPr>
        <w:t xml:space="preserve"> </w:t>
      </w:r>
    </w:p>
    <w:p w:rsidR="00972B4C" w:rsidRDefault="00972B4C" w:rsidP="00972B4C">
      <w:pPr>
        <w:keepNext/>
        <w:keepLines/>
        <w:spacing w:before="40" w:after="0" w:line="240" w:lineRule="auto"/>
        <w:outlineLvl w:val="1"/>
        <w:rPr>
          <w:rFonts w:eastAsia="Times New Roman" w:cstheme="minorHAnsi"/>
          <w:bCs/>
          <w:i/>
          <w:sz w:val="20"/>
          <w:szCs w:val="20"/>
          <w:lang w:val="en-US" w:eastAsia="el-GR"/>
        </w:rPr>
      </w:pPr>
    </w:p>
    <w:p w:rsidR="00972B4C" w:rsidRPr="00F11A94" w:rsidRDefault="00972B4C" w:rsidP="00F11A94">
      <w:pPr>
        <w:keepNext/>
        <w:keepLines/>
        <w:spacing w:before="40" w:after="0" w:line="240" w:lineRule="auto"/>
        <w:outlineLvl w:val="1"/>
        <w:rPr>
          <w:rFonts w:ascii="Arial" w:eastAsia="Times New Roman" w:hAnsi="Arial" w:cs="Arial"/>
          <w:b/>
          <w:bCs/>
          <w:i/>
          <w:sz w:val="16"/>
          <w:szCs w:val="16"/>
          <w:lang w:val="en-US" w:eastAsia="el-GR"/>
        </w:rPr>
      </w:pPr>
      <w:r w:rsidRPr="00F11A94">
        <w:rPr>
          <w:rFonts w:ascii="Arial" w:eastAsia="Times New Roman" w:hAnsi="Arial" w:cs="Arial"/>
          <w:bCs/>
          <w:i/>
          <w:sz w:val="16"/>
          <w:szCs w:val="16"/>
          <w:lang w:val="en-US" w:eastAsia="el-GR"/>
        </w:rPr>
        <w:t xml:space="preserve">Rigid gas permeable contact lenses (RGPCLs) vs spectacles/soft contact lenses (SCLs). </w:t>
      </w:r>
      <w:r w:rsidRPr="00F11A94">
        <w:rPr>
          <w:rFonts w:ascii="Arial" w:hAnsi="Arial" w:cs="Arial"/>
          <w:sz w:val="16"/>
          <w:szCs w:val="16"/>
          <w:lang w:val="en-GB"/>
        </w:rPr>
        <w:t xml:space="preserve">Primary outcomes from baseline </w:t>
      </w:r>
      <w:r w:rsidRPr="00F11A94">
        <w:rPr>
          <w:rFonts w:ascii="Arial" w:hAnsi="Arial" w:cs="Arial"/>
          <w:sz w:val="16"/>
          <w:szCs w:val="16"/>
          <w:lang w:val="en-US"/>
        </w:rPr>
        <w:t>(2 years)</w:t>
      </w:r>
      <w:r w:rsidRPr="00F11A94">
        <w:rPr>
          <w:rFonts w:ascii="Arial" w:hAnsi="Arial" w:cs="Arial"/>
          <w:sz w:val="16"/>
          <w:szCs w:val="16"/>
          <w:lang w:val="en-GB"/>
        </w:rPr>
        <w:t xml:space="preserve"> – Change in refractive error (D). </w:t>
      </w:r>
    </w:p>
    <w:p w:rsidR="00972B4C" w:rsidRPr="005A5D49" w:rsidRDefault="00972B4C" w:rsidP="00972B4C">
      <w:pPr>
        <w:keepNext/>
        <w:keepLines/>
        <w:spacing w:before="40" w:after="0" w:line="480" w:lineRule="auto"/>
        <w:outlineLvl w:val="1"/>
        <w:rPr>
          <w:sz w:val="20"/>
          <w:szCs w:val="20"/>
          <w:lang w:val="en-GB"/>
        </w:rPr>
      </w:pPr>
    </w:p>
    <w:p w:rsidR="00972B4C" w:rsidRDefault="008B04AA" w:rsidP="00972B4C">
      <w:pPr>
        <w:spacing w:line="240" w:lineRule="auto"/>
        <w:rPr>
          <w:sz w:val="20"/>
          <w:szCs w:val="20"/>
          <w:lang w:val="en-GB"/>
        </w:rPr>
      </w:pPr>
      <w:r>
        <w:rPr>
          <w:sz w:val="20"/>
          <w:szCs w:val="20"/>
          <w:lang w:val="en-GB"/>
        </w:rPr>
        <w:t xml:space="preserve">21. </w:t>
      </w:r>
    </w:p>
    <w:p w:rsidR="00972B4C" w:rsidRDefault="00972B4C" w:rsidP="00972B4C">
      <w:pPr>
        <w:spacing w:line="240" w:lineRule="auto"/>
        <w:rPr>
          <w:sz w:val="20"/>
          <w:szCs w:val="20"/>
          <w:lang w:val="en-GB"/>
        </w:rPr>
      </w:pPr>
      <w:r w:rsidRPr="00E6577A">
        <w:rPr>
          <w:noProof/>
          <w:sz w:val="20"/>
          <w:szCs w:val="20"/>
          <w:lang w:eastAsia="el-GR"/>
        </w:rPr>
        <w:drawing>
          <wp:inline distT="0" distB="0" distL="0" distR="0" wp14:anchorId="234A59F3" wp14:editId="7669802A">
            <wp:extent cx="5274310" cy="773430"/>
            <wp:effectExtent l="0" t="0" r="254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773430"/>
                    </a:xfrm>
                    <a:prstGeom prst="rect">
                      <a:avLst/>
                    </a:prstGeom>
                  </pic:spPr>
                </pic:pic>
              </a:graphicData>
            </a:graphic>
          </wp:inline>
        </w:drawing>
      </w:r>
    </w:p>
    <w:p w:rsidR="00972B4C" w:rsidRPr="00F11A94" w:rsidRDefault="00972B4C" w:rsidP="00F11A94">
      <w:pPr>
        <w:spacing w:line="240" w:lineRule="auto"/>
        <w:rPr>
          <w:rFonts w:ascii="Arial" w:hAnsi="Arial" w:cs="Arial"/>
          <w:sz w:val="16"/>
          <w:szCs w:val="16"/>
          <w:lang w:val="en-GB"/>
        </w:rPr>
      </w:pPr>
      <w:r w:rsidRPr="00F11A94">
        <w:rPr>
          <w:rFonts w:ascii="Arial" w:eastAsia="Times New Roman" w:hAnsi="Arial" w:cs="Arial"/>
          <w:bCs/>
          <w:i/>
          <w:sz w:val="16"/>
          <w:szCs w:val="16"/>
          <w:lang w:val="en-US" w:eastAsia="el-GR"/>
        </w:rPr>
        <w:t xml:space="preserve">Rigid gas permeable contact lenses (RGPCLs) vs spectacles/soft contact lenses (SCLs). </w:t>
      </w:r>
      <w:r w:rsidRPr="00F11A94">
        <w:rPr>
          <w:rFonts w:ascii="Arial" w:hAnsi="Arial" w:cs="Arial"/>
          <w:sz w:val="16"/>
          <w:szCs w:val="16"/>
          <w:lang w:val="en-GB"/>
        </w:rPr>
        <w:t xml:space="preserve">Primary outcomes from baseline (2 years) – Change in axial length (mm). </w:t>
      </w:r>
    </w:p>
    <w:p w:rsidR="00972B4C" w:rsidRDefault="00972B4C" w:rsidP="00972B4C">
      <w:pPr>
        <w:spacing w:line="240" w:lineRule="auto"/>
        <w:rPr>
          <w:sz w:val="20"/>
          <w:szCs w:val="20"/>
          <w:lang w:val="en-GB"/>
        </w:rPr>
      </w:pPr>
    </w:p>
    <w:p w:rsidR="008B04AA" w:rsidRDefault="008B04AA" w:rsidP="00972B4C">
      <w:pPr>
        <w:spacing w:line="240" w:lineRule="auto"/>
        <w:rPr>
          <w:sz w:val="20"/>
          <w:szCs w:val="20"/>
          <w:lang w:val="en-GB"/>
        </w:rPr>
      </w:pPr>
      <w:r>
        <w:rPr>
          <w:sz w:val="20"/>
          <w:szCs w:val="20"/>
          <w:lang w:val="en-GB"/>
        </w:rPr>
        <w:t xml:space="preserve">22. </w:t>
      </w:r>
    </w:p>
    <w:p w:rsidR="00972B4C" w:rsidRDefault="00972B4C" w:rsidP="00972B4C">
      <w:pPr>
        <w:keepNext/>
        <w:keepLines/>
        <w:spacing w:before="40" w:after="0" w:line="480" w:lineRule="auto"/>
        <w:outlineLvl w:val="1"/>
        <w:rPr>
          <w:rFonts w:eastAsia="Times New Roman" w:cstheme="minorHAnsi"/>
          <w:b/>
          <w:bCs/>
          <w:i/>
          <w:lang w:val="en-US" w:eastAsia="el-GR"/>
        </w:rPr>
      </w:pPr>
      <w:r w:rsidRPr="006177BC">
        <w:rPr>
          <w:rFonts w:eastAsia="Times New Roman" w:cstheme="minorHAnsi"/>
          <w:b/>
          <w:bCs/>
          <w:i/>
          <w:noProof/>
          <w:lang w:eastAsia="el-GR"/>
        </w:rPr>
        <w:drawing>
          <wp:inline distT="0" distB="0" distL="0" distR="0" wp14:anchorId="4866B0A3" wp14:editId="26932DEA">
            <wp:extent cx="5274310" cy="854710"/>
            <wp:effectExtent l="0" t="0" r="254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854710"/>
                    </a:xfrm>
                    <a:prstGeom prst="rect">
                      <a:avLst/>
                    </a:prstGeom>
                  </pic:spPr>
                </pic:pic>
              </a:graphicData>
            </a:graphic>
          </wp:inline>
        </w:drawing>
      </w:r>
    </w:p>
    <w:p w:rsidR="00972B4C" w:rsidRPr="00F11A94" w:rsidRDefault="00972B4C" w:rsidP="00F11A94">
      <w:pPr>
        <w:keepNext/>
        <w:keepLines/>
        <w:spacing w:before="40" w:after="0" w:line="240" w:lineRule="auto"/>
        <w:outlineLvl w:val="1"/>
        <w:rPr>
          <w:rFonts w:ascii="Arial" w:hAnsi="Arial" w:cs="Arial"/>
          <w:sz w:val="16"/>
          <w:szCs w:val="16"/>
          <w:lang w:val="en-GB"/>
        </w:rPr>
      </w:pPr>
      <w:r w:rsidRPr="00F11A94">
        <w:rPr>
          <w:rFonts w:ascii="Arial" w:eastAsia="Times New Roman" w:hAnsi="Arial" w:cs="Arial"/>
          <w:bCs/>
          <w:i/>
          <w:sz w:val="16"/>
          <w:szCs w:val="16"/>
          <w:lang w:val="en-US" w:eastAsia="el-GR"/>
        </w:rPr>
        <w:t>Concentric ring bifocal soft contact lenses (BSCLs) vs single vision soft contact lenses (SVSCLs).</w:t>
      </w:r>
      <w:r w:rsidRPr="00F11A94">
        <w:rPr>
          <w:rFonts w:ascii="Arial" w:hAnsi="Arial" w:cs="Arial"/>
          <w:sz w:val="16"/>
          <w:szCs w:val="16"/>
          <w:lang w:val="en-GB"/>
        </w:rPr>
        <w:t xml:space="preserve"> Primary outcomes from baseline </w:t>
      </w:r>
      <w:r w:rsidRPr="00F11A94">
        <w:rPr>
          <w:rFonts w:ascii="Arial" w:hAnsi="Arial" w:cs="Arial"/>
          <w:sz w:val="16"/>
          <w:szCs w:val="16"/>
          <w:lang w:val="en-US"/>
        </w:rPr>
        <w:t>(1 year)</w:t>
      </w:r>
      <w:r w:rsidRPr="00F11A94">
        <w:rPr>
          <w:rFonts w:ascii="Arial" w:hAnsi="Arial" w:cs="Arial"/>
          <w:sz w:val="16"/>
          <w:szCs w:val="16"/>
          <w:lang w:val="en-GB"/>
        </w:rPr>
        <w:t xml:space="preserve"> – Change in refractive error (D). </w:t>
      </w:r>
    </w:p>
    <w:p w:rsidR="00972B4C" w:rsidRDefault="00972B4C" w:rsidP="00972B4C">
      <w:pPr>
        <w:spacing w:line="240" w:lineRule="auto"/>
        <w:rPr>
          <w:sz w:val="20"/>
          <w:szCs w:val="20"/>
          <w:lang w:val="en-GB"/>
        </w:rPr>
      </w:pPr>
    </w:p>
    <w:p w:rsidR="00972B4C" w:rsidRDefault="00972B4C" w:rsidP="00972B4C">
      <w:pPr>
        <w:spacing w:line="240" w:lineRule="auto"/>
        <w:rPr>
          <w:sz w:val="20"/>
          <w:szCs w:val="20"/>
          <w:lang w:val="en-GB"/>
        </w:rPr>
      </w:pPr>
    </w:p>
    <w:p w:rsidR="008B04AA" w:rsidRDefault="008B04AA" w:rsidP="00972B4C">
      <w:pPr>
        <w:spacing w:line="240" w:lineRule="auto"/>
        <w:rPr>
          <w:sz w:val="20"/>
          <w:szCs w:val="20"/>
          <w:lang w:val="en-GB"/>
        </w:rPr>
      </w:pPr>
      <w:r>
        <w:rPr>
          <w:sz w:val="20"/>
          <w:szCs w:val="20"/>
          <w:lang w:val="en-GB"/>
        </w:rPr>
        <w:t xml:space="preserve">23. </w:t>
      </w:r>
    </w:p>
    <w:p w:rsidR="00972B4C" w:rsidRDefault="00972B4C" w:rsidP="00972B4C">
      <w:pPr>
        <w:keepNext/>
        <w:keepLines/>
        <w:spacing w:before="40" w:after="0" w:line="480" w:lineRule="auto"/>
        <w:outlineLvl w:val="1"/>
        <w:rPr>
          <w:rFonts w:eastAsiaTheme="majorEastAsia" w:cstheme="minorHAnsi"/>
          <w:b/>
          <w:i/>
          <w:color w:val="C00000"/>
          <w:sz w:val="24"/>
          <w:szCs w:val="24"/>
          <w:lang w:val="en-GB"/>
        </w:rPr>
      </w:pPr>
      <w:r w:rsidRPr="005D7F63">
        <w:rPr>
          <w:rFonts w:eastAsiaTheme="majorEastAsia" w:cstheme="minorHAnsi"/>
          <w:b/>
          <w:i/>
          <w:noProof/>
          <w:color w:val="C00000"/>
          <w:sz w:val="24"/>
          <w:szCs w:val="24"/>
          <w:lang w:eastAsia="el-GR"/>
        </w:rPr>
        <w:drawing>
          <wp:inline distT="0" distB="0" distL="0" distR="0" wp14:anchorId="77553588" wp14:editId="1AF3A635">
            <wp:extent cx="5274310" cy="803910"/>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803910"/>
                    </a:xfrm>
                    <a:prstGeom prst="rect">
                      <a:avLst/>
                    </a:prstGeom>
                  </pic:spPr>
                </pic:pic>
              </a:graphicData>
            </a:graphic>
          </wp:inline>
        </w:drawing>
      </w:r>
    </w:p>
    <w:p w:rsidR="00972B4C" w:rsidRPr="00F11A94" w:rsidRDefault="00972B4C" w:rsidP="00F11A94">
      <w:pPr>
        <w:keepNext/>
        <w:keepLines/>
        <w:spacing w:before="40" w:after="0" w:line="240" w:lineRule="auto"/>
        <w:outlineLvl w:val="1"/>
        <w:rPr>
          <w:rFonts w:ascii="Arial" w:hAnsi="Arial" w:cs="Arial"/>
          <w:sz w:val="16"/>
          <w:szCs w:val="16"/>
          <w:lang w:val="en-GB"/>
        </w:rPr>
      </w:pPr>
      <w:r w:rsidRPr="00F11A94">
        <w:rPr>
          <w:rFonts w:ascii="Arial" w:eastAsia="Times New Roman" w:hAnsi="Arial" w:cs="Arial"/>
          <w:bCs/>
          <w:i/>
          <w:sz w:val="16"/>
          <w:szCs w:val="16"/>
          <w:lang w:val="en-US" w:eastAsia="el-GR"/>
        </w:rPr>
        <w:t>Concentric ring bifocal soft contact lenses (BSCLs) vs single vision soft contact lenses (SVSCLs).</w:t>
      </w:r>
      <w:r w:rsidRPr="00F11A94">
        <w:rPr>
          <w:rFonts w:ascii="Arial" w:hAnsi="Arial" w:cs="Arial"/>
          <w:sz w:val="16"/>
          <w:szCs w:val="16"/>
          <w:lang w:val="en-GB"/>
        </w:rPr>
        <w:t xml:space="preserve"> Primary outcomes from baseline (1 year) – Change in axial length (mm). </w:t>
      </w:r>
    </w:p>
    <w:p w:rsidR="00972B4C" w:rsidRDefault="00972B4C" w:rsidP="00972B4C">
      <w:pPr>
        <w:spacing w:line="240" w:lineRule="auto"/>
        <w:rPr>
          <w:sz w:val="20"/>
          <w:szCs w:val="20"/>
          <w:lang w:val="en-GB"/>
        </w:rPr>
      </w:pPr>
    </w:p>
    <w:p w:rsidR="00972B4C" w:rsidRDefault="00972B4C" w:rsidP="00972B4C">
      <w:pPr>
        <w:spacing w:line="240" w:lineRule="auto"/>
        <w:rPr>
          <w:sz w:val="20"/>
          <w:szCs w:val="20"/>
          <w:lang w:val="en-GB"/>
        </w:rPr>
      </w:pPr>
    </w:p>
    <w:p w:rsidR="008B04AA" w:rsidRDefault="008B04AA" w:rsidP="00972B4C">
      <w:pPr>
        <w:spacing w:line="240" w:lineRule="auto"/>
        <w:rPr>
          <w:sz w:val="20"/>
          <w:szCs w:val="20"/>
          <w:lang w:val="en-GB"/>
        </w:rPr>
      </w:pPr>
    </w:p>
    <w:p w:rsidR="008B04AA" w:rsidRDefault="008B04AA" w:rsidP="00972B4C">
      <w:pPr>
        <w:spacing w:line="240" w:lineRule="auto"/>
        <w:rPr>
          <w:sz w:val="20"/>
          <w:szCs w:val="20"/>
          <w:lang w:val="en-GB"/>
        </w:rPr>
      </w:pPr>
    </w:p>
    <w:p w:rsidR="008B04AA" w:rsidRDefault="008B04AA" w:rsidP="00972B4C">
      <w:pPr>
        <w:spacing w:line="240" w:lineRule="auto"/>
        <w:rPr>
          <w:sz w:val="20"/>
          <w:szCs w:val="20"/>
          <w:lang w:val="en-GB"/>
        </w:rPr>
      </w:pPr>
    </w:p>
    <w:p w:rsidR="008B04AA" w:rsidRDefault="008B04AA" w:rsidP="00972B4C">
      <w:pPr>
        <w:spacing w:line="240" w:lineRule="auto"/>
        <w:rPr>
          <w:sz w:val="20"/>
          <w:szCs w:val="20"/>
          <w:lang w:val="en-GB"/>
        </w:rPr>
      </w:pPr>
    </w:p>
    <w:p w:rsidR="008B04AA" w:rsidRDefault="008B04AA" w:rsidP="00972B4C">
      <w:pPr>
        <w:spacing w:line="240" w:lineRule="auto"/>
        <w:rPr>
          <w:sz w:val="20"/>
          <w:szCs w:val="20"/>
          <w:lang w:val="en-GB"/>
        </w:rPr>
      </w:pPr>
      <w:r>
        <w:rPr>
          <w:sz w:val="20"/>
          <w:szCs w:val="20"/>
          <w:lang w:val="en-GB"/>
        </w:rPr>
        <w:lastRenderedPageBreak/>
        <w:t xml:space="preserve">24. </w:t>
      </w:r>
    </w:p>
    <w:p w:rsidR="00972B4C" w:rsidRDefault="00972B4C" w:rsidP="00972B4C">
      <w:pPr>
        <w:keepNext/>
        <w:keepLines/>
        <w:spacing w:before="40" w:after="0" w:line="240" w:lineRule="auto"/>
        <w:outlineLvl w:val="1"/>
        <w:rPr>
          <w:rFonts w:eastAsia="Times New Roman" w:cstheme="minorHAnsi"/>
          <w:bCs/>
          <w:i/>
          <w:sz w:val="20"/>
          <w:szCs w:val="20"/>
          <w:lang w:val="en-US" w:eastAsia="el-GR"/>
        </w:rPr>
      </w:pPr>
      <w:r w:rsidRPr="00E62699">
        <w:rPr>
          <w:rFonts w:eastAsia="Times New Roman" w:cstheme="minorHAnsi"/>
          <w:bCs/>
          <w:i/>
          <w:noProof/>
          <w:sz w:val="20"/>
          <w:szCs w:val="20"/>
          <w:lang w:eastAsia="el-GR"/>
        </w:rPr>
        <w:drawing>
          <wp:inline distT="0" distB="0" distL="0" distR="0" wp14:anchorId="103C0637" wp14:editId="69C71FFA">
            <wp:extent cx="5274310" cy="58039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580390"/>
                    </a:xfrm>
                    <a:prstGeom prst="rect">
                      <a:avLst/>
                    </a:prstGeom>
                  </pic:spPr>
                </pic:pic>
              </a:graphicData>
            </a:graphic>
          </wp:inline>
        </w:drawing>
      </w:r>
    </w:p>
    <w:p w:rsidR="00972B4C" w:rsidRPr="00F11A94" w:rsidRDefault="00972B4C" w:rsidP="00F11A94">
      <w:pPr>
        <w:keepNext/>
        <w:keepLines/>
        <w:spacing w:before="40" w:after="0" w:line="240" w:lineRule="auto"/>
        <w:outlineLvl w:val="1"/>
        <w:rPr>
          <w:rFonts w:ascii="Arial" w:eastAsia="Times New Roman" w:hAnsi="Arial" w:cs="Arial"/>
          <w:bCs/>
          <w:i/>
          <w:sz w:val="16"/>
          <w:szCs w:val="16"/>
          <w:lang w:val="en-US" w:eastAsia="el-GR"/>
        </w:rPr>
      </w:pPr>
      <w:r w:rsidRPr="00F11A94">
        <w:rPr>
          <w:rFonts w:ascii="Arial" w:eastAsia="Times New Roman" w:hAnsi="Arial" w:cs="Arial"/>
          <w:bCs/>
          <w:i/>
          <w:sz w:val="16"/>
          <w:szCs w:val="16"/>
          <w:lang w:val="en-US" w:eastAsia="el-GR"/>
        </w:rPr>
        <w:t>Concentric ring bifocal soft contact lenses (BSCLs) vs single vision soft contact lenses (SVSCLs).</w:t>
      </w:r>
      <w:r w:rsidRPr="00F11A94">
        <w:rPr>
          <w:rFonts w:ascii="Arial" w:hAnsi="Arial" w:cs="Arial"/>
          <w:sz w:val="16"/>
          <w:szCs w:val="16"/>
          <w:lang w:val="en-GB"/>
        </w:rPr>
        <w:t xml:space="preserve"> Primary outcomes from baseline </w:t>
      </w:r>
      <w:r w:rsidRPr="00F11A94">
        <w:rPr>
          <w:rFonts w:ascii="Arial" w:hAnsi="Arial" w:cs="Arial"/>
          <w:sz w:val="16"/>
          <w:szCs w:val="16"/>
          <w:lang w:val="en-US"/>
        </w:rPr>
        <w:t>(2 years)</w:t>
      </w:r>
      <w:r w:rsidRPr="00F11A94">
        <w:rPr>
          <w:rFonts w:ascii="Arial" w:hAnsi="Arial" w:cs="Arial"/>
          <w:sz w:val="16"/>
          <w:szCs w:val="16"/>
          <w:lang w:val="en-GB"/>
        </w:rPr>
        <w:t xml:space="preserve"> – Change in refractive error (D). </w:t>
      </w:r>
    </w:p>
    <w:p w:rsidR="00972B4C" w:rsidRDefault="00972B4C" w:rsidP="00972B4C">
      <w:pPr>
        <w:spacing w:line="240" w:lineRule="auto"/>
        <w:rPr>
          <w:sz w:val="20"/>
          <w:szCs w:val="20"/>
          <w:lang w:val="en-US"/>
        </w:rPr>
      </w:pPr>
    </w:p>
    <w:p w:rsidR="00972B4C" w:rsidRDefault="00972B4C" w:rsidP="00972B4C">
      <w:pPr>
        <w:spacing w:line="240" w:lineRule="auto"/>
        <w:rPr>
          <w:sz w:val="20"/>
          <w:szCs w:val="20"/>
          <w:lang w:val="en-US"/>
        </w:rPr>
      </w:pPr>
    </w:p>
    <w:p w:rsidR="008B04AA" w:rsidRDefault="008B04AA" w:rsidP="00972B4C">
      <w:pPr>
        <w:spacing w:line="240" w:lineRule="auto"/>
        <w:rPr>
          <w:sz w:val="20"/>
          <w:szCs w:val="20"/>
          <w:lang w:val="en-US"/>
        </w:rPr>
      </w:pPr>
      <w:r>
        <w:rPr>
          <w:sz w:val="20"/>
          <w:szCs w:val="20"/>
          <w:lang w:val="en-US"/>
        </w:rPr>
        <w:t xml:space="preserve">25. </w:t>
      </w:r>
    </w:p>
    <w:p w:rsidR="00972B4C" w:rsidRDefault="00972B4C" w:rsidP="00972B4C">
      <w:pPr>
        <w:keepNext/>
        <w:keepLines/>
        <w:spacing w:before="40" w:after="0" w:line="240" w:lineRule="auto"/>
        <w:outlineLvl w:val="1"/>
        <w:rPr>
          <w:rFonts w:eastAsia="Times New Roman" w:cstheme="minorHAnsi"/>
          <w:bCs/>
          <w:i/>
          <w:sz w:val="20"/>
          <w:szCs w:val="20"/>
          <w:lang w:val="en-US" w:eastAsia="el-GR"/>
        </w:rPr>
      </w:pPr>
      <w:r w:rsidRPr="009A4612">
        <w:rPr>
          <w:rFonts w:eastAsia="Times New Roman" w:cstheme="minorHAnsi"/>
          <w:bCs/>
          <w:i/>
          <w:noProof/>
          <w:sz w:val="20"/>
          <w:szCs w:val="20"/>
          <w:lang w:eastAsia="el-GR"/>
        </w:rPr>
        <w:drawing>
          <wp:inline distT="0" distB="0" distL="0" distR="0" wp14:anchorId="1722BC46" wp14:editId="2A9D85F9">
            <wp:extent cx="5274310" cy="58039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580390"/>
                    </a:xfrm>
                    <a:prstGeom prst="rect">
                      <a:avLst/>
                    </a:prstGeom>
                  </pic:spPr>
                </pic:pic>
              </a:graphicData>
            </a:graphic>
          </wp:inline>
        </w:drawing>
      </w:r>
    </w:p>
    <w:p w:rsidR="00972B4C" w:rsidRPr="00F11A94" w:rsidRDefault="00972B4C" w:rsidP="00F11A94">
      <w:pPr>
        <w:keepNext/>
        <w:keepLines/>
        <w:spacing w:before="40" w:after="0" w:line="240" w:lineRule="auto"/>
        <w:outlineLvl w:val="1"/>
        <w:rPr>
          <w:rFonts w:ascii="Arial" w:eastAsia="Times New Roman" w:hAnsi="Arial" w:cs="Arial"/>
          <w:bCs/>
          <w:i/>
          <w:sz w:val="16"/>
          <w:szCs w:val="16"/>
          <w:lang w:val="en-US" w:eastAsia="el-GR"/>
        </w:rPr>
      </w:pPr>
      <w:r w:rsidRPr="00F11A94">
        <w:rPr>
          <w:rFonts w:ascii="Arial" w:eastAsia="Times New Roman" w:hAnsi="Arial" w:cs="Arial"/>
          <w:bCs/>
          <w:i/>
          <w:sz w:val="16"/>
          <w:szCs w:val="16"/>
          <w:lang w:val="en-US" w:eastAsia="el-GR"/>
        </w:rPr>
        <w:t>Concentric ring bifocal soft contact lenses (BSCLs) vs single vision soft contact lenses (SVSCLs).</w:t>
      </w:r>
      <w:r w:rsidRPr="00F11A94">
        <w:rPr>
          <w:rFonts w:ascii="Arial" w:hAnsi="Arial" w:cs="Arial"/>
          <w:sz w:val="16"/>
          <w:szCs w:val="16"/>
          <w:lang w:val="en-GB"/>
        </w:rPr>
        <w:t xml:space="preserve"> Primary outcomes from baseline (2 years) – Change in axial length (mm). </w:t>
      </w:r>
    </w:p>
    <w:p w:rsidR="00972B4C" w:rsidRDefault="00972B4C" w:rsidP="00972B4C">
      <w:pPr>
        <w:keepNext/>
        <w:keepLines/>
        <w:spacing w:before="40" w:after="0" w:line="480" w:lineRule="auto"/>
        <w:outlineLvl w:val="1"/>
        <w:rPr>
          <w:rFonts w:eastAsiaTheme="majorEastAsia" w:cstheme="minorHAnsi"/>
          <w:b/>
          <w:i/>
          <w:color w:val="C00000"/>
          <w:sz w:val="24"/>
          <w:szCs w:val="24"/>
          <w:lang w:val="en-US"/>
        </w:rPr>
      </w:pPr>
    </w:p>
    <w:p w:rsidR="008B04AA" w:rsidRPr="008B04AA" w:rsidRDefault="008B04AA" w:rsidP="00972B4C">
      <w:pPr>
        <w:keepNext/>
        <w:keepLines/>
        <w:spacing w:before="40" w:after="0" w:line="480" w:lineRule="auto"/>
        <w:outlineLvl w:val="1"/>
        <w:rPr>
          <w:rFonts w:eastAsiaTheme="majorEastAsia" w:cstheme="minorHAnsi"/>
          <w:sz w:val="20"/>
          <w:szCs w:val="20"/>
          <w:lang w:val="en-US"/>
        </w:rPr>
      </w:pPr>
      <w:r w:rsidRPr="008B04AA">
        <w:rPr>
          <w:rFonts w:eastAsiaTheme="majorEastAsia" w:cstheme="minorHAnsi"/>
          <w:sz w:val="20"/>
          <w:szCs w:val="20"/>
          <w:lang w:val="en-US"/>
        </w:rPr>
        <w:t>26.</w:t>
      </w:r>
    </w:p>
    <w:p w:rsidR="00972B4C" w:rsidRDefault="00972B4C" w:rsidP="00972B4C">
      <w:pPr>
        <w:keepNext/>
        <w:keepLines/>
        <w:spacing w:before="40" w:after="0" w:line="480" w:lineRule="auto"/>
        <w:outlineLvl w:val="1"/>
        <w:rPr>
          <w:rFonts w:eastAsia="Times New Roman" w:cstheme="minorHAnsi"/>
          <w:b/>
          <w:bCs/>
          <w:i/>
          <w:lang w:val="en-US" w:eastAsia="el-GR"/>
        </w:rPr>
      </w:pPr>
      <w:r w:rsidRPr="007E2F2B">
        <w:rPr>
          <w:rFonts w:eastAsia="Times New Roman" w:cstheme="minorHAnsi"/>
          <w:b/>
          <w:bCs/>
          <w:i/>
          <w:noProof/>
          <w:lang w:eastAsia="el-GR"/>
        </w:rPr>
        <w:drawing>
          <wp:inline distT="0" distB="0" distL="0" distR="0" wp14:anchorId="7829724D" wp14:editId="6912F3CC">
            <wp:extent cx="5274310" cy="1763395"/>
            <wp:effectExtent l="0" t="0" r="254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1763395"/>
                    </a:xfrm>
                    <a:prstGeom prst="rect">
                      <a:avLst/>
                    </a:prstGeom>
                  </pic:spPr>
                </pic:pic>
              </a:graphicData>
            </a:graphic>
          </wp:inline>
        </w:drawing>
      </w:r>
    </w:p>
    <w:p w:rsidR="00972B4C" w:rsidRPr="00F11A94" w:rsidRDefault="00972B4C" w:rsidP="00972B4C">
      <w:pPr>
        <w:keepNext/>
        <w:keepLines/>
        <w:spacing w:before="40" w:after="0" w:line="240" w:lineRule="auto"/>
        <w:outlineLvl w:val="1"/>
        <w:rPr>
          <w:rFonts w:ascii="Arial" w:eastAsia="Times New Roman" w:hAnsi="Arial" w:cs="Arial"/>
          <w:bCs/>
          <w:i/>
          <w:sz w:val="16"/>
          <w:szCs w:val="16"/>
          <w:lang w:val="en-US" w:eastAsia="el-GR"/>
        </w:rPr>
      </w:pPr>
      <w:r w:rsidRPr="00F11A94">
        <w:rPr>
          <w:rFonts w:ascii="Arial" w:eastAsia="Times New Roman" w:hAnsi="Arial" w:cs="Arial"/>
          <w:bCs/>
          <w:i/>
          <w:sz w:val="16"/>
          <w:szCs w:val="16"/>
          <w:lang w:val="en-US" w:eastAsia="el-GR"/>
        </w:rPr>
        <w:t xml:space="preserve">Peripheral add multifocal soft contact lenses (SCLs) vs soft contact lenses (SCLs)/single vision lenses (SVLs). </w:t>
      </w:r>
      <w:r w:rsidRPr="00F11A94">
        <w:rPr>
          <w:rFonts w:ascii="Arial" w:hAnsi="Arial" w:cs="Arial"/>
          <w:sz w:val="16"/>
          <w:szCs w:val="16"/>
          <w:lang w:val="en-GB"/>
        </w:rPr>
        <w:t xml:space="preserve">Primary outcomes from baseline </w:t>
      </w:r>
      <w:r w:rsidRPr="00F11A94">
        <w:rPr>
          <w:rFonts w:ascii="Arial" w:hAnsi="Arial" w:cs="Arial"/>
          <w:sz w:val="16"/>
          <w:szCs w:val="16"/>
          <w:lang w:val="en-US"/>
        </w:rPr>
        <w:t>(1 year)</w:t>
      </w:r>
      <w:r w:rsidRPr="00F11A94">
        <w:rPr>
          <w:rFonts w:ascii="Arial" w:hAnsi="Arial" w:cs="Arial"/>
          <w:sz w:val="16"/>
          <w:szCs w:val="16"/>
          <w:lang w:val="en-GB"/>
        </w:rPr>
        <w:t xml:space="preserve"> – Change in refractive error (D). </w:t>
      </w:r>
    </w:p>
    <w:p w:rsidR="00972B4C" w:rsidRDefault="00972B4C" w:rsidP="00972B4C">
      <w:pPr>
        <w:spacing w:line="240" w:lineRule="auto"/>
        <w:rPr>
          <w:sz w:val="20"/>
          <w:szCs w:val="20"/>
          <w:lang w:val="en-US"/>
        </w:rPr>
      </w:pPr>
    </w:p>
    <w:p w:rsidR="008B04AA" w:rsidRDefault="008B04AA" w:rsidP="00972B4C">
      <w:pPr>
        <w:spacing w:line="240" w:lineRule="auto"/>
        <w:rPr>
          <w:sz w:val="20"/>
          <w:szCs w:val="20"/>
          <w:lang w:val="en-US"/>
        </w:rPr>
      </w:pPr>
      <w:r>
        <w:rPr>
          <w:sz w:val="20"/>
          <w:szCs w:val="20"/>
          <w:lang w:val="en-US"/>
        </w:rPr>
        <w:t xml:space="preserve">27. </w:t>
      </w:r>
    </w:p>
    <w:p w:rsidR="00972B4C" w:rsidRDefault="00972B4C" w:rsidP="00972B4C">
      <w:pPr>
        <w:keepNext/>
        <w:keepLines/>
        <w:spacing w:before="40" w:after="0" w:line="480" w:lineRule="auto"/>
        <w:outlineLvl w:val="1"/>
        <w:rPr>
          <w:rFonts w:eastAsia="Times New Roman" w:cstheme="minorHAnsi"/>
          <w:b/>
          <w:bCs/>
          <w:i/>
          <w:lang w:val="en-US" w:eastAsia="el-GR"/>
        </w:rPr>
      </w:pPr>
      <w:r w:rsidRPr="00F43E0A">
        <w:rPr>
          <w:rFonts w:eastAsia="Times New Roman" w:cstheme="minorHAnsi"/>
          <w:b/>
          <w:bCs/>
          <w:i/>
          <w:noProof/>
          <w:lang w:eastAsia="el-GR"/>
        </w:rPr>
        <w:drawing>
          <wp:inline distT="0" distB="0" distL="0" distR="0" wp14:anchorId="171FD4D2" wp14:editId="3B342B7F">
            <wp:extent cx="5274310" cy="1659255"/>
            <wp:effectExtent l="0" t="0" r="254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1659255"/>
                    </a:xfrm>
                    <a:prstGeom prst="rect">
                      <a:avLst/>
                    </a:prstGeom>
                  </pic:spPr>
                </pic:pic>
              </a:graphicData>
            </a:graphic>
          </wp:inline>
        </w:drawing>
      </w:r>
    </w:p>
    <w:p w:rsidR="00972B4C" w:rsidRPr="00F11A94" w:rsidRDefault="00972B4C" w:rsidP="00F11A94">
      <w:pPr>
        <w:keepNext/>
        <w:keepLines/>
        <w:spacing w:before="40" w:after="0" w:line="240" w:lineRule="auto"/>
        <w:outlineLvl w:val="1"/>
        <w:rPr>
          <w:rFonts w:ascii="Arial" w:hAnsi="Arial" w:cs="Arial"/>
          <w:sz w:val="16"/>
          <w:szCs w:val="16"/>
          <w:lang w:val="en-GB"/>
        </w:rPr>
      </w:pPr>
      <w:r w:rsidRPr="00F11A94">
        <w:rPr>
          <w:rFonts w:ascii="Arial" w:eastAsia="Times New Roman" w:hAnsi="Arial" w:cs="Arial"/>
          <w:bCs/>
          <w:i/>
          <w:sz w:val="16"/>
          <w:szCs w:val="16"/>
          <w:lang w:val="en-US" w:eastAsia="el-GR"/>
        </w:rPr>
        <w:t xml:space="preserve">Peripheral add multifocal soft contact lenses (SCLs) vs soft contact lenses (SCLs)/single vision lenses (SVLs). </w:t>
      </w:r>
      <w:r w:rsidRPr="00F11A94">
        <w:rPr>
          <w:rFonts w:ascii="Arial" w:hAnsi="Arial" w:cs="Arial"/>
          <w:sz w:val="16"/>
          <w:szCs w:val="16"/>
          <w:lang w:val="en-GB"/>
        </w:rPr>
        <w:t xml:space="preserve">Primary outcomes from baseline (1 year) – Change in axial length (mm). </w:t>
      </w:r>
    </w:p>
    <w:p w:rsidR="00972B4C" w:rsidRDefault="00972B4C" w:rsidP="00972B4C">
      <w:pPr>
        <w:spacing w:line="240" w:lineRule="auto"/>
        <w:rPr>
          <w:sz w:val="20"/>
          <w:szCs w:val="20"/>
          <w:lang w:val="en-GB"/>
        </w:rPr>
      </w:pPr>
    </w:p>
    <w:p w:rsidR="00F11A94" w:rsidRDefault="00F11A94" w:rsidP="00972B4C">
      <w:pPr>
        <w:spacing w:line="240" w:lineRule="auto"/>
        <w:rPr>
          <w:sz w:val="20"/>
          <w:szCs w:val="20"/>
          <w:lang w:val="en-GB"/>
        </w:rPr>
      </w:pPr>
    </w:p>
    <w:p w:rsidR="008B04AA" w:rsidRDefault="008B04AA" w:rsidP="00972B4C">
      <w:pPr>
        <w:spacing w:line="240" w:lineRule="auto"/>
        <w:rPr>
          <w:sz w:val="20"/>
          <w:szCs w:val="20"/>
          <w:lang w:val="en-GB"/>
        </w:rPr>
      </w:pPr>
      <w:r>
        <w:rPr>
          <w:sz w:val="20"/>
          <w:szCs w:val="20"/>
          <w:lang w:val="en-GB"/>
        </w:rPr>
        <w:lastRenderedPageBreak/>
        <w:t xml:space="preserve">28. </w:t>
      </w:r>
    </w:p>
    <w:p w:rsidR="00F11A94" w:rsidRDefault="00F11A94" w:rsidP="00F11A94">
      <w:pPr>
        <w:spacing w:line="240" w:lineRule="auto"/>
        <w:rPr>
          <w:sz w:val="20"/>
          <w:szCs w:val="20"/>
        </w:rPr>
      </w:pPr>
      <w:r w:rsidRPr="00437BCE">
        <w:rPr>
          <w:rFonts w:eastAsia="Times New Roman" w:cstheme="minorHAnsi"/>
          <w:b/>
          <w:bCs/>
          <w:i/>
          <w:noProof/>
          <w:lang w:eastAsia="el-GR"/>
        </w:rPr>
        <w:drawing>
          <wp:inline distT="0" distB="0" distL="0" distR="0" wp14:anchorId="71BC23EA" wp14:editId="59BAC835">
            <wp:extent cx="5274310" cy="76644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766445"/>
                    </a:xfrm>
                    <a:prstGeom prst="rect">
                      <a:avLst/>
                    </a:prstGeom>
                  </pic:spPr>
                </pic:pic>
              </a:graphicData>
            </a:graphic>
          </wp:inline>
        </w:drawing>
      </w:r>
    </w:p>
    <w:p w:rsidR="00F11A94" w:rsidRDefault="00972B4C" w:rsidP="00F11A94">
      <w:pPr>
        <w:spacing w:line="240" w:lineRule="auto"/>
        <w:rPr>
          <w:rFonts w:ascii="Arial" w:hAnsi="Arial" w:cs="Arial"/>
          <w:sz w:val="16"/>
          <w:szCs w:val="16"/>
          <w:lang w:val="en-GB"/>
        </w:rPr>
      </w:pPr>
      <w:r w:rsidRPr="00F11A94">
        <w:rPr>
          <w:rFonts w:ascii="Arial" w:eastAsia="Times New Roman" w:hAnsi="Arial" w:cs="Arial"/>
          <w:bCs/>
          <w:i/>
          <w:sz w:val="16"/>
          <w:szCs w:val="16"/>
          <w:lang w:val="en-US" w:eastAsia="el-GR"/>
        </w:rPr>
        <w:t xml:space="preserve">Peripheral add multifocal soft contact lenses (SCLs) vs soft contact lenses (SCLs)/single vision lenses (SVLs). </w:t>
      </w:r>
      <w:r w:rsidRPr="00F11A94">
        <w:rPr>
          <w:rFonts w:ascii="Arial" w:hAnsi="Arial" w:cs="Arial"/>
          <w:sz w:val="16"/>
          <w:szCs w:val="16"/>
          <w:lang w:val="en-GB"/>
        </w:rPr>
        <w:t xml:space="preserve">Primary outcomes from baseline </w:t>
      </w:r>
      <w:r w:rsidRPr="00F11A94">
        <w:rPr>
          <w:rFonts w:ascii="Arial" w:hAnsi="Arial" w:cs="Arial"/>
          <w:sz w:val="16"/>
          <w:szCs w:val="16"/>
          <w:lang w:val="en-US"/>
        </w:rPr>
        <w:t>(2 years)</w:t>
      </w:r>
      <w:r w:rsidRPr="00F11A94">
        <w:rPr>
          <w:rFonts w:ascii="Arial" w:hAnsi="Arial" w:cs="Arial"/>
          <w:sz w:val="16"/>
          <w:szCs w:val="16"/>
          <w:lang w:val="en-GB"/>
        </w:rPr>
        <w:t xml:space="preserve"> – Change in refractive error (D). </w:t>
      </w:r>
    </w:p>
    <w:p w:rsidR="00F11A94" w:rsidRDefault="00F11A94" w:rsidP="00F11A94">
      <w:pPr>
        <w:spacing w:line="240" w:lineRule="auto"/>
        <w:rPr>
          <w:rFonts w:ascii="Arial" w:hAnsi="Arial" w:cs="Arial"/>
          <w:sz w:val="16"/>
          <w:szCs w:val="16"/>
          <w:lang w:val="en-GB"/>
        </w:rPr>
      </w:pPr>
    </w:p>
    <w:p w:rsidR="00F11A94" w:rsidRDefault="008B04AA" w:rsidP="00F11A94">
      <w:pPr>
        <w:spacing w:line="240" w:lineRule="auto"/>
        <w:rPr>
          <w:rFonts w:ascii="Arial" w:hAnsi="Arial" w:cs="Arial"/>
          <w:sz w:val="16"/>
          <w:szCs w:val="16"/>
          <w:lang w:val="en-GB"/>
        </w:rPr>
      </w:pPr>
      <w:r>
        <w:rPr>
          <w:rFonts w:ascii="Arial" w:hAnsi="Arial" w:cs="Arial"/>
          <w:sz w:val="16"/>
          <w:szCs w:val="16"/>
          <w:lang w:val="en-GB"/>
        </w:rPr>
        <w:t xml:space="preserve">29. </w:t>
      </w:r>
    </w:p>
    <w:p w:rsidR="00F11A94" w:rsidRDefault="00F11A94" w:rsidP="00F11A94">
      <w:pPr>
        <w:spacing w:line="240" w:lineRule="auto"/>
        <w:rPr>
          <w:sz w:val="20"/>
          <w:szCs w:val="20"/>
          <w:lang w:val="en-GB"/>
        </w:rPr>
      </w:pPr>
      <w:r w:rsidRPr="00170A90">
        <w:rPr>
          <w:rFonts w:eastAsia="Times New Roman" w:cstheme="minorHAnsi"/>
          <w:b/>
          <w:bCs/>
          <w:i/>
          <w:noProof/>
          <w:lang w:eastAsia="el-GR"/>
        </w:rPr>
        <w:drawing>
          <wp:inline distT="0" distB="0" distL="0" distR="0" wp14:anchorId="7E05BEB1" wp14:editId="3D718CBA">
            <wp:extent cx="5274310" cy="722630"/>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722630"/>
                    </a:xfrm>
                    <a:prstGeom prst="rect">
                      <a:avLst/>
                    </a:prstGeom>
                  </pic:spPr>
                </pic:pic>
              </a:graphicData>
            </a:graphic>
          </wp:inline>
        </w:drawing>
      </w:r>
    </w:p>
    <w:p w:rsidR="00F11A94" w:rsidRDefault="00F11A94" w:rsidP="00F11A94">
      <w:pPr>
        <w:keepNext/>
        <w:keepLines/>
        <w:spacing w:before="40" w:after="0" w:line="240" w:lineRule="auto"/>
        <w:outlineLvl w:val="1"/>
        <w:rPr>
          <w:rFonts w:ascii="Arial" w:hAnsi="Arial" w:cs="Arial"/>
          <w:sz w:val="16"/>
          <w:szCs w:val="16"/>
          <w:lang w:val="en-GB"/>
        </w:rPr>
      </w:pPr>
      <w:r w:rsidRPr="00F11A94">
        <w:rPr>
          <w:rFonts w:ascii="Arial" w:eastAsia="Times New Roman" w:hAnsi="Arial" w:cs="Arial"/>
          <w:bCs/>
          <w:i/>
          <w:sz w:val="16"/>
          <w:szCs w:val="16"/>
          <w:lang w:val="en-US" w:eastAsia="el-GR"/>
        </w:rPr>
        <w:t xml:space="preserve">Peripheral add multifocal soft contact lenses (SCLs) vs soft contact lenses (SCLs)/single vision lenses (SVLs). </w:t>
      </w:r>
      <w:r w:rsidRPr="00F11A94">
        <w:rPr>
          <w:rFonts w:ascii="Arial" w:hAnsi="Arial" w:cs="Arial"/>
          <w:sz w:val="16"/>
          <w:szCs w:val="16"/>
          <w:lang w:val="en-GB"/>
        </w:rPr>
        <w:t xml:space="preserve">Primary outcomes from baseline (2 years) – Change in axial length (mm).  </w:t>
      </w:r>
    </w:p>
    <w:p w:rsidR="00F11A94" w:rsidRDefault="00F11A94" w:rsidP="00F11A94">
      <w:pPr>
        <w:rPr>
          <w:sz w:val="20"/>
          <w:szCs w:val="20"/>
          <w:lang w:val="en-GB"/>
        </w:rPr>
      </w:pPr>
    </w:p>
    <w:p w:rsidR="00F11A94" w:rsidRDefault="008B04AA" w:rsidP="00F11A94">
      <w:pPr>
        <w:rPr>
          <w:sz w:val="20"/>
          <w:szCs w:val="20"/>
          <w:lang w:val="en-GB"/>
        </w:rPr>
      </w:pPr>
      <w:r>
        <w:rPr>
          <w:sz w:val="20"/>
          <w:szCs w:val="20"/>
          <w:lang w:val="en-GB"/>
        </w:rPr>
        <w:t xml:space="preserve">30. </w:t>
      </w:r>
    </w:p>
    <w:p w:rsidR="00F11A94" w:rsidRDefault="00F11A94" w:rsidP="008B04AA">
      <w:pPr>
        <w:rPr>
          <w:rFonts w:ascii="Arial" w:hAnsi="Arial" w:cs="Arial"/>
          <w:sz w:val="16"/>
          <w:szCs w:val="16"/>
          <w:lang w:val="en-GB"/>
        </w:rPr>
      </w:pPr>
      <w:r w:rsidRPr="00A4608F">
        <w:rPr>
          <w:rFonts w:eastAsia="Times New Roman" w:cstheme="minorHAnsi"/>
          <w:bCs/>
          <w:i/>
          <w:noProof/>
          <w:sz w:val="20"/>
          <w:szCs w:val="20"/>
          <w:lang w:eastAsia="el-GR"/>
        </w:rPr>
        <w:drawing>
          <wp:inline distT="0" distB="0" distL="0" distR="0" wp14:anchorId="26566EAF" wp14:editId="5CE108E3">
            <wp:extent cx="5274310" cy="677545"/>
            <wp:effectExtent l="0" t="0" r="254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677545"/>
                    </a:xfrm>
                    <a:prstGeom prst="rect">
                      <a:avLst/>
                    </a:prstGeom>
                  </pic:spPr>
                </pic:pic>
              </a:graphicData>
            </a:graphic>
          </wp:inline>
        </w:drawing>
      </w:r>
      <w:r w:rsidRPr="00F11A94">
        <w:rPr>
          <w:rFonts w:ascii="Arial" w:eastAsia="Times New Roman" w:hAnsi="Arial" w:cs="Arial"/>
          <w:bCs/>
          <w:i/>
          <w:sz w:val="16"/>
          <w:szCs w:val="16"/>
          <w:lang w:val="en-US" w:eastAsia="el-GR"/>
        </w:rPr>
        <w:t xml:space="preserve">Orthokeratology (OK) vs soft contact lenses (SCLs)/single vision lenses (SVLs). </w:t>
      </w:r>
      <w:r w:rsidRPr="00F11A94">
        <w:rPr>
          <w:rFonts w:ascii="Arial" w:hAnsi="Arial" w:cs="Arial"/>
          <w:sz w:val="16"/>
          <w:szCs w:val="16"/>
          <w:lang w:val="en-GB"/>
        </w:rPr>
        <w:t>Primary outcomes from baseline (1 year) – Change in refractive error (D).</w:t>
      </w:r>
    </w:p>
    <w:p w:rsidR="008B04AA" w:rsidRDefault="008B04AA" w:rsidP="008B04AA">
      <w:pPr>
        <w:rPr>
          <w:rFonts w:ascii="Arial" w:hAnsi="Arial" w:cs="Arial"/>
          <w:sz w:val="16"/>
          <w:szCs w:val="16"/>
          <w:lang w:val="en-GB"/>
        </w:rPr>
      </w:pPr>
    </w:p>
    <w:p w:rsidR="008B04AA" w:rsidRDefault="008B04AA" w:rsidP="008B04AA">
      <w:pPr>
        <w:rPr>
          <w:rFonts w:ascii="Arial" w:hAnsi="Arial" w:cs="Arial"/>
          <w:sz w:val="16"/>
          <w:szCs w:val="16"/>
          <w:lang w:val="en-GB"/>
        </w:rPr>
      </w:pPr>
      <w:r>
        <w:rPr>
          <w:rFonts w:ascii="Arial" w:hAnsi="Arial" w:cs="Arial"/>
          <w:sz w:val="16"/>
          <w:szCs w:val="16"/>
          <w:lang w:val="en-GB"/>
        </w:rPr>
        <w:t xml:space="preserve">31. </w:t>
      </w:r>
    </w:p>
    <w:p w:rsidR="008B04AA" w:rsidRDefault="008B04AA" w:rsidP="008B04AA">
      <w:pPr>
        <w:rPr>
          <w:sz w:val="20"/>
          <w:szCs w:val="20"/>
          <w:lang w:val="en-GB"/>
        </w:rPr>
      </w:pPr>
      <w:r w:rsidRPr="00CC5746">
        <w:rPr>
          <w:rFonts w:eastAsia="Times New Roman" w:cstheme="minorHAnsi"/>
          <w:b/>
          <w:bCs/>
          <w:i/>
          <w:noProof/>
          <w:lang w:eastAsia="el-GR"/>
        </w:rPr>
        <w:drawing>
          <wp:inline distT="0" distB="0" distL="0" distR="0" wp14:anchorId="6AAE2782" wp14:editId="362E8503">
            <wp:extent cx="5274310" cy="2015490"/>
            <wp:effectExtent l="0" t="0" r="254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2015490"/>
                    </a:xfrm>
                    <a:prstGeom prst="rect">
                      <a:avLst/>
                    </a:prstGeom>
                  </pic:spPr>
                </pic:pic>
              </a:graphicData>
            </a:graphic>
          </wp:inline>
        </w:drawing>
      </w:r>
    </w:p>
    <w:p w:rsidR="008B04AA" w:rsidRDefault="008B04AA" w:rsidP="008B04AA">
      <w:pPr>
        <w:rPr>
          <w:sz w:val="20"/>
          <w:szCs w:val="20"/>
          <w:lang w:val="en-GB"/>
        </w:rPr>
      </w:pPr>
      <w:r w:rsidRPr="004E5D3B">
        <w:rPr>
          <w:rFonts w:ascii="Arial" w:eastAsia="Times New Roman" w:hAnsi="Arial" w:cs="Arial"/>
          <w:bCs/>
          <w:i/>
          <w:sz w:val="16"/>
          <w:szCs w:val="16"/>
          <w:lang w:val="en-US" w:eastAsia="el-GR"/>
        </w:rPr>
        <w:t xml:space="preserve">Orthokeratology (OK) vs soft contact lenses (SCLs)/single vision lenses (SVLs). </w:t>
      </w:r>
      <w:r w:rsidRPr="004E5D3B">
        <w:rPr>
          <w:rFonts w:ascii="Arial" w:hAnsi="Arial" w:cs="Arial"/>
          <w:sz w:val="16"/>
          <w:szCs w:val="16"/>
          <w:lang w:val="en-GB"/>
        </w:rPr>
        <w:t xml:space="preserve">Primary outcomes from baseline (1 year) – Change in axial length (mm). </w:t>
      </w:r>
    </w:p>
    <w:p w:rsidR="008B04AA" w:rsidRDefault="008B04AA" w:rsidP="008B04AA">
      <w:pPr>
        <w:rPr>
          <w:sz w:val="20"/>
          <w:szCs w:val="20"/>
          <w:lang w:val="en-GB"/>
        </w:rPr>
      </w:pPr>
    </w:p>
    <w:p w:rsidR="008B04AA" w:rsidRPr="008B04AA" w:rsidRDefault="008B04AA" w:rsidP="008B04AA">
      <w:pPr>
        <w:rPr>
          <w:sz w:val="20"/>
          <w:szCs w:val="20"/>
          <w:lang w:val="en-GB"/>
        </w:rPr>
      </w:pPr>
    </w:p>
    <w:p w:rsidR="00972B4C" w:rsidRPr="008B04AA" w:rsidRDefault="008B04AA" w:rsidP="00972B4C">
      <w:pPr>
        <w:keepNext/>
        <w:keepLines/>
        <w:spacing w:before="40" w:after="0" w:line="240" w:lineRule="auto"/>
        <w:outlineLvl w:val="1"/>
        <w:rPr>
          <w:sz w:val="20"/>
          <w:szCs w:val="20"/>
          <w:lang w:val="en-GB"/>
        </w:rPr>
      </w:pPr>
      <w:r w:rsidRPr="008B04AA">
        <w:rPr>
          <w:sz w:val="20"/>
          <w:szCs w:val="20"/>
          <w:lang w:val="en-GB"/>
        </w:rPr>
        <w:lastRenderedPageBreak/>
        <w:t xml:space="preserve">32. </w:t>
      </w:r>
    </w:p>
    <w:p w:rsidR="00972B4C" w:rsidRPr="00E83E32" w:rsidRDefault="00972B4C" w:rsidP="00972B4C">
      <w:pPr>
        <w:keepNext/>
        <w:keepLines/>
        <w:spacing w:before="40" w:after="0" w:line="240" w:lineRule="auto"/>
        <w:outlineLvl w:val="1"/>
        <w:rPr>
          <w:color w:val="FF0000"/>
          <w:sz w:val="20"/>
          <w:szCs w:val="20"/>
          <w:lang w:val="en-GB"/>
        </w:rPr>
      </w:pPr>
      <w:r w:rsidRPr="00E83E32">
        <w:rPr>
          <w:noProof/>
          <w:color w:val="FF0000"/>
          <w:sz w:val="20"/>
          <w:szCs w:val="20"/>
          <w:lang w:eastAsia="el-GR"/>
        </w:rPr>
        <w:drawing>
          <wp:inline distT="0" distB="0" distL="0" distR="0" wp14:anchorId="1B746027" wp14:editId="5A9986C4">
            <wp:extent cx="5274310" cy="677545"/>
            <wp:effectExtent l="0" t="0" r="254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677545"/>
                    </a:xfrm>
                    <a:prstGeom prst="rect">
                      <a:avLst/>
                    </a:prstGeom>
                  </pic:spPr>
                </pic:pic>
              </a:graphicData>
            </a:graphic>
          </wp:inline>
        </w:drawing>
      </w:r>
      <w:r w:rsidRPr="004E5D3B">
        <w:rPr>
          <w:rFonts w:ascii="Arial" w:eastAsia="Times New Roman" w:hAnsi="Arial" w:cs="Arial"/>
          <w:bCs/>
          <w:i/>
          <w:sz w:val="16"/>
          <w:szCs w:val="16"/>
          <w:lang w:val="en-US" w:eastAsia="el-GR"/>
        </w:rPr>
        <w:t xml:space="preserve">Orthokeratology (OK) vs soft contact lenses (SCLs)/single vision lenses (SVLs). </w:t>
      </w:r>
      <w:r w:rsidRPr="004E5D3B">
        <w:rPr>
          <w:rFonts w:ascii="Arial" w:hAnsi="Arial" w:cs="Arial"/>
          <w:sz w:val="16"/>
          <w:szCs w:val="16"/>
          <w:lang w:val="en-GB"/>
        </w:rPr>
        <w:t>Primary outcomes from baseline (2 years) – Change in refractive error (D).</w:t>
      </w:r>
    </w:p>
    <w:p w:rsidR="00972B4C" w:rsidRPr="005A7982" w:rsidRDefault="00972B4C" w:rsidP="00972B4C">
      <w:pPr>
        <w:keepNext/>
        <w:keepLines/>
        <w:spacing w:before="40" w:after="0" w:line="240" w:lineRule="auto"/>
        <w:outlineLvl w:val="1"/>
        <w:rPr>
          <w:color w:val="FF0000"/>
          <w:sz w:val="20"/>
          <w:szCs w:val="20"/>
          <w:lang w:val="en-US"/>
        </w:rPr>
      </w:pPr>
    </w:p>
    <w:p w:rsidR="00972B4C" w:rsidRDefault="00972B4C" w:rsidP="00972B4C">
      <w:pPr>
        <w:keepNext/>
        <w:keepLines/>
        <w:spacing w:before="40" w:after="0" w:line="240" w:lineRule="auto"/>
        <w:outlineLvl w:val="1"/>
        <w:rPr>
          <w:rFonts w:eastAsia="Times New Roman" w:cstheme="minorHAnsi"/>
          <w:bCs/>
          <w:i/>
          <w:color w:val="FF0000"/>
          <w:sz w:val="20"/>
          <w:szCs w:val="20"/>
          <w:lang w:val="en-US" w:eastAsia="el-GR"/>
        </w:rPr>
      </w:pPr>
    </w:p>
    <w:p w:rsidR="008B04AA" w:rsidRPr="008B04AA" w:rsidRDefault="008B04AA" w:rsidP="00972B4C">
      <w:pPr>
        <w:keepNext/>
        <w:keepLines/>
        <w:spacing w:before="40" w:after="0" w:line="240" w:lineRule="auto"/>
        <w:outlineLvl w:val="1"/>
        <w:rPr>
          <w:rFonts w:eastAsia="Times New Roman" w:cstheme="minorHAnsi"/>
          <w:bCs/>
          <w:sz w:val="20"/>
          <w:szCs w:val="20"/>
          <w:lang w:val="en-US" w:eastAsia="el-GR"/>
        </w:rPr>
      </w:pPr>
      <w:r w:rsidRPr="008B04AA">
        <w:rPr>
          <w:rFonts w:eastAsia="Times New Roman" w:cstheme="minorHAnsi"/>
          <w:bCs/>
          <w:sz w:val="20"/>
          <w:szCs w:val="20"/>
          <w:lang w:val="en-US" w:eastAsia="el-GR"/>
        </w:rPr>
        <w:t xml:space="preserve">33. </w:t>
      </w:r>
    </w:p>
    <w:p w:rsidR="00972B4C" w:rsidRDefault="00972B4C" w:rsidP="00972B4C">
      <w:pPr>
        <w:keepNext/>
        <w:keepLines/>
        <w:spacing w:before="40" w:after="0" w:line="480" w:lineRule="auto"/>
        <w:outlineLvl w:val="1"/>
        <w:rPr>
          <w:rFonts w:eastAsia="Times New Roman" w:cstheme="minorHAnsi"/>
          <w:b/>
          <w:bCs/>
          <w:i/>
          <w:lang w:val="en-US" w:eastAsia="el-GR"/>
        </w:rPr>
      </w:pPr>
      <w:r w:rsidRPr="003A3F9A">
        <w:rPr>
          <w:rFonts w:eastAsia="Times New Roman" w:cstheme="minorHAnsi"/>
          <w:b/>
          <w:bCs/>
          <w:i/>
          <w:noProof/>
          <w:lang w:eastAsia="el-GR"/>
        </w:rPr>
        <w:drawing>
          <wp:inline distT="0" distB="0" distL="0" distR="0" wp14:anchorId="4ED3FBCC" wp14:editId="356F9ED8">
            <wp:extent cx="5274310" cy="2266950"/>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2266950"/>
                    </a:xfrm>
                    <a:prstGeom prst="rect">
                      <a:avLst/>
                    </a:prstGeom>
                  </pic:spPr>
                </pic:pic>
              </a:graphicData>
            </a:graphic>
          </wp:inline>
        </w:drawing>
      </w:r>
    </w:p>
    <w:p w:rsidR="00972B4C" w:rsidRPr="004E5D3B" w:rsidRDefault="00972B4C" w:rsidP="004E5D3B">
      <w:pPr>
        <w:keepNext/>
        <w:keepLines/>
        <w:spacing w:before="40" w:after="0" w:line="240" w:lineRule="auto"/>
        <w:outlineLvl w:val="1"/>
        <w:rPr>
          <w:rFonts w:ascii="Arial" w:hAnsi="Arial" w:cs="Arial"/>
          <w:sz w:val="16"/>
          <w:szCs w:val="16"/>
          <w:lang w:val="en-GB"/>
        </w:rPr>
      </w:pPr>
      <w:r w:rsidRPr="004E5D3B">
        <w:rPr>
          <w:rFonts w:ascii="Arial" w:eastAsia="Times New Roman" w:hAnsi="Arial" w:cs="Arial"/>
          <w:bCs/>
          <w:i/>
          <w:sz w:val="16"/>
          <w:szCs w:val="16"/>
          <w:lang w:val="en-US" w:eastAsia="el-GR"/>
        </w:rPr>
        <w:t xml:space="preserve">Orthokeratology (OK) vs soft contact lenses (SCLs)/single vision lenses (SVLs). </w:t>
      </w:r>
      <w:r w:rsidRPr="004E5D3B">
        <w:rPr>
          <w:rFonts w:ascii="Arial" w:hAnsi="Arial" w:cs="Arial"/>
          <w:sz w:val="16"/>
          <w:szCs w:val="16"/>
          <w:lang w:val="en-GB"/>
        </w:rPr>
        <w:t xml:space="preserve">Primary outcomes from baseline (2 years) – Change in axial length (mm). </w:t>
      </w:r>
    </w:p>
    <w:p w:rsidR="00972B4C" w:rsidRDefault="00972B4C" w:rsidP="00972B4C">
      <w:pPr>
        <w:keepNext/>
        <w:keepLines/>
        <w:spacing w:before="40" w:after="0" w:line="240" w:lineRule="auto"/>
        <w:outlineLvl w:val="1"/>
        <w:rPr>
          <w:rFonts w:eastAsia="Times New Roman" w:cstheme="minorHAnsi"/>
          <w:bCs/>
          <w:i/>
          <w:sz w:val="20"/>
          <w:szCs w:val="20"/>
          <w:lang w:val="en-GB" w:eastAsia="el-GR"/>
        </w:rPr>
      </w:pPr>
    </w:p>
    <w:p w:rsidR="008B04AA" w:rsidRPr="008B04AA" w:rsidRDefault="008B04AA" w:rsidP="00972B4C">
      <w:pPr>
        <w:keepNext/>
        <w:keepLines/>
        <w:spacing w:before="40" w:after="0" w:line="240" w:lineRule="auto"/>
        <w:outlineLvl w:val="1"/>
        <w:rPr>
          <w:rFonts w:eastAsia="Times New Roman" w:cstheme="minorHAnsi"/>
          <w:bCs/>
          <w:sz w:val="20"/>
          <w:szCs w:val="20"/>
          <w:lang w:val="en-GB" w:eastAsia="el-GR"/>
        </w:rPr>
      </w:pPr>
      <w:r w:rsidRPr="008B04AA">
        <w:rPr>
          <w:rFonts w:eastAsia="Times New Roman" w:cstheme="minorHAnsi"/>
          <w:bCs/>
          <w:sz w:val="20"/>
          <w:szCs w:val="20"/>
          <w:lang w:val="en-GB" w:eastAsia="el-GR"/>
        </w:rPr>
        <w:t xml:space="preserve">34. </w:t>
      </w:r>
    </w:p>
    <w:p w:rsidR="00972B4C" w:rsidRDefault="00972B4C" w:rsidP="00972B4C">
      <w:pPr>
        <w:keepNext/>
        <w:keepLines/>
        <w:spacing w:before="40" w:after="0" w:line="480" w:lineRule="auto"/>
        <w:outlineLvl w:val="1"/>
        <w:rPr>
          <w:rFonts w:eastAsia="Times New Roman" w:cstheme="minorHAnsi"/>
          <w:b/>
          <w:bCs/>
          <w:i/>
          <w:lang w:val="en-US" w:eastAsia="el-GR"/>
        </w:rPr>
      </w:pPr>
      <w:r w:rsidRPr="00E340B3">
        <w:rPr>
          <w:rFonts w:eastAsia="Times New Roman" w:cstheme="minorHAnsi"/>
          <w:b/>
          <w:bCs/>
          <w:i/>
          <w:noProof/>
          <w:lang w:eastAsia="el-GR"/>
        </w:rPr>
        <w:drawing>
          <wp:inline distT="0" distB="0" distL="0" distR="0" wp14:anchorId="162DA73A" wp14:editId="70751EFB">
            <wp:extent cx="5274310" cy="876300"/>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876300"/>
                    </a:xfrm>
                    <a:prstGeom prst="rect">
                      <a:avLst/>
                    </a:prstGeom>
                  </pic:spPr>
                </pic:pic>
              </a:graphicData>
            </a:graphic>
          </wp:inline>
        </w:drawing>
      </w:r>
    </w:p>
    <w:p w:rsidR="00972B4C" w:rsidRPr="004E5D3B" w:rsidRDefault="00972B4C" w:rsidP="004E5D3B">
      <w:pPr>
        <w:spacing w:line="240" w:lineRule="auto"/>
        <w:rPr>
          <w:rFonts w:ascii="Arial" w:hAnsi="Arial" w:cs="Arial"/>
          <w:sz w:val="16"/>
          <w:szCs w:val="16"/>
          <w:lang w:val="en-GB"/>
        </w:rPr>
      </w:pPr>
      <w:r w:rsidRPr="004E5D3B">
        <w:rPr>
          <w:rFonts w:ascii="Arial" w:eastAsia="Times New Roman" w:hAnsi="Arial" w:cs="Arial"/>
          <w:bCs/>
          <w:i/>
          <w:sz w:val="16"/>
          <w:szCs w:val="16"/>
          <w:lang w:val="en-US" w:eastAsia="el-GR"/>
        </w:rPr>
        <w:t>Progressive addition lenses (PALs) vs single vision lenses (SVLs).</w:t>
      </w:r>
      <w:r w:rsidRPr="004E5D3B">
        <w:rPr>
          <w:rFonts w:ascii="Arial" w:hAnsi="Arial" w:cs="Arial"/>
          <w:sz w:val="16"/>
          <w:szCs w:val="16"/>
          <w:lang w:val="en-GB"/>
        </w:rPr>
        <w:t xml:space="preserve"> Primary outcomes from baseline </w:t>
      </w:r>
      <w:r w:rsidRPr="004E5D3B">
        <w:rPr>
          <w:rFonts w:ascii="Arial" w:hAnsi="Arial" w:cs="Arial"/>
          <w:sz w:val="16"/>
          <w:szCs w:val="16"/>
          <w:lang w:val="en-US"/>
        </w:rPr>
        <w:t>(1 year)</w:t>
      </w:r>
      <w:r w:rsidRPr="004E5D3B">
        <w:rPr>
          <w:rFonts w:ascii="Arial" w:hAnsi="Arial" w:cs="Arial"/>
          <w:sz w:val="16"/>
          <w:szCs w:val="16"/>
          <w:lang w:val="en-GB"/>
        </w:rPr>
        <w:t xml:space="preserve"> – Change in refractive error (D). </w:t>
      </w:r>
    </w:p>
    <w:p w:rsidR="00972B4C" w:rsidRDefault="00972B4C" w:rsidP="00972B4C">
      <w:pPr>
        <w:spacing w:line="240" w:lineRule="auto"/>
        <w:rPr>
          <w:sz w:val="20"/>
          <w:szCs w:val="20"/>
          <w:lang w:val="en-GB"/>
        </w:rPr>
      </w:pPr>
    </w:p>
    <w:p w:rsidR="008B04AA" w:rsidRDefault="008B04AA" w:rsidP="00972B4C">
      <w:pPr>
        <w:spacing w:line="240" w:lineRule="auto"/>
        <w:rPr>
          <w:sz w:val="20"/>
          <w:szCs w:val="20"/>
          <w:lang w:val="en-GB"/>
        </w:rPr>
      </w:pPr>
      <w:r>
        <w:rPr>
          <w:sz w:val="20"/>
          <w:szCs w:val="20"/>
          <w:lang w:val="en-GB"/>
        </w:rPr>
        <w:t xml:space="preserve">35. </w:t>
      </w:r>
    </w:p>
    <w:p w:rsidR="00972B4C" w:rsidRDefault="00972B4C" w:rsidP="00972B4C">
      <w:pPr>
        <w:keepNext/>
        <w:keepLines/>
        <w:spacing w:before="40" w:after="0" w:line="480" w:lineRule="auto"/>
        <w:outlineLvl w:val="1"/>
        <w:rPr>
          <w:rFonts w:eastAsia="Times New Roman" w:cstheme="minorHAnsi"/>
          <w:b/>
          <w:bCs/>
          <w:i/>
          <w:noProof/>
          <w:lang w:eastAsia="el-GR"/>
        </w:rPr>
      </w:pPr>
      <w:r w:rsidRPr="003C0E1E">
        <w:rPr>
          <w:rFonts w:eastAsia="Times New Roman" w:cstheme="minorHAnsi"/>
          <w:b/>
          <w:bCs/>
          <w:i/>
          <w:noProof/>
          <w:lang w:eastAsia="el-GR"/>
        </w:rPr>
        <w:drawing>
          <wp:inline distT="0" distB="0" distL="0" distR="0" wp14:anchorId="583264E4" wp14:editId="20555346">
            <wp:extent cx="5274310" cy="81026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810260"/>
                    </a:xfrm>
                    <a:prstGeom prst="rect">
                      <a:avLst/>
                    </a:prstGeom>
                  </pic:spPr>
                </pic:pic>
              </a:graphicData>
            </a:graphic>
          </wp:inline>
        </w:drawing>
      </w:r>
    </w:p>
    <w:p w:rsidR="00972B4C" w:rsidRPr="004E5D3B" w:rsidRDefault="00972B4C" w:rsidP="004E5D3B">
      <w:pPr>
        <w:keepNext/>
        <w:keepLines/>
        <w:spacing w:before="40" w:after="0" w:line="240" w:lineRule="auto"/>
        <w:outlineLvl w:val="1"/>
        <w:rPr>
          <w:rFonts w:ascii="Arial" w:eastAsia="Times New Roman" w:hAnsi="Arial" w:cs="Arial"/>
          <w:b/>
          <w:bCs/>
          <w:i/>
          <w:sz w:val="16"/>
          <w:szCs w:val="16"/>
          <w:lang w:val="en-US" w:eastAsia="el-GR"/>
        </w:rPr>
      </w:pPr>
      <w:r w:rsidRPr="004E5D3B">
        <w:rPr>
          <w:rFonts w:ascii="Arial" w:eastAsia="Times New Roman" w:hAnsi="Arial" w:cs="Arial"/>
          <w:bCs/>
          <w:i/>
          <w:sz w:val="16"/>
          <w:szCs w:val="16"/>
          <w:lang w:val="en-US" w:eastAsia="el-GR"/>
        </w:rPr>
        <w:t>Progressive addition lenses (PALs) vs single vision lenses (SVLs).</w:t>
      </w:r>
      <w:r w:rsidRPr="004E5D3B">
        <w:rPr>
          <w:rFonts w:ascii="Arial" w:hAnsi="Arial" w:cs="Arial"/>
          <w:sz w:val="16"/>
          <w:szCs w:val="16"/>
          <w:lang w:val="en-GB"/>
        </w:rPr>
        <w:t xml:space="preserve"> </w:t>
      </w:r>
      <w:r w:rsidRPr="004E5D3B">
        <w:rPr>
          <w:rFonts w:ascii="Arial" w:eastAsia="Times New Roman" w:hAnsi="Arial" w:cs="Arial"/>
          <w:bCs/>
          <w:sz w:val="16"/>
          <w:szCs w:val="16"/>
          <w:lang w:val="en-GB" w:eastAsia="el-GR"/>
        </w:rPr>
        <w:t xml:space="preserve">Primary outcomes from baseline (1 year) – Change in axial length (mm). </w:t>
      </w:r>
      <w:r w:rsidRPr="004E5D3B">
        <w:rPr>
          <w:rFonts w:ascii="Arial" w:eastAsia="Times New Roman" w:hAnsi="Arial" w:cs="Arial"/>
          <w:bCs/>
          <w:i/>
          <w:sz w:val="16"/>
          <w:szCs w:val="16"/>
          <w:lang w:val="en-GB" w:eastAsia="el-GR"/>
        </w:rPr>
        <w:t xml:space="preserve"> </w:t>
      </w:r>
    </w:p>
    <w:p w:rsidR="00972B4C" w:rsidRDefault="00972B4C" w:rsidP="00972B4C">
      <w:pPr>
        <w:spacing w:line="240" w:lineRule="auto"/>
        <w:rPr>
          <w:sz w:val="20"/>
          <w:szCs w:val="20"/>
          <w:lang w:val="en-GB"/>
        </w:rPr>
      </w:pPr>
    </w:p>
    <w:p w:rsidR="008B04AA" w:rsidRDefault="008B04AA" w:rsidP="00972B4C">
      <w:pPr>
        <w:spacing w:line="240" w:lineRule="auto"/>
        <w:rPr>
          <w:sz w:val="20"/>
          <w:szCs w:val="20"/>
          <w:lang w:val="en-GB"/>
        </w:rPr>
      </w:pPr>
    </w:p>
    <w:p w:rsidR="008B04AA" w:rsidRDefault="008B04AA" w:rsidP="00972B4C">
      <w:pPr>
        <w:spacing w:line="240" w:lineRule="auto"/>
        <w:rPr>
          <w:sz w:val="20"/>
          <w:szCs w:val="20"/>
          <w:lang w:val="en-GB"/>
        </w:rPr>
      </w:pPr>
    </w:p>
    <w:p w:rsidR="008B04AA" w:rsidRDefault="008B04AA" w:rsidP="00972B4C">
      <w:pPr>
        <w:spacing w:line="240" w:lineRule="auto"/>
        <w:rPr>
          <w:sz w:val="20"/>
          <w:szCs w:val="20"/>
          <w:lang w:val="en-GB"/>
        </w:rPr>
      </w:pPr>
    </w:p>
    <w:p w:rsidR="008B04AA" w:rsidRDefault="008B04AA" w:rsidP="00972B4C">
      <w:pPr>
        <w:spacing w:line="240" w:lineRule="auto"/>
        <w:rPr>
          <w:sz w:val="20"/>
          <w:szCs w:val="20"/>
          <w:lang w:val="en-GB"/>
        </w:rPr>
      </w:pPr>
      <w:r>
        <w:rPr>
          <w:sz w:val="20"/>
          <w:szCs w:val="20"/>
          <w:lang w:val="en-GB"/>
        </w:rPr>
        <w:lastRenderedPageBreak/>
        <w:t>36.</w:t>
      </w:r>
    </w:p>
    <w:p w:rsidR="00972B4C" w:rsidRPr="004E5D3B" w:rsidRDefault="00972B4C" w:rsidP="00972B4C">
      <w:pPr>
        <w:spacing w:line="240" w:lineRule="auto"/>
        <w:rPr>
          <w:rFonts w:ascii="Arial" w:hAnsi="Arial" w:cs="Arial"/>
          <w:sz w:val="16"/>
          <w:szCs w:val="16"/>
          <w:lang w:val="en-GB"/>
        </w:rPr>
      </w:pPr>
      <w:r w:rsidRPr="004E5D3B">
        <w:rPr>
          <w:rFonts w:ascii="Arial" w:hAnsi="Arial" w:cs="Arial"/>
          <w:noProof/>
          <w:sz w:val="16"/>
          <w:szCs w:val="16"/>
          <w:lang w:eastAsia="el-GR"/>
        </w:rPr>
        <w:drawing>
          <wp:inline distT="0" distB="0" distL="0" distR="0" wp14:anchorId="0468731C" wp14:editId="3614A202">
            <wp:extent cx="5274310" cy="1050290"/>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4310" cy="1050290"/>
                    </a:xfrm>
                    <a:prstGeom prst="rect">
                      <a:avLst/>
                    </a:prstGeom>
                  </pic:spPr>
                </pic:pic>
              </a:graphicData>
            </a:graphic>
          </wp:inline>
        </w:drawing>
      </w:r>
    </w:p>
    <w:p w:rsidR="00972B4C" w:rsidRPr="004E5D3B" w:rsidRDefault="00972B4C" w:rsidP="00972B4C">
      <w:pPr>
        <w:spacing w:line="240" w:lineRule="auto"/>
        <w:rPr>
          <w:rFonts w:ascii="Arial" w:hAnsi="Arial" w:cs="Arial"/>
          <w:sz w:val="16"/>
          <w:szCs w:val="16"/>
          <w:lang w:val="en-GB"/>
        </w:rPr>
      </w:pPr>
      <w:r w:rsidRPr="004E5D3B">
        <w:rPr>
          <w:rFonts w:ascii="Arial" w:eastAsia="Times New Roman" w:hAnsi="Arial" w:cs="Arial"/>
          <w:bCs/>
          <w:i/>
          <w:sz w:val="16"/>
          <w:szCs w:val="16"/>
          <w:lang w:val="en-US" w:eastAsia="el-GR"/>
        </w:rPr>
        <w:t>Progressive addition lenses (PALs) vs single vision lenses (SVLs).</w:t>
      </w:r>
      <w:r w:rsidRPr="004E5D3B">
        <w:rPr>
          <w:rFonts w:ascii="Arial" w:hAnsi="Arial" w:cs="Arial"/>
          <w:sz w:val="16"/>
          <w:szCs w:val="16"/>
          <w:lang w:val="en-GB"/>
        </w:rPr>
        <w:t xml:space="preserve"> Primary outcomes from baseline </w:t>
      </w:r>
      <w:r w:rsidRPr="004E5D3B">
        <w:rPr>
          <w:rFonts w:ascii="Arial" w:hAnsi="Arial" w:cs="Arial"/>
          <w:sz w:val="16"/>
          <w:szCs w:val="16"/>
          <w:lang w:val="en-US"/>
        </w:rPr>
        <w:t>(2 years)</w:t>
      </w:r>
      <w:r w:rsidRPr="004E5D3B">
        <w:rPr>
          <w:rFonts w:ascii="Arial" w:hAnsi="Arial" w:cs="Arial"/>
          <w:sz w:val="16"/>
          <w:szCs w:val="16"/>
          <w:lang w:val="en-GB"/>
        </w:rPr>
        <w:t xml:space="preserve"> – Change in refractive error (D). </w:t>
      </w:r>
    </w:p>
    <w:p w:rsidR="00972B4C" w:rsidRDefault="00972B4C" w:rsidP="00972B4C">
      <w:pPr>
        <w:spacing w:line="240" w:lineRule="auto"/>
        <w:rPr>
          <w:sz w:val="20"/>
          <w:szCs w:val="20"/>
          <w:lang w:val="en-GB"/>
        </w:rPr>
      </w:pPr>
    </w:p>
    <w:p w:rsidR="008B04AA" w:rsidRPr="006B4501" w:rsidRDefault="008B04AA" w:rsidP="00972B4C">
      <w:pPr>
        <w:spacing w:line="240" w:lineRule="auto"/>
        <w:rPr>
          <w:sz w:val="20"/>
          <w:szCs w:val="20"/>
          <w:lang w:val="en-GB"/>
        </w:rPr>
      </w:pPr>
      <w:r>
        <w:rPr>
          <w:sz w:val="20"/>
          <w:szCs w:val="20"/>
          <w:lang w:val="en-GB"/>
        </w:rPr>
        <w:t xml:space="preserve">37. </w:t>
      </w:r>
    </w:p>
    <w:p w:rsidR="00972B4C" w:rsidRDefault="00972B4C" w:rsidP="00972B4C">
      <w:pPr>
        <w:keepNext/>
        <w:keepLines/>
        <w:spacing w:before="40" w:after="0" w:line="480" w:lineRule="auto"/>
        <w:outlineLvl w:val="1"/>
        <w:rPr>
          <w:rFonts w:eastAsia="Times New Roman" w:cstheme="minorHAnsi"/>
          <w:b/>
          <w:bCs/>
          <w:i/>
          <w:lang w:val="en-US" w:eastAsia="el-GR"/>
        </w:rPr>
      </w:pPr>
      <w:r w:rsidRPr="00841C51">
        <w:rPr>
          <w:rFonts w:eastAsia="Times New Roman" w:cstheme="minorHAnsi"/>
          <w:b/>
          <w:bCs/>
          <w:i/>
          <w:noProof/>
          <w:lang w:eastAsia="el-GR"/>
        </w:rPr>
        <w:drawing>
          <wp:inline distT="0" distB="0" distL="0" distR="0" wp14:anchorId="50980057" wp14:editId="7251ECBC">
            <wp:extent cx="5274310" cy="884555"/>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884555"/>
                    </a:xfrm>
                    <a:prstGeom prst="rect">
                      <a:avLst/>
                    </a:prstGeom>
                  </pic:spPr>
                </pic:pic>
              </a:graphicData>
            </a:graphic>
          </wp:inline>
        </w:drawing>
      </w:r>
    </w:p>
    <w:p w:rsidR="00972B4C" w:rsidRPr="004E5D3B" w:rsidRDefault="00972B4C" w:rsidP="004E5D3B">
      <w:pPr>
        <w:keepNext/>
        <w:keepLines/>
        <w:spacing w:before="40" w:after="0" w:line="240" w:lineRule="auto"/>
        <w:outlineLvl w:val="1"/>
        <w:rPr>
          <w:rFonts w:ascii="Arial" w:eastAsia="Times New Roman" w:hAnsi="Arial" w:cs="Arial"/>
          <w:bCs/>
          <w:i/>
          <w:sz w:val="16"/>
          <w:szCs w:val="16"/>
          <w:lang w:val="en-US" w:eastAsia="el-GR"/>
        </w:rPr>
      </w:pPr>
      <w:r w:rsidRPr="004E5D3B">
        <w:rPr>
          <w:rFonts w:ascii="Arial" w:eastAsia="Times New Roman" w:hAnsi="Arial" w:cs="Arial"/>
          <w:bCs/>
          <w:i/>
          <w:sz w:val="16"/>
          <w:szCs w:val="16"/>
          <w:lang w:val="en-US" w:eastAsia="el-GR"/>
        </w:rPr>
        <w:t>Progressive addition lenses (PALs) vs single vision lenses (SVLs).</w:t>
      </w:r>
      <w:r w:rsidRPr="004E5D3B">
        <w:rPr>
          <w:rFonts w:ascii="Arial" w:hAnsi="Arial" w:cs="Arial"/>
          <w:sz w:val="16"/>
          <w:szCs w:val="16"/>
          <w:lang w:val="en-GB"/>
        </w:rPr>
        <w:t xml:space="preserve"> </w:t>
      </w:r>
      <w:r w:rsidRPr="004E5D3B">
        <w:rPr>
          <w:rFonts w:ascii="Arial" w:eastAsia="Times New Roman" w:hAnsi="Arial" w:cs="Arial"/>
          <w:bCs/>
          <w:sz w:val="16"/>
          <w:szCs w:val="16"/>
          <w:lang w:val="en-GB" w:eastAsia="el-GR"/>
        </w:rPr>
        <w:t xml:space="preserve">Primary outcomes from baseline (2 years) – Change in axial length (mm). </w:t>
      </w:r>
    </w:p>
    <w:p w:rsidR="00D7124C" w:rsidRDefault="00D7124C" w:rsidP="00D7124C">
      <w:pPr>
        <w:rPr>
          <w:lang w:val="en-US"/>
        </w:rPr>
      </w:pPr>
    </w:p>
    <w:p w:rsidR="00C5406F" w:rsidRDefault="00C5406F" w:rsidP="00D7124C">
      <w:pPr>
        <w:rPr>
          <w:lang w:val="en-US"/>
        </w:rPr>
      </w:pPr>
    </w:p>
    <w:p w:rsidR="00C5406F" w:rsidRDefault="00C5406F" w:rsidP="00D7124C">
      <w:pPr>
        <w:rPr>
          <w:lang w:val="en-US"/>
        </w:rPr>
      </w:pPr>
    </w:p>
    <w:p w:rsidR="00C5406F" w:rsidRDefault="00C5406F" w:rsidP="00D7124C">
      <w:pPr>
        <w:rPr>
          <w:lang w:val="en-US"/>
        </w:rPr>
      </w:pPr>
    </w:p>
    <w:p w:rsidR="00972B4C" w:rsidRDefault="00972B4C" w:rsidP="00D7124C">
      <w:pPr>
        <w:rPr>
          <w:lang w:val="en-US"/>
        </w:rPr>
      </w:pPr>
    </w:p>
    <w:p w:rsidR="00C5406F" w:rsidRDefault="00C5406F" w:rsidP="00D7124C">
      <w:pPr>
        <w:rPr>
          <w:lang w:val="en-US"/>
        </w:rPr>
      </w:pPr>
    </w:p>
    <w:p w:rsidR="004E5D3B" w:rsidRDefault="004E5D3B" w:rsidP="00D7124C">
      <w:pPr>
        <w:rPr>
          <w:lang w:val="en-US"/>
        </w:rPr>
      </w:pPr>
    </w:p>
    <w:p w:rsidR="00C5406F" w:rsidRDefault="00C5406F" w:rsidP="00D7124C">
      <w:pPr>
        <w:rPr>
          <w:lang w:val="en-US"/>
        </w:rPr>
      </w:pPr>
    </w:p>
    <w:p w:rsidR="008B04AA" w:rsidRDefault="008B04AA" w:rsidP="00D7124C">
      <w:pPr>
        <w:rPr>
          <w:lang w:val="en-US"/>
        </w:rPr>
      </w:pPr>
    </w:p>
    <w:p w:rsidR="008B04AA" w:rsidRDefault="008B04AA" w:rsidP="00D7124C">
      <w:pPr>
        <w:rPr>
          <w:lang w:val="en-US"/>
        </w:rPr>
      </w:pPr>
    </w:p>
    <w:p w:rsidR="008B04AA" w:rsidRDefault="008B04AA" w:rsidP="00D7124C">
      <w:pPr>
        <w:rPr>
          <w:lang w:val="en-US"/>
        </w:rPr>
      </w:pPr>
    </w:p>
    <w:p w:rsidR="008B04AA" w:rsidRDefault="008B04AA" w:rsidP="00D7124C">
      <w:pPr>
        <w:rPr>
          <w:lang w:val="en-US"/>
        </w:rPr>
      </w:pPr>
    </w:p>
    <w:p w:rsidR="008B04AA" w:rsidRDefault="008B04AA" w:rsidP="00D7124C">
      <w:pPr>
        <w:rPr>
          <w:lang w:val="en-US"/>
        </w:rPr>
      </w:pPr>
    </w:p>
    <w:p w:rsidR="008B04AA" w:rsidRDefault="008B04AA" w:rsidP="00D7124C">
      <w:pPr>
        <w:rPr>
          <w:lang w:val="en-US"/>
        </w:rPr>
      </w:pPr>
    </w:p>
    <w:p w:rsidR="008B04AA" w:rsidRDefault="008B04AA" w:rsidP="00D7124C">
      <w:pPr>
        <w:rPr>
          <w:lang w:val="en-US"/>
        </w:rPr>
      </w:pPr>
    </w:p>
    <w:p w:rsidR="008B04AA" w:rsidRDefault="008B04AA" w:rsidP="00D7124C">
      <w:pPr>
        <w:rPr>
          <w:lang w:val="en-US"/>
        </w:rPr>
      </w:pPr>
    </w:p>
    <w:p w:rsidR="008B04AA" w:rsidRDefault="008B04AA" w:rsidP="00D7124C">
      <w:pPr>
        <w:rPr>
          <w:lang w:val="en-US"/>
        </w:rPr>
      </w:pPr>
    </w:p>
    <w:p w:rsidR="00DF0CB1" w:rsidRPr="002E3B34" w:rsidRDefault="00DF0CB1" w:rsidP="00DF0CB1">
      <w:pPr>
        <w:autoSpaceDE w:val="0"/>
        <w:autoSpaceDN w:val="0"/>
        <w:adjustRightInd w:val="0"/>
        <w:spacing w:after="0" w:line="240" w:lineRule="auto"/>
        <w:jc w:val="center"/>
        <w:rPr>
          <w:rFonts w:ascii="Arial" w:hAnsi="Arial" w:cs="Arial"/>
          <w:b/>
          <w:bCs/>
          <w:sz w:val="24"/>
          <w:szCs w:val="24"/>
          <w:lang w:val="en-US"/>
        </w:rPr>
      </w:pPr>
    </w:p>
    <w:p w:rsidR="00DF0CB1" w:rsidRPr="002E3B34" w:rsidRDefault="00DF0CB1" w:rsidP="00DF0CB1">
      <w:pPr>
        <w:autoSpaceDE w:val="0"/>
        <w:autoSpaceDN w:val="0"/>
        <w:adjustRightInd w:val="0"/>
        <w:spacing w:after="0" w:line="240" w:lineRule="auto"/>
        <w:jc w:val="center"/>
        <w:rPr>
          <w:rFonts w:ascii="Arial" w:hAnsi="Arial" w:cs="Arial"/>
          <w:b/>
          <w:bCs/>
          <w:sz w:val="24"/>
          <w:szCs w:val="24"/>
          <w:lang w:val="en-US"/>
        </w:rPr>
      </w:pPr>
    </w:p>
    <w:p w:rsidR="00DF0CB1" w:rsidRPr="00AB40AE" w:rsidRDefault="00DF0CB1" w:rsidP="00DF0CB1">
      <w:pPr>
        <w:autoSpaceDE w:val="0"/>
        <w:autoSpaceDN w:val="0"/>
        <w:adjustRightInd w:val="0"/>
        <w:spacing w:after="0" w:line="240" w:lineRule="auto"/>
        <w:jc w:val="center"/>
        <w:rPr>
          <w:rFonts w:cstheme="minorHAnsi"/>
          <w:b/>
          <w:bCs/>
          <w:sz w:val="24"/>
          <w:szCs w:val="24"/>
          <w:lang w:val="en-US"/>
        </w:rPr>
      </w:pPr>
      <w:r w:rsidRPr="00AB40AE">
        <w:rPr>
          <w:rFonts w:cstheme="minorHAnsi"/>
          <w:b/>
          <w:bCs/>
          <w:sz w:val="24"/>
          <w:szCs w:val="24"/>
          <w:lang w:val="en-US"/>
        </w:rPr>
        <w:lastRenderedPageBreak/>
        <w:t>Appendix 5</w:t>
      </w:r>
    </w:p>
    <w:p w:rsidR="00C5406F" w:rsidRPr="00AB40AE" w:rsidRDefault="00DF0CB1" w:rsidP="00DF0CB1">
      <w:pPr>
        <w:spacing w:line="240" w:lineRule="auto"/>
        <w:jc w:val="center"/>
        <w:rPr>
          <w:rFonts w:cstheme="minorHAnsi"/>
          <w:b/>
          <w:bCs/>
          <w:sz w:val="24"/>
          <w:szCs w:val="24"/>
          <w:lang w:val="en-US"/>
        </w:rPr>
      </w:pPr>
      <w:r w:rsidRPr="00AB40AE">
        <w:rPr>
          <w:rFonts w:cstheme="minorHAnsi"/>
          <w:b/>
          <w:bCs/>
          <w:sz w:val="24"/>
          <w:szCs w:val="24"/>
          <w:lang w:val="en-US"/>
        </w:rPr>
        <w:t>Forest plots of adverse events</w:t>
      </w:r>
    </w:p>
    <w:p w:rsidR="00DC375B" w:rsidRDefault="00DC375B" w:rsidP="008B04AA">
      <w:pPr>
        <w:spacing w:line="240" w:lineRule="auto"/>
        <w:rPr>
          <w:rFonts w:ascii="Arial" w:hAnsi="Arial" w:cs="Arial"/>
          <w:sz w:val="24"/>
          <w:szCs w:val="24"/>
          <w:lang w:val="en-US"/>
        </w:rPr>
      </w:pPr>
    </w:p>
    <w:p w:rsidR="008B04AA" w:rsidRPr="008B04AA" w:rsidRDefault="008B04AA" w:rsidP="008B04AA">
      <w:pPr>
        <w:pStyle w:val="ListParagraph"/>
        <w:numPr>
          <w:ilvl w:val="0"/>
          <w:numId w:val="44"/>
        </w:numPr>
        <w:spacing w:line="240" w:lineRule="auto"/>
        <w:rPr>
          <w:rFonts w:ascii="Arial" w:hAnsi="Arial" w:cs="Arial"/>
          <w:sz w:val="24"/>
          <w:szCs w:val="24"/>
          <w:lang w:val="en-US"/>
        </w:rPr>
      </w:pPr>
    </w:p>
    <w:p w:rsidR="00284E08" w:rsidRDefault="00284E08" w:rsidP="00284E08">
      <w:pPr>
        <w:keepNext/>
        <w:keepLines/>
        <w:spacing w:before="40" w:after="0" w:line="360" w:lineRule="auto"/>
        <w:outlineLvl w:val="1"/>
        <w:rPr>
          <w:rFonts w:eastAsia="Times New Roman" w:cstheme="minorHAnsi"/>
          <w:b/>
          <w:bCs/>
          <w:i/>
          <w:lang w:val="en-US" w:eastAsia="el-GR"/>
        </w:rPr>
      </w:pPr>
      <w:r w:rsidRPr="00C17952">
        <w:rPr>
          <w:rFonts w:eastAsia="Times New Roman" w:cstheme="minorHAnsi"/>
          <w:b/>
          <w:bCs/>
          <w:i/>
          <w:noProof/>
          <w:lang w:eastAsia="el-GR"/>
        </w:rPr>
        <w:drawing>
          <wp:inline distT="0" distB="0" distL="0" distR="0" wp14:anchorId="611CEF5F" wp14:editId="2E17FB2F">
            <wp:extent cx="5274310" cy="1083310"/>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4310" cy="1083310"/>
                    </a:xfrm>
                    <a:prstGeom prst="rect">
                      <a:avLst/>
                    </a:prstGeom>
                  </pic:spPr>
                </pic:pic>
              </a:graphicData>
            </a:graphic>
          </wp:inline>
        </w:drawing>
      </w:r>
    </w:p>
    <w:p w:rsidR="00284E08" w:rsidRPr="003B20F8" w:rsidRDefault="00284E08" w:rsidP="00284E08">
      <w:pPr>
        <w:spacing w:line="36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1% Atropine vs placebo.</w:t>
      </w:r>
      <w:r w:rsidRPr="003B20F8">
        <w:rPr>
          <w:rFonts w:ascii="Arial" w:eastAsia="Times New Roman" w:hAnsi="Arial" w:cs="Arial"/>
          <w:sz w:val="16"/>
          <w:szCs w:val="16"/>
          <w:lang w:val="en-US" w:eastAsia="el-GR"/>
        </w:rPr>
        <w:t xml:space="preserve"> Blurred near vision. </w:t>
      </w:r>
    </w:p>
    <w:p w:rsidR="00284E08" w:rsidRDefault="00284E08" w:rsidP="00284E08">
      <w:pPr>
        <w:rPr>
          <w:rFonts w:eastAsia="Times New Roman" w:cstheme="minorHAnsi"/>
          <w:sz w:val="20"/>
          <w:szCs w:val="20"/>
          <w:lang w:val="en-US" w:eastAsia="el-GR"/>
        </w:rPr>
      </w:pPr>
    </w:p>
    <w:p w:rsidR="008B04AA" w:rsidRPr="008B04AA" w:rsidRDefault="008B04AA" w:rsidP="008B04AA">
      <w:pPr>
        <w:pStyle w:val="ListParagraph"/>
        <w:numPr>
          <w:ilvl w:val="0"/>
          <w:numId w:val="44"/>
        </w:numPr>
        <w:rPr>
          <w:rFonts w:eastAsia="Times New Roman" w:cstheme="minorHAnsi"/>
          <w:sz w:val="20"/>
          <w:szCs w:val="20"/>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9F2A2F">
        <w:rPr>
          <w:rFonts w:eastAsia="Times New Roman" w:cstheme="minorHAnsi"/>
          <w:b/>
          <w:bCs/>
          <w:i/>
          <w:noProof/>
          <w:lang w:eastAsia="el-GR"/>
        </w:rPr>
        <w:drawing>
          <wp:inline distT="0" distB="0" distL="0" distR="0" wp14:anchorId="690C1496" wp14:editId="0F7EA885">
            <wp:extent cx="5274310" cy="1083310"/>
            <wp:effectExtent l="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4310" cy="1083310"/>
                    </a:xfrm>
                    <a:prstGeom prst="rect">
                      <a:avLst/>
                    </a:prstGeom>
                  </pic:spPr>
                </pic:pic>
              </a:graphicData>
            </a:graphic>
          </wp:inline>
        </w:drawing>
      </w:r>
    </w:p>
    <w:p w:rsidR="00284E08" w:rsidRPr="003B20F8" w:rsidRDefault="00284E08" w:rsidP="00284E08">
      <w:pPr>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1% Atropine vs placebo.</w:t>
      </w:r>
      <w:r w:rsidRPr="003B20F8">
        <w:rPr>
          <w:rFonts w:ascii="Arial" w:eastAsia="Times New Roman" w:hAnsi="Arial" w:cs="Arial"/>
          <w:sz w:val="16"/>
          <w:szCs w:val="16"/>
          <w:lang w:val="en-US" w:eastAsia="el-GR"/>
        </w:rPr>
        <w:t xml:space="preserve"> Allergic or hypersensitivity reactions or discomfort. </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076FEC">
        <w:rPr>
          <w:rFonts w:eastAsia="Times New Roman" w:cstheme="minorHAnsi"/>
          <w:b/>
          <w:bCs/>
          <w:i/>
          <w:noProof/>
          <w:lang w:eastAsia="el-GR"/>
        </w:rPr>
        <w:drawing>
          <wp:inline distT="0" distB="0" distL="0" distR="0" wp14:anchorId="0913AA9F" wp14:editId="528540FF">
            <wp:extent cx="5274310" cy="1084580"/>
            <wp:effectExtent l="0" t="0" r="254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Papillae/Follicles.</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076FEC">
        <w:rPr>
          <w:rFonts w:eastAsia="Times New Roman" w:cstheme="minorHAnsi"/>
          <w:b/>
          <w:bCs/>
          <w:i/>
          <w:noProof/>
          <w:lang w:eastAsia="el-GR"/>
        </w:rPr>
        <w:drawing>
          <wp:inline distT="0" distB="0" distL="0" distR="0" wp14:anchorId="5D1B490E" wp14:editId="7ACE96CB">
            <wp:extent cx="5274310" cy="1134745"/>
            <wp:effectExtent l="0" t="0" r="254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4310" cy="1134745"/>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Medication residue on eyelids or eye.</w:t>
      </w:r>
    </w:p>
    <w:p w:rsidR="00284E08" w:rsidRPr="008B04AA" w:rsidRDefault="00284E08"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076FEC">
        <w:rPr>
          <w:rFonts w:eastAsia="Times New Roman" w:cstheme="minorHAnsi"/>
          <w:b/>
          <w:bCs/>
          <w:i/>
          <w:noProof/>
          <w:lang w:eastAsia="el-GR"/>
        </w:rPr>
        <w:drawing>
          <wp:inline distT="0" distB="0" distL="0" distR="0" wp14:anchorId="627BDB7C" wp14:editId="44A01A0F">
            <wp:extent cx="5274310" cy="1084580"/>
            <wp:effectExtent l="0" t="0" r="254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eastAsia="el-GR"/>
        </w:rPr>
        <w:t>Abnormality of accommodation</w:t>
      </w:r>
      <w:r w:rsidRPr="003B20F8">
        <w:rPr>
          <w:rFonts w:ascii="Arial" w:eastAsia="Times New Roman" w:hAnsi="Arial" w:cs="Arial"/>
          <w:sz w:val="16"/>
          <w:szCs w:val="16"/>
          <w:lang w:val="en-US" w:eastAsia="el-GR"/>
        </w:rPr>
        <w:t>.</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076FEC">
        <w:rPr>
          <w:rFonts w:eastAsia="Times New Roman" w:cstheme="minorHAnsi"/>
          <w:b/>
          <w:bCs/>
          <w:i/>
          <w:noProof/>
          <w:lang w:eastAsia="el-GR"/>
        </w:rPr>
        <w:drawing>
          <wp:inline distT="0" distB="0" distL="0" distR="0" wp14:anchorId="4D148E82" wp14:editId="28AC01FF">
            <wp:extent cx="5274310" cy="1084580"/>
            <wp:effectExtent l="0" t="0" r="254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i/>
          <w:sz w:val="16"/>
          <w:szCs w:val="16"/>
          <w:lang w:val="en-US" w:eastAsia="el-GR"/>
        </w:rPr>
        <w:t>Pirenzepine.</w:t>
      </w:r>
      <w:r w:rsidRPr="003B20F8">
        <w:rPr>
          <w:rFonts w:ascii="Arial" w:eastAsia="Times New Roman" w:hAnsi="Arial" w:cs="Arial"/>
          <w:sz w:val="16"/>
          <w:szCs w:val="16"/>
          <w:lang w:val="en-US" w:eastAsia="el-GR"/>
        </w:rPr>
        <w:t xml:space="preserve"> Itching, eye. </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9F0D4C">
        <w:rPr>
          <w:rFonts w:eastAsia="Times New Roman" w:cstheme="minorHAnsi"/>
          <w:b/>
          <w:bCs/>
          <w:i/>
          <w:noProof/>
          <w:lang w:eastAsia="el-GR"/>
        </w:rPr>
        <w:drawing>
          <wp:inline distT="0" distB="0" distL="0" distR="0" wp14:anchorId="69D55546" wp14:editId="38353CC4">
            <wp:extent cx="5274310" cy="1084580"/>
            <wp:effectExtent l="0" t="0" r="254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Visual acuity decreased (subjectively).</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9F0D4C">
        <w:rPr>
          <w:rFonts w:eastAsia="Times New Roman" w:cstheme="minorHAnsi"/>
          <w:b/>
          <w:bCs/>
          <w:i/>
          <w:noProof/>
          <w:lang w:eastAsia="el-GR"/>
        </w:rPr>
        <w:drawing>
          <wp:inline distT="0" distB="0" distL="0" distR="0" wp14:anchorId="6D68F8FA" wp14:editId="6F247D7D">
            <wp:extent cx="5274310" cy="1084580"/>
            <wp:effectExtent l="0" t="0" r="254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Injection.</w:t>
      </w:r>
    </w:p>
    <w:p w:rsidR="00284E08" w:rsidRDefault="00284E08" w:rsidP="00284E08">
      <w:pPr>
        <w:spacing w:after="0" w:line="240" w:lineRule="auto"/>
        <w:rPr>
          <w:rFonts w:eastAsia="Times New Roman" w:cstheme="minorHAnsi"/>
          <w:sz w:val="20"/>
          <w:szCs w:val="20"/>
          <w:lang w:val="en-US" w:eastAsia="el-GR"/>
        </w:rPr>
      </w:pPr>
    </w:p>
    <w:p w:rsidR="00284E08" w:rsidRDefault="00284E08" w:rsidP="00284E08">
      <w:pPr>
        <w:spacing w:after="0" w:line="240" w:lineRule="auto"/>
        <w:rPr>
          <w:rFonts w:eastAsia="Times New Roman" w:cstheme="minorHAnsi"/>
          <w:sz w:val="20"/>
          <w:szCs w:val="20"/>
          <w:lang w:val="en-US" w:eastAsia="el-GR"/>
        </w:rPr>
      </w:pPr>
    </w:p>
    <w:p w:rsidR="008B04AA" w:rsidRDefault="008B04AA" w:rsidP="00284E08">
      <w:pPr>
        <w:spacing w:after="0" w:line="240" w:lineRule="auto"/>
        <w:rPr>
          <w:rFonts w:eastAsia="Times New Roman" w:cstheme="minorHAnsi"/>
          <w:sz w:val="20"/>
          <w:szCs w:val="20"/>
          <w:lang w:val="en-US" w:eastAsia="el-GR"/>
        </w:rPr>
      </w:pPr>
    </w:p>
    <w:p w:rsidR="008B04AA" w:rsidRDefault="008B04AA" w:rsidP="00284E08">
      <w:pPr>
        <w:spacing w:after="0" w:line="240" w:lineRule="auto"/>
        <w:rPr>
          <w:rFonts w:eastAsia="Times New Roman" w:cstheme="minorHAnsi"/>
          <w:sz w:val="20"/>
          <w:szCs w:val="20"/>
          <w:lang w:val="en-US" w:eastAsia="el-GR"/>
        </w:rPr>
      </w:pPr>
    </w:p>
    <w:p w:rsidR="008B04AA" w:rsidRPr="008B04AA" w:rsidRDefault="008B04AA" w:rsidP="008B04AA">
      <w:pPr>
        <w:pStyle w:val="ListParagraph"/>
        <w:numPr>
          <w:ilvl w:val="0"/>
          <w:numId w:val="44"/>
        </w:numPr>
        <w:spacing w:after="0" w:line="240" w:lineRule="auto"/>
        <w:rPr>
          <w:rFonts w:eastAsia="Times New Roman" w:cstheme="minorHAnsi"/>
          <w:sz w:val="20"/>
          <w:szCs w:val="20"/>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9F0D4C">
        <w:rPr>
          <w:rFonts w:eastAsia="Times New Roman" w:cstheme="minorHAnsi"/>
          <w:b/>
          <w:bCs/>
          <w:i/>
          <w:noProof/>
          <w:lang w:eastAsia="el-GR"/>
        </w:rPr>
        <w:drawing>
          <wp:inline distT="0" distB="0" distL="0" distR="0" wp14:anchorId="65EF0930" wp14:editId="1E405C1E">
            <wp:extent cx="5274310" cy="1084580"/>
            <wp:effectExtent l="0" t="0" r="254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310" cy="1084580"/>
                    </a:xfrm>
                    <a:prstGeom prst="rect">
                      <a:avLst/>
                    </a:prstGeom>
                  </pic:spPr>
                </pic:pic>
              </a:graphicData>
            </a:graphic>
          </wp:inline>
        </w:drawing>
      </w:r>
    </w:p>
    <w:p w:rsidR="00284E08" w:rsidRDefault="00284E08" w:rsidP="003B20F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Fluorescein staining.</w:t>
      </w:r>
    </w:p>
    <w:p w:rsidR="008B04AA" w:rsidRDefault="008B04AA" w:rsidP="003B20F8">
      <w:pPr>
        <w:spacing w:after="0" w:line="240" w:lineRule="auto"/>
        <w:rPr>
          <w:rFonts w:ascii="Arial" w:eastAsia="Times New Roman" w:hAnsi="Arial" w:cs="Arial"/>
          <w:sz w:val="16"/>
          <w:szCs w:val="16"/>
          <w:lang w:val="en-US" w:eastAsia="el-GR"/>
        </w:rPr>
      </w:pPr>
    </w:p>
    <w:p w:rsidR="008B04AA" w:rsidRDefault="008B04AA" w:rsidP="003B20F8">
      <w:pPr>
        <w:spacing w:after="0" w:line="240" w:lineRule="auto"/>
        <w:rPr>
          <w:rFonts w:ascii="Arial" w:eastAsia="Times New Roman" w:hAnsi="Arial" w:cs="Arial"/>
          <w:sz w:val="16"/>
          <w:szCs w:val="16"/>
          <w:lang w:val="en-US" w:eastAsia="el-GR"/>
        </w:rPr>
      </w:pPr>
    </w:p>
    <w:p w:rsidR="008B04AA" w:rsidRPr="008B04AA" w:rsidRDefault="008B04AA" w:rsidP="008B04AA">
      <w:pPr>
        <w:pStyle w:val="ListParagraph"/>
        <w:numPr>
          <w:ilvl w:val="0"/>
          <w:numId w:val="44"/>
        </w:numPr>
        <w:spacing w:after="0" w:line="240" w:lineRule="auto"/>
        <w:rPr>
          <w:rFonts w:ascii="Arial" w:eastAsia="Times New Roman" w:hAnsi="Arial" w:cs="Arial"/>
          <w:sz w:val="16"/>
          <w:szCs w:val="16"/>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9F0D4C">
        <w:rPr>
          <w:rFonts w:eastAsia="Times New Roman" w:cstheme="minorHAnsi"/>
          <w:b/>
          <w:bCs/>
          <w:i/>
          <w:noProof/>
          <w:lang w:eastAsia="el-GR"/>
        </w:rPr>
        <w:drawing>
          <wp:inline distT="0" distB="0" distL="0" distR="0" wp14:anchorId="261AB109" wp14:editId="69065A58">
            <wp:extent cx="5274310" cy="1084580"/>
            <wp:effectExtent l="0" t="0" r="254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Burn/Sting, eye, on instillation.</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942CE8">
        <w:rPr>
          <w:rFonts w:eastAsia="Times New Roman" w:cstheme="minorHAnsi"/>
          <w:b/>
          <w:bCs/>
          <w:i/>
          <w:noProof/>
          <w:lang w:eastAsia="el-GR"/>
        </w:rPr>
        <w:drawing>
          <wp:inline distT="0" distB="0" distL="0" distR="0" wp14:anchorId="33C4C506" wp14:editId="1EC755F7">
            <wp:extent cx="5274310" cy="1084580"/>
            <wp:effectExtent l="0" t="0" r="254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Eye/Vision, blurred.</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942CE8">
        <w:rPr>
          <w:rFonts w:eastAsia="Times New Roman" w:cstheme="minorHAnsi"/>
          <w:b/>
          <w:bCs/>
          <w:i/>
          <w:noProof/>
          <w:lang w:eastAsia="el-GR"/>
        </w:rPr>
        <w:drawing>
          <wp:inline distT="0" distB="0" distL="0" distR="0" wp14:anchorId="6039B5F3" wp14:editId="21062796">
            <wp:extent cx="5274310" cy="986155"/>
            <wp:effectExtent l="0" t="0" r="254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4310" cy="986155"/>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i/>
          <w:sz w:val="16"/>
          <w:szCs w:val="16"/>
          <w:lang w:val="en-US" w:eastAsia="el-GR"/>
        </w:rPr>
        <w:t>Pirenzepine</w:t>
      </w:r>
      <w:r w:rsidRPr="003B20F8">
        <w:rPr>
          <w:rFonts w:ascii="Arial" w:eastAsia="Times New Roman" w:hAnsi="Arial" w:cs="Arial"/>
          <w:sz w:val="16"/>
          <w:szCs w:val="16"/>
          <w:lang w:val="en-US" w:eastAsia="el-GR"/>
        </w:rPr>
        <w:t>. Erythema, eyelids.</w:t>
      </w:r>
    </w:p>
    <w:p w:rsidR="00284E08" w:rsidRPr="008B04AA" w:rsidRDefault="00284E08"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Pr="00846A7B" w:rsidRDefault="00284E08" w:rsidP="00846A7B">
      <w:pPr>
        <w:keepNext/>
        <w:keepLines/>
        <w:spacing w:before="40" w:after="0" w:line="480" w:lineRule="auto"/>
        <w:outlineLvl w:val="1"/>
        <w:rPr>
          <w:rFonts w:eastAsia="Times New Roman" w:cstheme="minorHAnsi"/>
          <w:b/>
          <w:bCs/>
          <w:i/>
          <w:lang w:val="en-US" w:eastAsia="el-GR"/>
        </w:rPr>
      </w:pPr>
      <w:r w:rsidRPr="004862F3">
        <w:rPr>
          <w:rFonts w:eastAsia="Times New Roman" w:cstheme="minorHAnsi"/>
          <w:b/>
          <w:bCs/>
          <w:i/>
          <w:noProof/>
          <w:lang w:eastAsia="el-GR"/>
        </w:rPr>
        <w:drawing>
          <wp:inline distT="0" distB="0" distL="0" distR="0" wp14:anchorId="04296616" wp14:editId="433DFD22">
            <wp:extent cx="5274310" cy="986155"/>
            <wp:effectExtent l="0" t="0" r="254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74310" cy="986155"/>
                    </a:xfrm>
                    <a:prstGeom prst="rect">
                      <a:avLst/>
                    </a:prstGeom>
                  </pic:spPr>
                </pic:pic>
              </a:graphicData>
            </a:graphic>
          </wp:inline>
        </w:drawing>
      </w:r>
      <w:r w:rsidRPr="003B20F8">
        <w:rPr>
          <w:rFonts w:ascii="Arial" w:eastAsia="Times New Roman" w:hAnsi="Arial" w:cs="Arial"/>
          <w:i/>
          <w:sz w:val="16"/>
          <w:szCs w:val="16"/>
          <w:lang w:val="en-US" w:eastAsia="el-GR"/>
        </w:rPr>
        <w:t>Pirenzepine.</w:t>
      </w:r>
      <w:r w:rsidRPr="003B20F8">
        <w:rPr>
          <w:rFonts w:ascii="Arial" w:eastAsia="Times New Roman" w:hAnsi="Arial" w:cs="Arial"/>
          <w:sz w:val="16"/>
          <w:szCs w:val="16"/>
          <w:lang w:val="en-US" w:eastAsia="el-GR"/>
        </w:rPr>
        <w:t xml:space="preserve"> Eyelid abnormality.</w:t>
      </w:r>
    </w:p>
    <w:p w:rsidR="003B20F8" w:rsidRDefault="003B20F8" w:rsidP="00284E08">
      <w:pPr>
        <w:spacing w:after="0" w:line="240" w:lineRule="auto"/>
        <w:rPr>
          <w:rFonts w:ascii="Arial" w:eastAsia="Times New Roman" w:hAnsi="Arial" w:cs="Arial"/>
          <w:sz w:val="16"/>
          <w:szCs w:val="16"/>
          <w:lang w:val="en-US" w:eastAsia="el-GR"/>
        </w:rPr>
      </w:pPr>
    </w:p>
    <w:p w:rsidR="003B20F8" w:rsidRDefault="003B20F8" w:rsidP="00284E08">
      <w:pPr>
        <w:spacing w:after="0" w:line="240" w:lineRule="auto"/>
        <w:rPr>
          <w:rFonts w:ascii="Arial" w:eastAsia="Times New Roman" w:hAnsi="Arial" w:cs="Arial"/>
          <w:sz w:val="16"/>
          <w:szCs w:val="16"/>
          <w:lang w:val="en-US" w:eastAsia="el-GR"/>
        </w:rPr>
      </w:pPr>
    </w:p>
    <w:p w:rsidR="008B04AA" w:rsidRPr="008B04AA" w:rsidRDefault="008B04AA" w:rsidP="008B04AA">
      <w:pPr>
        <w:pStyle w:val="ListParagraph"/>
        <w:numPr>
          <w:ilvl w:val="0"/>
          <w:numId w:val="44"/>
        </w:numPr>
        <w:spacing w:after="0" w:line="240" w:lineRule="auto"/>
        <w:rPr>
          <w:rFonts w:ascii="Arial" w:eastAsia="Times New Roman" w:hAnsi="Arial" w:cs="Arial"/>
          <w:sz w:val="16"/>
          <w:szCs w:val="16"/>
          <w:lang w:val="en-US" w:eastAsia="el-GR"/>
        </w:rPr>
      </w:pPr>
    </w:p>
    <w:p w:rsidR="00284E08" w:rsidRPr="00846A7B" w:rsidRDefault="00284E08" w:rsidP="00846A7B">
      <w:pPr>
        <w:keepNext/>
        <w:keepLines/>
        <w:spacing w:before="40" w:after="0" w:line="480" w:lineRule="auto"/>
        <w:outlineLvl w:val="1"/>
        <w:rPr>
          <w:rFonts w:eastAsia="Times New Roman" w:cstheme="minorHAnsi"/>
          <w:b/>
          <w:bCs/>
          <w:i/>
          <w:lang w:val="en-US" w:eastAsia="el-GR"/>
        </w:rPr>
      </w:pPr>
      <w:r w:rsidRPr="004862F3">
        <w:rPr>
          <w:rFonts w:eastAsia="Times New Roman" w:cstheme="minorHAnsi"/>
          <w:b/>
          <w:bCs/>
          <w:i/>
          <w:noProof/>
          <w:lang w:eastAsia="el-GR"/>
        </w:rPr>
        <w:drawing>
          <wp:inline distT="0" distB="0" distL="0" distR="0" wp14:anchorId="3C24E276" wp14:editId="6E108BED">
            <wp:extent cx="5274310" cy="986155"/>
            <wp:effectExtent l="0" t="0" r="254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74310" cy="986155"/>
                    </a:xfrm>
                    <a:prstGeom prst="rect">
                      <a:avLst/>
                    </a:prstGeom>
                  </pic:spPr>
                </pic:pic>
              </a:graphicData>
            </a:graphic>
          </wp:inline>
        </w:drawing>
      </w: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Photophobia.</w:t>
      </w:r>
    </w:p>
    <w:p w:rsidR="008B04AA" w:rsidRDefault="008B04AA" w:rsidP="003B20F8">
      <w:pPr>
        <w:spacing w:after="0" w:line="240" w:lineRule="auto"/>
        <w:rPr>
          <w:rFonts w:ascii="Arial" w:eastAsia="Times New Roman" w:hAnsi="Arial" w:cs="Arial"/>
          <w:sz w:val="16"/>
          <w:szCs w:val="16"/>
          <w:lang w:val="en-US" w:eastAsia="el-GR"/>
        </w:rPr>
      </w:pPr>
    </w:p>
    <w:p w:rsidR="008B04AA" w:rsidRDefault="008B04AA" w:rsidP="003B20F8">
      <w:pPr>
        <w:spacing w:after="0" w:line="240" w:lineRule="auto"/>
        <w:rPr>
          <w:rFonts w:ascii="Arial" w:eastAsia="Times New Roman" w:hAnsi="Arial" w:cs="Arial"/>
          <w:sz w:val="16"/>
          <w:szCs w:val="16"/>
          <w:lang w:val="en-US" w:eastAsia="el-GR"/>
        </w:rPr>
      </w:pPr>
    </w:p>
    <w:p w:rsidR="008B04AA" w:rsidRPr="008B04AA" w:rsidRDefault="008B04AA" w:rsidP="008B04AA">
      <w:pPr>
        <w:pStyle w:val="ListParagraph"/>
        <w:numPr>
          <w:ilvl w:val="0"/>
          <w:numId w:val="44"/>
        </w:numPr>
        <w:spacing w:after="0" w:line="240" w:lineRule="auto"/>
        <w:rPr>
          <w:rFonts w:ascii="Arial" w:eastAsia="Times New Roman" w:hAnsi="Arial" w:cs="Arial"/>
          <w:sz w:val="16"/>
          <w:szCs w:val="16"/>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4862F3">
        <w:rPr>
          <w:rFonts w:eastAsia="Times New Roman" w:cstheme="minorHAnsi"/>
          <w:b/>
          <w:bCs/>
          <w:i/>
          <w:noProof/>
          <w:lang w:eastAsia="el-GR"/>
        </w:rPr>
        <w:drawing>
          <wp:inline distT="0" distB="0" distL="0" distR="0" wp14:anchorId="0BD4F2BF" wp14:editId="03712F61">
            <wp:extent cx="5274310" cy="986155"/>
            <wp:effectExtent l="0" t="0" r="254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4310" cy="986155"/>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Eye pai</w:t>
      </w:r>
      <w:r w:rsidRPr="003B20F8">
        <w:rPr>
          <w:rFonts w:ascii="Arial" w:eastAsia="Times New Roman" w:hAnsi="Arial" w:cs="Arial"/>
          <w:sz w:val="16"/>
          <w:szCs w:val="16"/>
          <w:lang w:eastAsia="el-GR"/>
        </w:rPr>
        <w:t>n</w:t>
      </w:r>
      <w:r w:rsidRPr="003B20F8">
        <w:rPr>
          <w:rFonts w:ascii="Arial" w:eastAsia="Times New Roman" w:hAnsi="Arial" w:cs="Arial"/>
          <w:sz w:val="16"/>
          <w:szCs w:val="16"/>
          <w:lang w:val="en-US" w:eastAsia="el-GR"/>
        </w:rPr>
        <w:t>.</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4862F3">
        <w:rPr>
          <w:rFonts w:eastAsia="Times New Roman" w:cstheme="minorHAnsi"/>
          <w:b/>
          <w:bCs/>
          <w:i/>
          <w:noProof/>
          <w:lang w:eastAsia="el-GR"/>
        </w:rPr>
        <w:drawing>
          <wp:inline distT="0" distB="0" distL="0" distR="0" wp14:anchorId="2833533D" wp14:editId="540D0B13">
            <wp:extent cx="5274310" cy="1084580"/>
            <wp:effectExtent l="0" t="0" r="254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eastAsia="el-GR"/>
        </w:rPr>
        <w:t>Cough increased</w:t>
      </w:r>
      <w:r w:rsidRPr="003B20F8">
        <w:rPr>
          <w:rFonts w:ascii="Arial" w:eastAsia="Times New Roman" w:hAnsi="Arial" w:cs="Arial"/>
          <w:sz w:val="16"/>
          <w:szCs w:val="16"/>
          <w:lang w:val="en-US" w:eastAsia="el-GR"/>
        </w:rPr>
        <w:t>.</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6F42AD">
        <w:rPr>
          <w:rFonts w:eastAsia="Times New Roman" w:cstheme="minorHAnsi"/>
          <w:b/>
          <w:bCs/>
          <w:i/>
          <w:noProof/>
          <w:lang w:eastAsia="el-GR"/>
        </w:rPr>
        <w:drawing>
          <wp:inline distT="0" distB="0" distL="0" distR="0" wp14:anchorId="136EAF6C" wp14:editId="184C7BB5">
            <wp:extent cx="5274310" cy="986155"/>
            <wp:effectExtent l="0" t="0" r="254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274310" cy="986155"/>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 xml:space="preserve">Infection, respiratory. </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692CDD">
        <w:rPr>
          <w:rFonts w:eastAsia="Times New Roman" w:cstheme="minorHAnsi"/>
          <w:b/>
          <w:bCs/>
          <w:i/>
          <w:noProof/>
          <w:lang w:eastAsia="el-GR"/>
        </w:rPr>
        <w:drawing>
          <wp:inline distT="0" distB="0" distL="0" distR="0" wp14:anchorId="49328E71" wp14:editId="338F6E07">
            <wp:extent cx="5274310" cy="1084580"/>
            <wp:effectExtent l="0" t="0" r="254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74310" cy="1084580"/>
                    </a:xfrm>
                    <a:prstGeom prst="rect">
                      <a:avLst/>
                    </a:prstGeom>
                  </pic:spPr>
                </pic:pic>
              </a:graphicData>
            </a:graphic>
          </wp:inline>
        </w:drawing>
      </w:r>
    </w:p>
    <w:p w:rsidR="00284E0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Rhinitis/Sinusitis.</w:t>
      </w:r>
    </w:p>
    <w:p w:rsidR="003B20F8" w:rsidRDefault="003B20F8" w:rsidP="00284E08">
      <w:pPr>
        <w:spacing w:after="0" w:line="240" w:lineRule="auto"/>
        <w:rPr>
          <w:rFonts w:ascii="Arial" w:eastAsia="Times New Roman" w:hAnsi="Arial" w:cs="Arial"/>
          <w:sz w:val="16"/>
          <w:szCs w:val="16"/>
          <w:lang w:val="en-US" w:eastAsia="el-GR"/>
        </w:rPr>
      </w:pPr>
    </w:p>
    <w:p w:rsidR="003B20F8" w:rsidRDefault="003B20F8" w:rsidP="00284E08">
      <w:pPr>
        <w:spacing w:after="0" w:line="240" w:lineRule="auto"/>
        <w:rPr>
          <w:rFonts w:ascii="Arial" w:eastAsia="Times New Roman" w:hAnsi="Arial" w:cs="Arial"/>
          <w:sz w:val="16"/>
          <w:szCs w:val="16"/>
          <w:lang w:val="en-US" w:eastAsia="el-GR"/>
        </w:rPr>
      </w:pPr>
    </w:p>
    <w:p w:rsidR="003B20F8" w:rsidRDefault="003B20F8" w:rsidP="00284E08">
      <w:pPr>
        <w:spacing w:after="0" w:line="240" w:lineRule="auto"/>
        <w:rPr>
          <w:rFonts w:ascii="Arial" w:eastAsia="Times New Roman" w:hAnsi="Arial" w:cs="Arial"/>
          <w:sz w:val="16"/>
          <w:szCs w:val="16"/>
          <w:lang w:val="en-US" w:eastAsia="el-GR"/>
        </w:rPr>
      </w:pPr>
    </w:p>
    <w:p w:rsidR="008B04AA" w:rsidRPr="008B04AA" w:rsidRDefault="008B04AA" w:rsidP="008B04AA">
      <w:pPr>
        <w:pStyle w:val="ListParagraph"/>
        <w:numPr>
          <w:ilvl w:val="0"/>
          <w:numId w:val="44"/>
        </w:numPr>
        <w:spacing w:after="0" w:line="240" w:lineRule="auto"/>
        <w:rPr>
          <w:rFonts w:ascii="Arial" w:eastAsia="Times New Roman" w:hAnsi="Arial" w:cs="Arial"/>
          <w:sz w:val="16"/>
          <w:szCs w:val="16"/>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C704DB">
        <w:rPr>
          <w:rFonts w:eastAsia="Times New Roman" w:cstheme="minorHAnsi"/>
          <w:b/>
          <w:bCs/>
          <w:i/>
          <w:noProof/>
          <w:lang w:eastAsia="el-GR"/>
        </w:rPr>
        <w:drawing>
          <wp:inline distT="0" distB="0" distL="0" distR="0" wp14:anchorId="207CC861" wp14:editId="6E1FEFCD">
            <wp:extent cx="5274310" cy="986155"/>
            <wp:effectExtent l="0" t="0" r="254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74310" cy="986155"/>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Fever.</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AF5C16">
        <w:rPr>
          <w:rFonts w:eastAsia="Times New Roman" w:cstheme="minorHAnsi"/>
          <w:b/>
          <w:bCs/>
          <w:i/>
          <w:noProof/>
          <w:lang w:eastAsia="el-GR"/>
        </w:rPr>
        <w:drawing>
          <wp:inline distT="0" distB="0" distL="0" distR="0" wp14:anchorId="5A3F7F03" wp14:editId="50F87386">
            <wp:extent cx="5274310" cy="1084580"/>
            <wp:effectExtent l="0" t="0" r="254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i/>
          <w:sz w:val="16"/>
          <w:szCs w:val="16"/>
          <w:lang w:val="en-US" w:eastAsia="el-GR"/>
        </w:rPr>
        <w:t>Pirenzepine.</w:t>
      </w:r>
      <w:r w:rsidRPr="003B20F8">
        <w:rPr>
          <w:rFonts w:ascii="Arial" w:eastAsia="Times New Roman" w:hAnsi="Arial" w:cs="Arial"/>
          <w:sz w:val="16"/>
          <w:szCs w:val="16"/>
          <w:lang w:val="en-US" w:eastAsia="el-GR"/>
        </w:rPr>
        <w:t xml:space="preserve"> Abdominal pain.</w:t>
      </w:r>
    </w:p>
    <w:p w:rsidR="00284E08" w:rsidRPr="008B04AA" w:rsidRDefault="00284E08"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AF5C16">
        <w:rPr>
          <w:rFonts w:eastAsia="Times New Roman" w:cstheme="minorHAnsi"/>
          <w:b/>
          <w:bCs/>
          <w:i/>
          <w:noProof/>
          <w:lang w:eastAsia="el-GR"/>
        </w:rPr>
        <w:drawing>
          <wp:inline distT="0" distB="0" distL="0" distR="0" wp14:anchorId="6674C8EC" wp14:editId="294CFF7F">
            <wp:extent cx="5274310" cy="1084580"/>
            <wp:effectExtent l="0" t="0" r="254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274310" cy="1084580"/>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Headache.</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Pr="003B20F8" w:rsidRDefault="00284E08" w:rsidP="00284E08">
      <w:pPr>
        <w:keepNext/>
        <w:keepLines/>
        <w:spacing w:before="40" w:after="0" w:line="480" w:lineRule="auto"/>
        <w:outlineLvl w:val="1"/>
        <w:rPr>
          <w:rFonts w:ascii="Arial" w:eastAsia="Times New Roman" w:hAnsi="Arial" w:cs="Arial"/>
          <w:b/>
          <w:bCs/>
          <w:i/>
          <w:sz w:val="16"/>
          <w:szCs w:val="16"/>
          <w:lang w:val="en-US" w:eastAsia="el-GR"/>
        </w:rPr>
      </w:pPr>
      <w:r w:rsidRPr="003B20F8">
        <w:rPr>
          <w:rFonts w:ascii="Arial" w:eastAsia="Times New Roman" w:hAnsi="Arial" w:cs="Arial"/>
          <w:b/>
          <w:bCs/>
          <w:i/>
          <w:noProof/>
          <w:sz w:val="16"/>
          <w:szCs w:val="16"/>
          <w:lang w:eastAsia="el-GR"/>
        </w:rPr>
        <w:drawing>
          <wp:inline distT="0" distB="0" distL="0" distR="0" wp14:anchorId="09F264FC" wp14:editId="3318D3B7">
            <wp:extent cx="5274310" cy="986155"/>
            <wp:effectExtent l="0" t="0" r="254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274310" cy="986155"/>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Flu syndrome.</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AF5C16">
        <w:rPr>
          <w:rFonts w:eastAsia="Times New Roman" w:cstheme="minorHAnsi"/>
          <w:b/>
          <w:bCs/>
          <w:i/>
          <w:noProof/>
          <w:lang w:eastAsia="el-GR"/>
        </w:rPr>
        <w:drawing>
          <wp:inline distT="0" distB="0" distL="0" distR="0" wp14:anchorId="5A7EE7D9" wp14:editId="51915DE7">
            <wp:extent cx="5274310" cy="1084580"/>
            <wp:effectExtent l="0" t="0" r="254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274310" cy="1084580"/>
                    </a:xfrm>
                    <a:prstGeom prst="rect">
                      <a:avLst/>
                    </a:prstGeom>
                  </pic:spPr>
                </pic:pic>
              </a:graphicData>
            </a:graphic>
          </wp:inline>
        </w:drawing>
      </w:r>
    </w:p>
    <w:p w:rsidR="00284E0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 xml:space="preserve">Pharyngitis. </w:t>
      </w:r>
    </w:p>
    <w:p w:rsidR="003B20F8" w:rsidRDefault="003B20F8" w:rsidP="00284E08">
      <w:pPr>
        <w:spacing w:after="0" w:line="240" w:lineRule="auto"/>
        <w:rPr>
          <w:rFonts w:ascii="Arial" w:eastAsia="Times New Roman" w:hAnsi="Arial" w:cs="Arial"/>
          <w:sz w:val="16"/>
          <w:szCs w:val="16"/>
          <w:lang w:val="en-US" w:eastAsia="el-GR"/>
        </w:rPr>
      </w:pPr>
    </w:p>
    <w:p w:rsidR="003B20F8" w:rsidRDefault="003B20F8" w:rsidP="00284E08">
      <w:pPr>
        <w:spacing w:after="0" w:line="240" w:lineRule="auto"/>
        <w:rPr>
          <w:rFonts w:ascii="Arial" w:eastAsia="Times New Roman" w:hAnsi="Arial" w:cs="Arial"/>
          <w:sz w:val="16"/>
          <w:szCs w:val="16"/>
          <w:lang w:val="en-US" w:eastAsia="el-GR"/>
        </w:rPr>
      </w:pPr>
    </w:p>
    <w:p w:rsidR="008B04AA" w:rsidRPr="008B04AA" w:rsidRDefault="008B04AA" w:rsidP="008B04AA">
      <w:pPr>
        <w:pStyle w:val="ListParagraph"/>
        <w:numPr>
          <w:ilvl w:val="0"/>
          <w:numId w:val="44"/>
        </w:numPr>
        <w:spacing w:after="0" w:line="240" w:lineRule="auto"/>
        <w:rPr>
          <w:rFonts w:ascii="Arial" w:eastAsia="Times New Roman" w:hAnsi="Arial" w:cs="Arial"/>
          <w:sz w:val="16"/>
          <w:szCs w:val="16"/>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AF5C16">
        <w:rPr>
          <w:rFonts w:eastAsia="Times New Roman" w:cstheme="minorHAnsi"/>
          <w:b/>
          <w:bCs/>
          <w:i/>
          <w:noProof/>
          <w:lang w:eastAsia="el-GR"/>
        </w:rPr>
        <w:drawing>
          <wp:inline distT="0" distB="0" distL="0" distR="0" wp14:anchorId="50CC3A3D" wp14:editId="45E30F66">
            <wp:extent cx="5274310" cy="1084580"/>
            <wp:effectExtent l="0" t="0" r="254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274310" cy="1084580"/>
                    </a:xfrm>
                    <a:prstGeom prst="rect">
                      <a:avLst/>
                    </a:prstGeom>
                  </pic:spPr>
                </pic:pic>
              </a:graphicData>
            </a:graphic>
          </wp:inline>
        </w:drawing>
      </w:r>
    </w:p>
    <w:p w:rsidR="00284E08" w:rsidRPr="003B20F8" w:rsidRDefault="00284E08" w:rsidP="003B20F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 xml:space="preserve">Rash/Allergic reaction. </w:t>
      </w:r>
    </w:p>
    <w:p w:rsidR="00284E08" w:rsidRPr="008B04AA" w:rsidRDefault="00284E08" w:rsidP="008B04AA">
      <w:pPr>
        <w:pStyle w:val="ListParagraph"/>
        <w:keepNext/>
        <w:keepLines/>
        <w:numPr>
          <w:ilvl w:val="0"/>
          <w:numId w:val="44"/>
        </w:numPr>
        <w:spacing w:before="40" w:after="0" w:line="480" w:lineRule="auto"/>
        <w:outlineLvl w:val="1"/>
        <w:rPr>
          <w:rFonts w:eastAsia="Times New Roman" w:cstheme="minorHAnsi"/>
          <w:b/>
          <w:bCs/>
          <w:i/>
          <w:noProof/>
          <w:lang w:val="en-US" w:eastAsia="el-GR"/>
        </w:rPr>
      </w:pPr>
    </w:p>
    <w:p w:rsidR="008B04AA" w:rsidRPr="008B04AA" w:rsidRDefault="008B04AA" w:rsidP="008B04AA">
      <w:pPr>
        <w:keepNext/>
        <w:keepLines/>
        <w:spacing w:before="40" w:after="0" w:line="480" w:lineRule="auto"/>
        <w:outlineLvl w:val="1"/>
        <w:rPr>
          <w:rFonts w:eastAsia="Times New Roman" w:cstheme="minorHAnsi"/>
          <w:b/>
          <w:bCs/>
          <w:i/>
          <w:lang w:val="en-US" w:eastAsia="el-GR"/>
        </w:rPr>
      </w:pPr>
      <w:r w:rsidRPr="00122D81">
        <w:rPr>
          <w:rFonts w:eastAsia="Times New Roman" w:cstheme="minorHAnsi"/>
          <w:b/>
          <w:bCs/>
          <w:i/>
          <w:noProof/>
          <w:lang w:eastAsia="el-GR"/>
        </w:rPr>
        <w:drawing>
          <wp:inline distT="0" distB="0" distL="0" distR="0" wp14:anchorId="2BF24268" wp14:editId="07EA5FE2">
            <wp:extent cx="5274310" cy="986155"/>
            <wp:effectExtent l="0" t="0" r="254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74310" cy="986155"/>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 xml:space="preserve">Cold, common. </w:t>
      </w:r>
    </w:p>
    <w:p w:rsidR="00284E08" w:rsidRDefault="00284E08" w:rsidP="00284E08">
      <w:pPr>
        <w:keepNext/>
        <w:keepLines/>
        <w:spacing w:before="40" w:after="0" w:line="480" w:lineRule="auto"/>
        <w:outlineLvl w:val="1"/>
        <w:rPr>
          <w:rFonts w:eastAsia="Times New Roman" w:cstheme="minorHAnsi"/>
          <w:b/>
          <w:bCs/>
          <w:i/>
          <w:lang w:val="en-US" w:eastAsia="el-GR"/>
        </w:rPr>
      </w:pPr>
    </w:p>
    <w:p w:rsidR="008B04AA" w:rsidRPr="008B04AA" w:rsidRDefault="008B04AA" w:rsidP="008B04AA">
      <w:pPr>
        <w:pStyle w:val="ListParagraph"/>
        <w:keepNext/>
        <w:keepLines/>
        <w:numPr>
          <w:ilvl w:val="0"/>
          <w:numId w:val="44"/>
        </w:numPr>
        <w:spacing w:before="40" w:after="0" w:line="480" w:lineRule="auto"/>
        <w:outlineLvl w:val="1"/>
        <w:rPr>
          <w:rFonts w:eastAsia="Times New Roman" w:cstheme="minorHAnsi"/>
          <w:b/>
          <w:bCs/>
          <w:i/>
          <w:lang w:val="en-US" w:eastAsia="el-GR"/>
        </w:rPr>
      </w:pPr>
    </w:p>
    <w:p w:rsidR="00284E08" w:rsidRDefault="00284E08" w:rsidP="00284E08">
      <w:pPr>
        <w:keepNext/>
        <w:keepLines/>
        <w:spacing w:before="40" w:after="0" w:line="480" w:lineRule="auto"/>
        <w:outlineLvl w:val="1"/>
        <w:rPr>
          <w:rFonts w:eastAsia="Times New Roman" w:cstheme="minorHAnsi"/>
          <w:b/>
          <w:bCs/>
          <w:i/>
          <w:lang w:val="en-US" w:eastAsia="el-GR"/>
        </w:rPr>
      </w:pPr>
      <w:r w:rsidRPr="00122D81">
        <w:rPr>
          <w:rFonts w:eastAsia="Times New Roman" w:cstheme="minorHAnsi"/>
          <w:b/>
          <w:bCs/>
          <w:i/>
          <w:noProof/>
          <w:lang w:eastAsia="el-GR"/>
        </w:rPr>
        <w:drawing>
          <wp:inline distT="0" distB="0" distL="0" distR="0" wp14:anchorId="2DBA09FB" wp14:editId="551DA3BF">
            <wp:extent cx="5274310" cy="986155"/>
            <wp:effectExtent l="0" t="0" r="254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274310" cy="986155"/>
                    </a:xfrm>
                    <a:prstGeom prst="rect">
                      <a:avLst/>
                    </a:prstGeom>
                  </pic:spPr>
                </pic:pic>
              </a:graphicData>
            </a:graphic>
          </wp:inline>
        </w:drawing>
      </w:r>
    </w:p>
    <w:p w:rsidR="00284E08" w:rsidRPr="003B20F8" w:rsidRDefault="00284E08" w:rsidP="00284E08">
      <w:pPr>
        <w:spacing w:after="0"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Pirenzepine. </w:t>
      </w:r>
      <w:r w:rsidRPr="003B20F8">
        <w:rPr>
          <w:rFonts w:ascii="Arial" w:eastAsia="Times New Roman" w:hAnsi="Arial" w:cs="Arial"/>
          <w:sz w:val="16"/>
          <w:szCs w:val="16"/>
          <w:lang w:val="en-US" w:eastAsia="el-GR"/>
        </w:rPr>
        <w:t xml:space="preserve">Accidental injury. </w:t>
      </w:r>
    </w:p>
    <w:p w:rsidR="00284E08" w:rsidRDefault="00284E08" w:rsidP="00284E08">
      <w:pPr>
        <w:spacing w:after="0" w:line="240" w:lineRule="auto"/>
        <w:rPr>
          <w:rFonts w:eastAsia="Times New Roman" w:cstheme="minorHAnsi"/>
          <w:sz w:val="20"/>
          <w:szCs w:val="20"/>
          <w:lang w:val="en-US" w:eastAsia="el-GR"/>
        </w:rPr>
      </w:pPr>
    </w:p>
    <w:p w:rsidR="00284E08" w:rsidRDefault="00284E08" w:rsidP="00284E08">
      <w:pPr>
        <w:spacing w:after="0" w:line="240" w:lineRule="auto"/>
        <w:rPr>
          <w:rFonts w:eastAsia="Times New Roman" w:cstheme="minorHAnsi"/>
          <w:sz w:val="20"/>
          <w:szCs w:val="20"/>
          <w:lang w:val="en-US" w:eastAsia="el-GR"/>
        </w:rPr>
      </w:pPr>
    </w:p>
    <w:p w:rsidR="00284E08" w:rsidRPr="008B04AA" w:rsidRDefault="00284E08" w:rsidP="008B04AA">
      <w:pPr>
        <w:pStyle w:val="ListParagraph"/>
        <w:numPr>
          <w:ilvl w:val="0"/>
          <w:numId w:val="44"/>
        </w:numPr>
        <w:spacing w:after="0" w:line="240" w:lineRule="auto"/>
        <w:rPr>
          <w:rFonts w:eastAsia="Times New Roman" w:cstheme="minorHAnsi"/>
          <w:sz w:val="20"/>
          <w:szCs w:val="20"/>
          <w:lang w:val="en-US" w:eastAsia="el-GR"/>
        </w:rPr>
      </w:pPr>
    </w:p>
    <w:p w:rsidR="00284E08" w:rsidRDefault="00284E08" w:rsidP="00284E08">
      <w:pPr>
        <w:spacing w:after="0" w:line="360" w:lineRule="auto"/>
        <w:rPr>
          <w:rFonts w:eastAsia="Times New Roman" w:cstheme="minorHAnsi"/>
          <w:sz w:val="20"/>
          <w:szCs w:val="20"/>
          <w:lang w:val="en-US" w:eastAsia="el-GR"/>
        </w:rPr>
      </w:pPr>
      <w:r w:rsidRPr="00192649">
        <w:rPr>
          <w:rFonts w:eastAsiaTheme="majorEastAsia" w:cstheme="minorHAnsi"/>
          <w:b/>
          <w:i/>
          <w:noProof/>
          <w:color w:val="C00000"/>
          <w:sz w:val="24"/>
          <w:szCs w:val="24"/>
          <w:lang w:eastAsia="el-GR"/>
        </w:rPr>
        <w:drawing>
          <wp:inline distT="0" distB="0" distL="0" distR="0" wp14:anchorId="6D1FADC0" wp14:editId="73599702">
            <wp:extent cx="5274310" cy="9315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274310" cy="931545"/>
                    </a:xfrm>
                    <a:prstGeom prst="rect">
                      <a:avLst/>
                    </a:prstGeom>
                  </pic:spPr>
                </pic:pic>
              </a:graphicData>
            </a:graphic>
          </wp:inline>
        </w:drawing>
      </w:r>
    </w:p>
    <w:p w:rsidR="00284E08" w:rsidRPr="003B20F8" w:rsidRDefault="00284E08" w:rsidP="003B20F8">
      <w:pPr>
        <w:spacing w:line="24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Concentric ring bifocal soft contact lenses.</w:t>
      </w:r>
      <w:r w:rsidRPr="003B20F8">
        <w:rPr>
          <w:rFonts w:ascii="Arial" w:eastAsia="Times New Roman" w:hAnsi="Arial" w:cs="Arial"/>
          <w:bCs/>
          <w:sz w:val="16"/>
          <w:szCs w:val="16"/>
          <w:lang w:val="en-US" w:eastAsia="el-GR"/>
        </w:rPr>
        <w:t xml:space="preserve"> </w:t>
      </w:r>
      <w:r w:rsidRPr="003B20F8">
        <w:rPr>
          <w:rFonts w:ascii="Arial" w:eastAsia="Times New Roman" w:hAnsi="Arial" w:cs="Arial"/>
          <w:sz w:val="16"/>
          <w:szCs w:val="16"/>
          <w:lang w:val="en-US" w:eastAsia="el-GR"/>
        </w:rPr>
        <w:t>Contact lens-related discomfort/Unwillingness to wear contact lenses</w:t>
      </w:r>
      <w:r w:rsidR="003B20F8">
        <w:rPr>
          <w:rFonts w:ascii="Arial" w:eastAsia="Times New Roman" w:hAnsi="Arial" w:cs="Arial"/>
          <w:sz w:val="16"/>
          <w:szCs w:val="16"/>
          <w:lang w:val="en-US" w:eastAsia="el-GR"/>
        </w:rPr>
        <w:t xml:space="preserve">. </w:t>
      </w:r>
    </w:p>
    <w:p w:rsidR="00284E08" w:rsidRDefault="00284E08" w:rsidP="00284E08">
      <w:pPr>
        <w:spacing w:after="0" w:line="240" w:lineRule="auto"/>
        <w:rPr>
          <w:rFonts w:ascii="Times New Roman" w:eastAsia="Times New Roman" w:hAnsi="Times New Roman" w:cs="Times New Roman"/>
          <w:b/>
          <w:bCs/>
          <w:sz w:val="36"/>
          <w:szCs w:val="36"/>
          <w:lang w:val="en-US" w:eastAsia="el-GR"/>
        </w:rPr>
      </w:pPr>
    </w:p>
    <w:p w:rsidR="008B04AA" w:rsidRPr="008B04AA" w:rsidRDefault="008B04AA" w:rsidP="008B04AA">
      <w:pPr>
        <w:pStyle w:val="ListParagraph"/>
        <w:numPr>
          <w:ilvl w:val="0"/>
          <w:numId w:val="44"/>
        </w:numPr>
        <w:spacing w:after="0" w:line="240" w:lineRule="auto"/>
        <w:rPr>
          <w:rFonts w:ascii="Times New Roman" w:eastAsia="Times New Roman" w:hAnsi="Times New Roman" w:cs="Times New Roman"/>
          <w:b/>
          <w:bCs/>
          <w:sz w:val="36"/>
          <w:szCs w:val="36"/>
          <w:lang w:val="en-US" w:eastAsia="el-GR"/>
        </w:rPr>
      </w:pPr>
    </w:p>
    <w:p w:rsidR="00284E08" w:rsidRDefault="00284E08" w:rsidP="00284E08">
      <w:pPr>
        <w:spacing w:after="0" w:line="360" w:lineRule="auto"/>
        <w:rPr>
          <w:rFonts w:eastAsia="Times New Roman" w:cstheme="minorHAnsi"/>
          <w:sz w:val="20"/>
          <w:szCs w:val="20"/>
          <w:lang w:val="en-US" w:eastAsia="el-GR"/>
        </w:rPr>
      </w:pPr>
      <w:r w:rsidRPr="002C76ED">
        <w:rPr>
          <w:rFonts w:eastAsia="Times New Roman" w:cstheme="minorHAnsi"/>
          <w:b/>
          <w:bCs/>
          <w:i/>
          <w:noProof/>
          <w:lang w:eastAsia="el-GR"/>
        </w:rPr>
        <w:drawing>
          <wp:inline distT="0" distB="0" distL="0" distR="0" wp14:anchorId="4F031618" wp14:editId="447385FD">
            <wp:extent cx="5274310" cy="1102995"/>
            <wp:effectExtent l="0" t="0" r="254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274310" cy="1102995"/>
                    </a:xfrm>
                    <a:prstGeom prst="rect">
                      <a:avLst/>
                    </a:prstGeom>
                  </pic:spPr>
                </pic:pic>
              </a:graphicData>
            </a:graphic>
          </wp:inline>
        </w:drawing>
      </w:r>
    </w:p>
    <w:p w:rsidR="00284E08" w:rsidRDefault="00284E08" w:rsidP="00284E08">
      <w:pPr>
        <w:spacing w:line="360" w:lineRule="auto"/>
        <w:rPr>
          <w:rFonts w:ascii="Arial" w:eastAsia="Times New Roman" w:hAnsi="Arial" w:cs="Arial"/>
          <w:sz w:val="16"/>
          <w:szCs w:val="16"/>
          <w:lang w:val="en-US" w:eastAsia="el-GR"/>
        </w:rPr>
      </w:pPr>
      <w:r w:rsidRPr="003B20F8">
        <w:rPr>
          <w:rFonts w:ascii="Arial" w:eastAsia="Times New Roman" w:hAnsi="Arial" w:cs="Arial"/>
          <w:bCs/>
          <w:i/>
          <w:sz w:val="16"/>
          <w:szCs w:val="16"/>
          <w:lang w:val="en-US" w:eastAsia="el-GR"/>
        </w:rPr>
        <w:t xml:space="preserve">Orthokeratology. </w:t>
      </w:r>
      <w:r w:rsidRPr="003B20F8">
        <w:rPr>
          <w:rFonts w:ascii="Arial" w:eastAsia="Times New Roman" w:hAnsi="Arial" w:cs="Arial"/>
          <w:sz w:val="16"/>
          <w:szCs w:val="16"/>
          <w:lang w:val="en-US" w:eastAsia="el-GR"/>
        </w:rPr>
        <w:t xml:space="preserve">Mild corneal erosion. </w:t>
      </w:r>
    </w:p>
    <w:p w:rsidR="00C83F55" w:rsidRDefault="00C83F55" w:rsidP="00284E08">
      <w:pPr>
        <w:spacing w:line="360" w:lineRule="auto"/>
        <w:rPr>
          <w:rFonts w:ascii="Arial" w:eastAsia="Times New Roman" w:hAnsi="Arial" w:cs="Arial"/>
          <w:sz w:val="16"/>
          <w:szCs w:val="16"/>
          <w:lang w:val="en-US" w:eastAsia="el-GR"/>
        </w:rPr>
      </w:pPr>
    </w:p>
    <w:p w:rsidR="00C83F55" w:rsidRDefault="00C83F55" w:rsidP="00284E08">
      <w:pPr>
        <w:spacing w:line="360" w:lineRule="auto"/>
        <w:rPr>
          <w:rFonts w:ascii="Arial" w:eastAsia="Times New Roman" w:hAnsi="Arial" w:cs="Arial"/>
          <w:sz w:val="16"/>
          <w:szCs w:val="16"/>
          <w:lang w:val="en-US" w:eastAsia="el-GR"/>
        </w:rPr>
      </w:pPr>
    </w:p>
    <w:p w:rsidR="00C83F55" w:rsidRDefault="00C83F55" w:rsidP="00284E08">
      <w:pPr>
        <w:spacing w:line="360" w:lineRule="auto"/>
        <w:rPr>
          <w:rFonts w:ascii="Arial" w:eastAsia="Times New Roman" w:hAnsi="Arial" w:cs="Arial"/>
          <w:sz w:val="16"/>
          <w:szCs w:val="16"/>
          <w:lang w:val="en-US" w:eastAsia="el-GR"/>
        </w:rPr>
      </w:pPr>
    </w:p>
    <w:p w:rsidR="008B04AA" w:rsidRPr="003B20F8" w:rsidRDefault="008B04AA" w:rsidP="00284E08">
      <w:pPr>
        <w:spacing w:line="360" w:lineRule="auto"/>
        <w:rPr>
          <w:rFonts w:ascii="Arial" w:eastAsia="Times New Roman" w:hAnsi="Arial" w:cs="Arial"/>
          <w:sz w:val="16"/>
          <w:szCs w:val="16"/>
          <w:lang w:val="en-US" w:eastAsia="el-GR"/>
        </w:rPr>
      </w:pPr>
    </w:p>
    <w:p w:rsidR="00C5406F" w:rsidRDefault="00C5406F" w:rsidP="00D7124C">
      <w:pPr>
        <w:rPr>
          <w:lang w:val="en-US"/>
        </w:rPr>
      </w:pPr>
    </w:p>
    <w:p w:rsidR="00DC375B" w:rsidRPr="00AB40AE" w:rsidRDefault="00DC375B" w:rsidP="00DC375B">
      <w:pPr>
        <w:autoSpaceDE w:val="0"/>
        <w:autoSpaceDN w:val="0"/>
        <w:adjustRightInd w:val="0"/>
        <w:spacing w:after="0" w:line="240" w:lineRule="auto"/>
        <w:jc w:val="center"/>
        <w:rPr>
          <w:rFonts w:cstheme="minorHAnsi"/>
          <w:b/>
          <w:bCs/>
          <w:sz w:val="24"/>
          <w:szCs w:val="24"/>
          <w:lang w:val="en-US"/>
        </w:rPr>
      </w:pPr>
      <w:r w:rsidRPr="00AB40AE">
        <w:rPr>
          <w:rFonts w:cstheme="minorHAnsi"/>
          <w:b/>
          <w:bCs/>
          <w:sz w:val="24"/>
          <w:szCs w:val="24"/>
          <w:lang w:val="en-US"/>
        </w:rPr>
        <w:lastRenderedPageBreak/>
        <w:t>Appendix 6</w:t>
      </w:r>
    </w:p>
    <w:p w:rsidR="007C1DED" w:rsidRPr="00AB40AE" w:rsidRDefault="00DC375B" w:rsidP="00DC375B">
      <w:pPr>
        <w:spacing w:line="240" w:lineRule="auto"/>
        <w:jc w:val="center"/>
        <w:rPr>
          <w:rFonts w:cstheme="minorHAnsi"/>
          <w:sz w:val="24"/>
          <w:szCs w:val="24"/>
          <w:lang w:val="en-US"/>
        </w:rPr>
      </w:pPr>
      <w:r w:rsidRPr="00AB40AE">
        <w:rPr>
          <w:rFonts w:cstheme="minorHAnsi"/>
          <w:b/>
          <w:bCs/>
          <w:sz w:val="24"/>
          <w:szCs w:val="24"/>
          <w:lang w:val="en-US"/>
        </w:rPr>
        <w:t>GRADE Assessment of Overall Strength of Evidence</w:t>
      </w:r>
    </w:p>
    <w:p w:rsidR="00DC375B" w:rsidRDefault="00DC375B" w:rsidP="00270C1C">
      <w:pPr>
        <w:spacing w:line="140" w:lineRule="atLeast"/>
        <w:rPr>
          <w:lang w:val="en-US"/>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t>Outcome of interest</w:t>
      </w:r>
      <w:r w:rsidRPr="00270C1C">
        <w:rPr>
          <w:rFonts w:ascii="Arial Narrow" w:eastAsia="Times New Roman" w:hAnsi="Arial Narrow"/>
          <w:color w:val="000000"/>
          <w:sz w:val="20"/>
          <w:szCs w:val="20"/>
          <w:lang w:val="en-US" w:eastAsia="el-GR"/>
        </w:rPr>
        <w:t xml:space="preserve">: Undercorrected compared to fully-corrected spectacles for myopia control </w:t>
      </w:r>
    </w:p>
    <w:tbl>
      <w:tblPr>
        <w:tblW w:w="6236" w:type="pct"/>
        <w:tblInd w:w="-788"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64"/>
        <w:gridCol w:w="762"/>
        <w:gridCol w:w="534"/>
        <w:gridCol w:w="923"/>
        <w:gridCol w:w="836"/>
        <w:gridCol w:w="805"/>
        <w:gridCol w:w="979"/>
        <w:gridCol w:w="1010"/>
        <w:gridCol w:w="749"/>
        <w:gridCol w:w="604"/>
        <w:gridCol w:w="654"/>
        <w:gridCol w:w="1091"/>
        <w:gridCol w:w="836"/>
      </w:tblGrid>
      <w:tr w:rsidR="00270C1C" w:rsidRPr="00270C1C" w:rsidTr="00EF4B76">
        <w:trPr>
          <w:cantSplit/>
          <w:trHeight w:val="343"/>
          <w:tblHeader/>
        </w:trPr>
        <w:tc>
          <w:tcPr>
            <w:tcW w:w="2611"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850"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607"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527"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404"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rHeight w:val="883"/>
          <w:tblHeader/>
        </w:trPr>
        <w:tc>
          <w:tcPr>
            <w:tcW w:w="27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6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5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4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40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8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7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48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Undercorrected</w:t>
            </w:r>
          </w:p>
        </w:tc>
        <w:tc>
          <w:tcPr>
            <w:tcW w:w="36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fully-corrected spectacles</w:t>
            </w:r>
          </w:p>
        </w:tc>
        <w:tc>
          <w:tcPr>
            <w:tcW w:w="29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31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527"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404"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Height w:val="343"/>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4C28F5" w:rsidRPr="00270C1C" w:rsidTr="00EF4B76">
        <w:trPr>
          <w:cantSplit/>
          <w:trHeight w:val="1063"/>
        </w:trPr>
        <w:tc>
          <w:tcPr>
            <w:tcW w:w="2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6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4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0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4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8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72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70 </w:t>
            </w:r>
          </w:p>
        </w:tc>
        <w:tc>
          <w:tcPr>
            <w:tcW w:w="29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3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MD </w:t>
            </w:r>
            <w:r w:rsidRPr="00270C1C">
              <w:rPr>
                <w:rFonts w:ascii="Arial Narrow" w:eastAsia="Times New Roman" w:hAnsi="Arial Narrow"/>
                <w:b/>
                <w:bCs/>
                <w:sz w:val="13"/>
                <w:szCs w:val="13"/>
                <w:lang w:eastAsia="el-GR"/>
              </w:rPr>
              <w:t>0.15 higher</w:t>
            </w:r>
            <w:r w:rsidRPr="00270C1C">
              <w:rPr>
                <w:rFonts w:ascii="Arial Narrow" w:eastAsia="Times New Roman" w:hAnsi="Arial Narrow"/>
                <w:sz w:val="13"/>
                <w:szCs w:val="13"/>
                <w:lang w:eastAsia="el-GR"/>
              </w:rPr>
              <w:br/>
              <w:t xml:space="preserve">(0 to 0.29 higher) </w:t>
            </w:r>
          </w:p>
        </w:tc>
        <w:tc>
          <w:tcPr>
            <w:tcW w:w="52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0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Height w:val="343"/>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(2 years)</w:t>
            </w:r>
          </w:p>
        </w:tc>
      </w:tr>
      <w:tr w:rsidR="004C28F5" w:rsidRPr="00270C1C" w:rsidTr="00EF4B76">
        <w:trPr>
          <w:cantSplit/>
          <w:trHeight w:val="1227"/>
        </w:trPr>
        <w:tc>
          <w:tcPr>
            <w:tcW w:w="2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6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4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0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8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72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70 </w:t>
            </w:r>
          </w:p>
        </w:tc>
        <w:tc>
          <w:tcPr>
            <w:tcW w:w="29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3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 higher</w:t>
            </w:r>
            <w:r w:rsidRPr="00270C1C">
              <w:rPr>
                <w:rFonts w:ascii="Arial Narrow" w:eastAsia="Times New Roman" w:hAnsi="Arial Narrow"/>
                <w:sz w:val="13"/>
                <w:szCs w:val="13"/>
                <w:lang w:val="en-US" w:eastAsia="el-GR"/>
              </w:rPr>
              <w:br/>
              <w:t xml:space="preserve">(0.01 higher to 0.39 higher) </w:t>
            </w:r>
          </w:p>
        </w:tc>
        <w:tc>
          <w:tcPr>
            <w:tcW w:w="52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0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Height w:val="359"/>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w:t>
            </w:r>
          </w:p>
        </w:tc>
      </w:tr>
      <w:tr w:rsidR="004C28F5" w:rsidRPr="00270C1C" w:rsidTr="00EF4B76">
        <w:trPr>
          <w:cantSplit/>
          <w:trHeight w:val="1227"/>
        </w:trPr>
        <w:tc>
          <w:tcPr>
            <w:tcW w:w="2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6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4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0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b</w:t>
            </w:r>
          </w:p>
        </w:tc>
        <w:tc>
          <w:tcPr>
            <w:tcW w:w="4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8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47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47 </w:t>
            </w:r>
          </w:p>
        </w:tc>
        <w:tc>
          <w:tcPr>
            <w:tcW w:w="29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3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0.05 higher</w:t>
            </w:r>
            <w:r w:rsidRPr="00270C1C">
              <w:rPr>
                <w:rFonts w:ascii="Arial Narrow" w:eastAsia="Times New Roman" w:hAnsi="Arial Narrow"/>
                <w:sz w:val="13"/>
                <w:szCs w:val="13"/>
                <w:lang w:val="en-US" w:eastAsia="el-GR"/>
              </w:rPr>
              <w:br/>
              <w:t xml:space="preserve">(0.01 lower to 0.11 higher) </w:t>
            </w:r>
          </w:p>
        </w:tc>
        <w:tc>
          <w:tcPr>
            <w:tcW w:w="52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40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Height w:val="343"/>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w:t>
            </w:r>
          </w:p>
        </w:tc>
      </w:tr>
      <w:tr w:rsidR="004C28F5" w:rsidRPr="00270C1C" w:rsidTr="00EF4B76">
        <w:trPr>
          <w:cantSplit/>
          <w:trHeight w:val="1227"/>
        </w:trPr>
        <w:tc>
          <w:tcPr>
            <w:tcW w:w="2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6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4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0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b</w:t>
            </w:r>
          </w:p>
        </w:tc>
        <w:tc>
          <w:tcPr>
            <w:tcW w:w="4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8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47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47 </w:t>
            </w:r>
          </w:p>
        </w:tc>
        <w:tc>
          <w:tcPr>
            <w:tcW w:w="29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3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0.06 higher</w:t>
            </w:r>
            <w:r w:rsidRPr="00270C1C">
              <w:rPr>
                <w:rFonts w:ascii="Arial Narrow" w:eastAsia="Times New Roman" w:hAnsi="Arial Narrow"/>
                <w:sz w:val="13"/>
                <w:szCs w:val="13"/>
                <w:lang w:val="en-US" w:eastAsia="el-GR"/>
              </w:rPr>
              <w:br/>
              <w:t xml:space="preserve">(0.04 lower to 0.16 higher) </w:t>
            </w:r>
          </w:p>
        </w:tc>
        <w:tc>
          <w:tcPr>
            <w:tcW w:w="52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40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a. CI overlaps no effect with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c. Outcome investigated in a single study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Default="00270C1C" w:rsidP="00270C1C">
      <w:pPr>
        <w:spacing w:line="140" w:lineRule="atLeast"/>
        <w:rPr>
          <w:rFonts w:ascii="Arial Narrow" w:eastAsia="Times New Roman" w:hAnsi="Arial Narrow"/>
          <w:color w:val="000000"/>
          <w:sz w:val="16"/>
          <w:szCs w:val="16"/>
          <w:lang w:val="en-US" w:eastAsia="el-GR"/>
        </w:rPr>
      </w:pPr>
    </w:p>
    <w:p w:rsidR="009F0337" w:rsidRPr="00270C1C" w:rsidRDefault="009F0337"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lastRenderedPageBreak/>
        <w:t>Outcome of interest</w:t>
      </w:r>
      <w:r w:rsidRPr="00270C1C">
        <w:rPr>
          <w:rFonts w:ascii="Arial Narrow" w:eastAsia="Times New Roman" w:hAnsi="Arial Narrow"/>
          <w:color w:val="000000"/>
          <w:sz w:val="20"/>
          <w:szCs w:val="20"/>
          <w:lang w:val="en-US" w:eastAsia="el-GR"/>
        </w:rPr>
        <w:t xml:space="preserve">: Bifocal spectacles compared to single vision lens spectacles for myopia control </w:t>
      </w:r>
      <w:r w:rsidRPr="00270C1C">
        <w:rPr>
          <w:rFonts w:ascii="Arial Narrow" w:eastAsia="Times New Roman" w:hAnsi="Arial Narrow"/>
          <w:color w:val="000000"/>
          <w:sz w:val="14"/>
          <w:szCs w:val="14"/>
          <w:lang w:val="en-US" w:eastAsia="el-GR"/>
        </w:rPr>
        <w:t xml:space="preserve"> </w:t>
      </w:r>
    </w:p>
    <w:tbl>
      <w:tblPr>
        <w:tblW w:w="6315" w:type="pct"/>
        <w:tblInd w:w="-698"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24"/>
        <w:gridCol w:w="708"/>
        <w:gridCol w:w="494"/>
        <w:gridCol w:w="863"/>
        <w:gridCol w:w="780"/>
        <w:gridCol w:w="750"/>
        <w:gridCol w:w="909"/>
        <w:gridCol w:w="696"/>
        <w:gridCol w:w="698"/>
        <w:gridCol w:w="560"/>
        <w:gridCol w:w="608"/>
        <w:gridCol w:w="1614"/>
        <w:gridCol w:w="1274"/>
      </w:tblGrid>
      <w:tr w:rsidR="00270C1C" w:rsidRPr="00270C1C" w:rsidTr="00EF4B76">
        <w:trPr>
          <w:cantSplit/>
          <w:tblHeader/>
        </w:trPr>
        <w:tc>
          <w:tcPr>
            <w:tcW w:w="2400"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665"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557"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77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609"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5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3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3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1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7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5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3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33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Bifocal spectacles</w:t>
            </w:r>
          </w:p>
        </w:tc>
        <w:tc>
          <w:tcPr>
            <w:tcW w:w="33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Single vision lens spectacles</w:t>
            </w:r>
          </w:p>
        </w:tc>
        <w:tc>
          <w:tcPr>
            <w:tcW w:w="26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29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770"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609"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3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3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131 </w:t>
            </w:r>
          </w:p>
        </w:tc>
        <w:tc>
          <w:tcPr>
            <w:tcW w:w="33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128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29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0.09 lower</w:t>
            </w:r>
            <w:r w:rsidRPr="00270C1C">
              <w:rPr>
                <w:rFonts w:ascii="Arial Narrow" w:eastAsia="Times New Roman" w:hAnsi="Arial Narrow"/>
                <w:sz w:val="13"/>
                <w:szCs w:val="13"/>
                <w:lang w:val="en-US" w:eastAsia="el-GR"/>
              </w:rPr>
              <w:br/>
              <w:t xml:space="preserve">(0.19 lower to 0.02 higher) </w:t>
            </w:r>
          </w:p>
        </w:tc>
        <w:tc>
          <w:tcPr>
            <w:tcW w:w="7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60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(2 years)</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3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3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3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183 </w:t>
            </w:r>
          </w:p>
        </w:tc>
        <w:tc>
          <w:tcPr>
            <w:tcW w:w="33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168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29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0.19 lower</w:t>
            </w:r>
            <w:r w:rsidRPr="00270C1C">
              <w:rPr>
                <w:rFonts w:ascii="Arial Narrow" w:eastAsia="Times New Roman" w:hAnsi="Arial Narrow"/>
                <w:sz w:val="13"/>
                <w:szCs w:val="13"/>
                <w:lang w:val="en-US" w:eastAsia="el-GR"/>
              </w:rPr>
              <w:br/>
              <w:t xml:space="preserve">(0.59 lower to 0.21 higher) </w:t>
            </w:r>
          </w:p>
        </w:tc>
        <w:tc>
          <w:tcPr>
            <w:tcW w:w="7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60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3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1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3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a</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3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48 </w:t>
            </w:r>
          </w:p>
        </w:tc>
        <w:tc>
          <w:tcPr>
            <w:tcW w:w="33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41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29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 lower</w:t>
            </w:r>
            <w:r w:rsidRPr="00270C1C">
              <w:rPr>
                <w:rFonts w:ascii="Arial Narrow" w:eastAsia="Times New Roman" w:hAnsi="Arial Narrow"/>
                <w:sz w:val="13"/>
                <w:szCs w:val="13"/>
                <w:lang w:val="en-US" w:eastAsia="el-GR"/>
              </w:rPr>
              <w:br/>
              <w:t xml:space="preserve">(0.31 lower to 0.09 lower) </w:t>
            </w:r>
          </w:p>
        </w:tc>
        <w:tc>
          <w:tcPr>
            <w:tcW w:w="7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60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a.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b. Important, high I</w:t>
      </w:r>
      <w:r w:rsidRPr="00270C1C">
        <w:rPr>
          <w:rFonts w:ascii="Arial Narrow" w:eastAsia="Times New Roman" w:hAnsi="Arial Narrow"/>
          <w:color w:val="000000"/>
          <w:sz w:val="16"/>
          <w:szCs w:val="16"/>
          <w:vertAlign w:val="superscript"/>
          <w:lang w:val="en-US" w:eastAsia="el-GR"/>
        </w:rPr>
        <w:t>2</w:t>
      </w:r>
      <w:r w:rsidRPr="00270C1C">
        <w:rPr>
          <w:rFonts w:ascii="Arial Narrow" w:eastAsia="Times New Roman" w:hAnsi="Arial Narrow"/>
          <w:color w:val="000000"/>
          <w:sz w:val="16"/>
          <w:szCs w:val="16"/>
          <w:lang w:val="en-US" w:eastAsia="el-GR"/>
        </w:rPr>
        <w:t xml:space="preserv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c. CI overlaps no effect with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d. Outcome investigated in a single study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Default="00270C1C" w:rsidP="00270C1C">
      <w:pPr>
        <w:spacing w:line="140" w:lineRule="atLeast"/>
        <w:rPr>
          <w:rFonts w:ascii="Arial Narrow" w:eastAsia="Times New Roman" w:hAnsi="Arial Narrow"/>
          <w:color w:val="000000"/>
          <w:sz w:val="16"/>
          <w:szCs w:val="16"/>
          <w:lang w:val="en-US" w:eastAsia="el-GR"/>
        </w:rPr>
      </w:pPr>
    </w:p>
    <w:p w:rsidR="009F0337" w:rsidRDefault="009F0337" w:rsidP="00270C1C">
      <w:pPr>
        <w:spacing w:line="140" w:lineRule="atLeast"/>
        <w:rPr>
          <w:rFonts w:ascii="Arial Narrow" w:eastAsia="Times New Roman" w:hAnsi="Arial Narrow"/>
          <w:color w:val="000000"/>
          <w:sz w:val="16"/>
          <w:szCs w:val="16"/>
          <w:lang w:val="en-US" w:eastAsia="el-GR"/>
        </w:rPr>
      </w:pPr>
    </w:p>
    <w:p w:rsidR="009F0337" w:rsidRDefault="009F0337" w:rsidP="00270C1C">
      <w:pPr>
        <w:spacing w:line="140" w:lineRule="atLeast"/>
        <w:rPr>
          <w:rFonts w:ascii="Arial Narrow" w:eastAsia="Times New Roman" w:hAnsi="Arial Narrow"/>
          <w:color w:val="000000"/>
          <w:sz w:val="16"/>
          <w:szCs w:val="16"/>
          <w:lang w:val="en-US" w:eastAsia="el-GR"/>
        </w:rPr>
      </w:pPr>
    </w:p>
    <w:p w:rsidR="009F0337" w:rsidRPr="00270C1C" w:rsidRDefault="009F0337"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lastRenderedPageBreak/>
        <w:t>Outcome of interest</w:t>
      </w:r>
      <w:r w:rsidRPr="00270C1C">
        <w:rPr>
          <w:rFonts w:ascii="Arial Narrow" w:eastAsia="Times New Roman" w:hAnsi="Arial Narrow"/>
          <w:color w:val="000000"/>
          <w:sz w:val="20"/>
          <w:szCs w:val="20"/>
          <w:lang w:val="en-US" w:eastAsia="el-GR"/>
        </w:rPr>
        <w:t xml:space="preserve">: 1% atropine compared to placebo or control for myopia control  </w:t>
      </w:r>
    </w:p>
    <w:tbl>
      <w:tblPr>
        <w:tblW w:w="6241" w:type="pct"/>
        <w:tblInd w:w="-717"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24"/>
        <w:gridCol w:w="785"/>
        <w:gridCol w:w="494"/>
        <w:gridCol w:w="863"/>
        <w:gridCol w:w="779"/>
        <w:gridCol w:w="750"/>
        <w:gridCol w:w="909"/>
        <w:gridCol w:w="572"/>
        <w:gridCol w:w="553"/>
        <w:gridCol w:w="559"/>
        <w:gridCol w:w="1013"/>
        <w:gridCol w:w="1417"/>
        <w:gridCol w:w="1137"/>
      </w:tblGrid>
      <w:tr w:rsidR="00270C1C" w:rsidRPr="00270C1C" w:rsidTr="00EF4B76">
        <w:trPr>
          <w:cantSplit/>
          <w:tblHeader/>
        </w:trPr>
        <w:tc>
          <w:tcPr>
            <w:tcW w:w="2465"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543"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759"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684"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549"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5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7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3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1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7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6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3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27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1% atropine</w:t>
            </w:r>
          </w:p>
        </w:tc>
        <w:tc>
          <w:tcPr>
            <w:tcW w:w="26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placebo</w:t>
            </w:r>
          </w:p>
        </w:tc>
        <w:tc>
          <w:tcPr>
            <w:tcW w:w="27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48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684"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549"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r w:rsidRPr="00270C1C">
              <w:rPr>
                <w:rFonts w:ascii="Arial Narrow" w:eastAsia="Times New Roman" w:hAnsi="Arial Narrow"/>
                <w:sz w:val="13"/>
                <w:szCs w:val="13"/>
                <w:vertAlign w:val="superscript"/>
                <w:lang w:eastAsia="el-GR"/>
              </w:rPr>
              <w:t>a</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778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624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0.66 lower</w:t>
            </w:r>
            <w:r w:rsidRPr="00270C1C">
              <w:rPr>
                <w:rFonts w:ascii="Arial Narrow" w:eastAsia="Times New Roman" w:hAnsi="Arial Narrow"/>
                <w:sz w:val="13"/>
                <w:szCs w:val="13"/>
                <w:lang w:val="en-US" w:eastAsia="el-GR"/>
              </w:rPr>
              <w:br/>
              <w:t xml:space="preserve">(1.05 lower to 0.27 lower)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 - RCTs</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302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302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0.78 lower</w:t>
            </w:r>
            <w:r w:rsidRPr="00270C1C">
              <w:rPr>
                <w:rFonts w:ascii="Arial Narrow" w:eastAsia="Times New Roman" w:hAnsi="Arial Narrow"/>
                <w:sz w:val="13"/>
                <w:szCs w:val="13"/>
                <w:lang w:val="en-US" w:eastAsia="el-GR"/>
              </w:rPr>
              <w:br/>
              <w:t xml:space="preserve">(1.3 lower to 0.25 lower)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CRITICAL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 - Cohort studies</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476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322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0.39 lower</w:t>
            </w:r>
            <w:r w:rsidRPr="00270C1C">
              <w:rPr>
                <w:rFonts w:ascii="Arial Narrow" w:eastAsia="Times New Roman" w:hAnsi="Arial Narrow"/>
                <w:sz w:val="13"/>
                <w:szCs w:val="13"/>
                <w:lang w:val="en-US" w:eastAsia="el-GR"/>
              </w:rPr>
              <w:br/>
              <w:t xml:space="preserve">(0.59 lower to 0.19 lower)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r w:rsidRPr="00270C1C">
              <w:rPr>
                <w:rFonts w:ascii="Arial Narrow" w:eastAsia="Times New Roman" w:hAnsi="Arial Narrow"/>
                <w:sz w:val="13"/>
                <w:szCs w:val="13"/>
                <w:vertAlign w:val="superscript"/>
                <w:lang w:eastAsia="el-GR"/>
              </w:rPr>
              <w:t>a</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293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293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0.36 lower</w:t>
            </w:r>
            <w:r w:rsidRPr="00270C1C">
              <w:rPr>
                <w:rFonts w:ascii="Arial Narrow" w:eastAsia="Times New Roman" w:hAnsi="Arial Narrow"/>
                <w:sz w:val="13"/>
                <w:szCs w:val="13"/>
                <w:lang w:val="en-US" w:eastAsia="el-GR"/>
              </w:rPr>
              <w:br/>
              <w:t xml:space="preserve">(0.41 lower to 0.3 lower)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 - RCTs</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270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270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0.35 lower</w:t>
            </w:r>
            <w:r w:rsidRPr="00270C1C">
              <w:rPr>
                <w:rFonts w:ascii="Arial Narrow" w:eastAsia="Times New Roman" w:hAnsi="Arial Narrow"/>
                <w:sz w:val="13"/>
                <w:szCs w:val="13"/>
                <w:lang w:val="en-US" w:eastAsia="el-GR"/>
              </w:rPr>
              <w:br/>
              <w:t xml:space="preserve">(0.38 lower to 0.31 lower)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Arial Narrow" w:eastAsia="Times New Roman" w:hAnsi="Arial Narrow"/>
                <w:sz w:val="13"/>
                <w:szCs w:val="13"/>
                <w:lang w:eastAsia="el-GR"/>
              </w:rPr>
              <w:br/>
              <w:t xml:space="preserve">HIGH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 - Cohort study</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f</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23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23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0.61 lower</w:t>
            </w:r>
            <w:r w:rsidRPr="00270C1C">
              <w:rPr>
                <w:rFonts w:ascii="Arial Narrow" w:eastAsia="Times New Roman" w:hAnsi="Arial Narrow"/>
                <w:sz w:val="13"/>
                <w:szCs w:val="13"/>
                <w:lang w:val="en-US" w:eastAsia="el-GR"/>
              </w:rPr>
              <w:br/>
              <w:t xml:space="preserve">(0.88 lower to 0.34 lower)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Allergic or hypersensitivity reactions or discomfort</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g</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10/223 (4.5%)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0/223 (0.0%)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8.91</w:t>
            </w:r>
            <w:r w:rsidRPr="00270C1C">
              <w:rPr>
                <w:rFonts w:ascii="Arial Narrow" w:eastAsia="Times New Roman" w:hAnsi="Arial Narrow"/>
                <w:sz w:val="13"/>
                <w:szCs w:val="13"/>
                <w:lang w:eastAsia="el-GR"/>
              </w:rPr>
              <w:br/>
              <w:t xml:space="preserve">(1.04 to 76.03)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0 fewer per 1.000</w:t>
            </w:r>
            <w:r w:rsidRPr="00270C1C">
              <w:rPr>
                <w:rFonts w:ascii="Arial Narrow" w:eastAsia="Times New Roman" w:hAnsi="Arial Narrow"/>
                <w:sz w:val="13"/>
                <w:szCs w:val="13"/>
                <w:lang w:val="en-US" w:eastAsia="el-GR"/>
              </w:rPr>
              <w:br/>
              <w:t xml:space="preserve">(from 0 fewer to 0 fewer)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Blurred near vision</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g</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9/270 (3.3%)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0/270 (0.0%)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9.47</w:t>
            </w:r>
            <w:r w:rsidRPr="00270C1C">
              <w:rPr>
                <w:rFonts w:ascii="Arial Narrow" w:eastAsia="Times New Roman" w:hAnsi="Arial Narrow"/>
                <w:sz w:val="13"/>
                <w:szCs w:val="13"/>
                <w:lang w:eastAsia="el-GR"/>
              </w:rPr>
              <w:br/>
              <w:t xml:space="preserve">(1.17 to 76.78)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0 fewer per 1.000</w:t>
            </w:r>
            <w:r w:rsidRPr="00270C1C">
              <w:rPr>
                <w:rFonts w:ascii="Arial Narrow" w:eastAsia="Times New Roman" w:hAnsi="Arial Narrow"/>
                <w:sz w:val="13"/>
                <w:szCs w:val="13"/>
                <w:lang w:val="en-US" w:eastAsia="el-GR"/>
              </w:rPr>
              <w:br/>
              <w:t xml:space="preserve">(from 0 fewer to 0 fewer)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(2 years)</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200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200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0.92 lower</w:t>
            </w:r>
            <w:r w:rsidRPr="00270C1C">
              <w:rPr>
                <w:rFonts w:ascii="Arial Narrow" w:eastAsia="Times New Roman" w:hAnsi="Arial Narrow"/>
                <w:sz w:val="13"/>
                <w:szCs w:val="13"/>
                <w:lang w:val="en-US" w:eastAsia="el-GR"/>
              </w:rPr>
              <w:br/>
              <w:t xml:space="preserve">(1.08 lower to 0.76 lower)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w:t>
            </w:r>
          </w:p>
        </w:tc>
      </w:tr>
      <w:tr w:rsidR="004C28F5"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lastRenderedPageBreak/>
              <w:t xml:space="preserve">1 </w:t>
            </w:r>
          </w:p>
        </w:tc>
        <w:tc>
          <w:tcPr>
            <w:tcW w:w="37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41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200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200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8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0.36 lower</w:t>
            </w:r>
            <w:r w:rsidRPr="00270C1C">
              <w:rPr>
                <w:rFonts w:ascii="Arial Narrow" w:eastAsia="Times New Roman" w:hAnsi="Arial Narrow"/>
                <w:sz w:val="13"/>
                <w:szCs w:val="13"/>
                <w:lang w:val="en-US" w:eastAsia="el-GR"/>
              </w:rPr>
              <w:br/>
              <w:t xml:space="preserve">(0.43 lower to 0.29 lower)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5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 </w:t>
      </w:r>
      <w:r w:rsidRPr="00270C1C">
        <w:rPr>
          <w:rFonts w:ascii="Arial Narrow" w:eastAsiaTheme="minorEastAsia" w:hAnsi="Arial Narrow" w:cs="Times New Roman"/>
          <w:b/>
          <w:bCs/>
          <w:color w:val="000000"/>
          <w:sz w:val="14"/>
          <w:szCs w:val="14"/>
          <w:lang w:val="en-US" w:eastAsia="el-GR"/>
        </w:rPr>
        <w:t>OR:</w:t>
      </w:r>
      <w:r w:rsidRPr="00270C1C">
        <w:rPr>
          <w:rFonts w:ascii="Arial Narrow" w:eastAsiaTheme="minorEastAsia" w:hAnsi="Arial Narrow" w:cs="Times New Roman"/>
          <w:color w:val="000000"/>
          <w:sz w:val="14"/>
          <w:szCs w:val="14"/>
          <w:lang w:val="en-US" w:eastAsia="el-GR"/>
        </w:rPr>
        <w:t xml:space="preserve"> Odds ratio</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a. Randomised trials &amp; observational studies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Pooled estimate encompasses data from randomised trials and observational studies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c. Important, high I</w:t>
      </w:r>
      <w:r w:rsidRPr="00270C1C">
        <w:rPr>
          <w:rFonts w:ascii="Arial Narrow" w:eastAsia="Times New Roman" w:hAnsi="Arial Narrow"/>
          <w:color w:val="000000"/>
          <w:sz w:val="16"/>
          <w:szCs w:val="16"/>
          <w:vertAlign w:val="superscript"/>
          <w:lang w:val="en-US" w:eastAsia="el-GR"/>
        </w:rPr>
        <w:t xml:space="preserve">2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d. Observational studies; lower level of evidence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e. Outcome investigated in a single study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f.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g. Wide CIs; imprecision around effect estimate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50F87" w:rsidRDefault="00250F87"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t>Outcome of interest</w:t>
      </w:r>
      <w:r w:rsidRPr="00270C1C">
        <w:rPr>
          <w:rFonts w:ascii="Arial Narrow" w:eastAsia="Times New Roman" w:hAnsi="Arial Narrow"/>
          <w:color w:val="000000"/>
          <w:sz w:val="20"/>
          <w:szCs w:val="20"/>
          <w:lang w:val="en-US" w:eastAsia="el-GR"/>
        </w:rPr>
        <w:t xml:space="preserve">: 0.025% and 0.05% atropine compared to control for myopia control  </w:t>
      </w:r>
    </w:p>
    <w:tbl>
      <w:tblPr>
        <w:tblW w:w="6156" w:type="pct"/>
        <w:tblInd w:w="-859"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78"/>
        <w:gridCol w:w="786"/>
        <w:gridCol w:w="494"/>
        <w:gridCol w:w="862"/>
        <w:gridCol w:w="780"/>
        <w:gridCol w:w="750"/>
        <w:gridCol w:w="909"/>
        <w:gridCol w:w="572"/>
        <w:gridCol w:w="513"/>
        <w:gridCol w:w="560"/>
        <w:gridCol w:w="1424"/>
        <w:gridCol w:w="993"/>
        <w:gridCol w:w="993"/>
      </w:tblGrid>
      <w:tr w:rsidR="00270C1C" w:rsidRPr="00270C1C" w:rsidTr="00EF4B76">
        <w:trPr>
          <w:cantSplit/>
          <w:tblHeader/>
        </w:trPr>
        <w:tc>
          <w:tcPr>
            <w:tcW w:w="2526"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531"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971"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486"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486"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8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8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4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2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8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6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4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28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0.025% and 0.05% atropine</w:t>
            </w:r>
          </w:p>
        </w:tc>
        <w:tc>
          <w:tcPr>
            <w:tcW w:w="251"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control</w:t>
            </w:r>
          </w:p>
        </w:tc>
        <w:tc>
          <w:tcPr>
            <w:tcW w:w="27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69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486"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486"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270C1C" w:rsidRPr="00270C1C" w:rsidTr="00EF4B76">
        <w:trPr>
          <w:cantSplit/>
        </w:trPr>
        <w:tc>
          <w:tcPr>
            <w:tcW w:w="28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8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142 </w:t>
            </w:r>
          </w:p>
        </w:tc>
        <w:tc>
          <w:tcPr>
            <w:tcW w:w="25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82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69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0.51 lower</w:t>
            </w:r>
            <w:r w:rsidRPr="00270C1C">
              <w:rPr>
                <w:rFonts w:ascii="Arial Narrow" w:eastAsia="Times New Roman" w:hAnsi="Arial Narrow"/>
                <w:sz w:val="13"/>
                <w:szCs w:val="13"/>
                <w:lang w:val="en-US" w:eastAsia="el-GR"/>
              </w:rPr>
              <w:br/>
              <w:t xml:space="preserve">(0.6 lower to 0.41 lower)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IMPORTANT</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a. Observational studies; lower level of evidence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lastRenderedPageBreak/>
        <w:t>Outcome of interest</w:t>
      </w:r>
      <w:r w:rsidRPr="00270C1C">
        <w:rPr>
          <w:rFonts w:ascii="Arial Narrow" w:eastAsia="Times New Roman" w:hAnsi="Arial Narrow"/>
          <w:color w:val="000000"/>
          <w:sz w:val="20"/>
          <w:szCs w:val="20"/>
          <w:lang w:val="en-US" w:eastAsia="el-GR"/>
        </w:rPr>
        <w:t xml:space="preserve">: 0.01% atropine compared to control for myopia control  </w:t>
      </w:r>
    </w:p>
    <w:tbl>
      <w:tblPr>
        <w:tblW w:w="6156" w:type="pct"/>
        <w:tblInd w:w="-859"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79"/>
        <w:gridCol w:w="786"/>
        <w:gridCol w:w="494"/>
        <w:gridCol w:w="862"/>
        <w:gridCol w:w="780"/>
        <w:gridCol w:w="750"/>
        <w:gridCol w:w="909"/>
        <w:gridCol w:w="572"/>
        <w:gridCol w:w="513"/>
        <w:gridCol w:w="560"/>
        <w:gridCol w:w="1397"/>
        <w:gridCol w:w="1019"/>
        <w:gridCol w:w="993"/>
      </w:tblGrid>
      <w:tr w:rsidR="00270C1C" w:rsidRPr="00270C1C" w:rsidTr="00EF4B76">
        <w:trPr>
          <w:cantSplit/>
          <w:tblHeader/>
        </w:trPr>
        <w:tc>
          <w:tcPr>
            <w:tcW w:w="2526"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531"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958"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499"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486"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8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8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4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2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8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6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4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28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0.01% atropine</w:t>
            </w:r>
          </w:p>
        </w:tc>
        <w:tc>
          <w:tcPr>
            <w:tcW w:w="251"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control</w:t>
            </w:r>
          </w:p>
        </w:tc>
        <w:tc>
          <w:tcPr>
            <w:tcW w:w="27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68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499"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486"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4C28F5" w:rsidRPr="00270C1C" w:rsidTr="00EF4B76">
        <w:trPr>
          <w:cantSplit/>
        </w:trPr>
        <w:tc>
          <w:tcPr>
            <w:tcW w:w="28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a,b</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28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32 </w:t>
            </w:r>
          </w:p>
        </w:tc>
        <w:tc>
          <w:tcPr>
            <w:tcW w:w="25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28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68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0.5 lower</w:t>
            </w:r>
            <w:r w:rsidRPr="00270C1C">
              <w:rPr>
                <w:rFonts w:ascii="Arial Narrow" w:eastAsia="Times New Roman" w:hAnsi="Arial Narrow"/>
                <w:sz w:val="13"/>
                <w:szCs w:val="13"/>
                <w:lang w:val="en-US" w:eastAsia="el-GR"/>
              </w:rPr>
              <w:br/>
              <w:t xml:space="preserve">(0.76 lower to 0.24 lower) </w:t>
            </w:r>
          </w:p>
        </w:tc>
        <w:tc>
          <w:tcPr>
            <w:tcW w:w="49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IMPORTANT</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a. Outcome investigated in a single study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Observational study; lower level of evidence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c.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t>Outcome of interest</w:t>
      </w:r>
      <w:r w:rsidRPr="00270C1C">
        <w:rPr>
          <w:rFonts w:ascii="Arial Narrow" w:eastAsia="Times New Roman" w:hAnsi="Arial Narrow"/>
          <w:color w:val="000000"/>
          <w:sz w:val="20"/>
          <w:szCs w:val="20"/>
          <w:lang w:val="en-US" w:eastAsia="el-GR"/>
        </w:rPr>
        <w:t xml:space="preserve">: 2% pirenzepine gel compared to placebo for myopia control  </w:t>
      </w:r>
    </w:p>
    <w:tbl>
      <w:tblPr>
        <w:tblW w:w="6242" w:type="pct"/>
        <w:tblInd w:w="-1001"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24"/>
        <w:gridCol w:w="708"/>
        <w:gridCol w:w="495"/>
        <w:gridCol w:w="862"/>
        <w:gridCol w:w="779"/>
        <w:gridCol w:w="750"/>
        <w:gridCol w:w="918"/>
        <w:gridCol w:w="744"/>
        <w:gridCol w:w="553"/>
        <w:gridCol w:w="559"/>
        <w:gridCol w:w="1195"/>
        <w:gridCol w:w="1135"/>
        <w:gridCol w:w="1135"/>
      </w:tblGrid>
      <w:tr w:rsidR="00270C1C" w:rsidRPr="00270C1C" w:rsidTr="00EF4B76">
        <w:trPr>
          <w:cantSplit/>
          <w:tblHeader/>
        </w:trPr>
        <w:tc>
          <w:tcPr>
            <w:tcW w:w="2431"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626"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847"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548"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548"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5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4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3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1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7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6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4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35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2% pirenzepine gel</w:t>
            </w:r>
          </w:p>
        </w:tc>
        <w:tc>
          <w:tcPr>
            <w:tcW w:w="26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placebo</w:t>
            </w:r>
          </w:p>
        </w:tc>
        <w:tc>
          <w:tcPr>
            <w:tcW w:w="27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57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548"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548"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53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31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0.3 lower</w:t>
            </w:r>
            <w:r w:rsidRPr="00270C1C">
              <w:rPr>
                <w:rFonts w:ascii="Arial Narrow" w:eastAsia="Times New Roman" w:hAnsi="Arial Narrow"/>
                <w:sz w:val="13"/>
                <w:szCs w:val="13"/>
                <w:lang w:val="en-US" w:eastAsia="el-GR"/>
              </w:rPr>
              <w:br/>
              <w:t xml:space="preserve">(0.51 lower to 0.09 lower)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171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93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 lower</w:t>
            </w:r>
            <w:r w:rsidRPr="00270C1C">
              <w:rPr>
                <w:rFonts w:ascii="Arial Narrow" w:eastAsia="Times New Roman" w:hAnsi="Arial Narrow"/>
                <w:sz w:val="13"/>
                <w:szCs w:val="13"/>
                <w:lang w:val="en-US" w:eastAsia="el-GR"/>
              </w:rPr>
              <w:br/>
              <w:t xml:space="preserve">(0.18 lower to 0.01 lower)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Papillae/Follicles</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128/216 (59.3%)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26/107 (24.3%)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3.21</w:t>
            </w:r>
            <w:r w:rsidRPr="00270C1C">
              <w:rPr>
                <w:rFonts w:ascii="Arial Narrow" w:eastAsia="Times New Roman" w:hAnsi="Arial Narrow"/>
                <w:sz w:val="13"/>
                <w:szCs w:val="13"/>
                <w:lang w:eastAsia="el-GR"/>
              </w:rPr>
              <w:br/>
              <w:t xml:space="preserve">(0.95 to 10.88)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264 more per 1.000</w:t>
            </w:r>
            <w:r w:rsidRPr="00270C1C">
              <w:rPr>
                <w:rFonts w:ascii="Arial Narrow" w:eastAsia="Times New Roman" w:hAnsi="Arial Narrow"/>
                <w:sz w:val="13"/>
                <w:szCs w:val="13"/>
                <w:lang w:val="en-US" w:eastAsia="el-GR"/>
              </w:rPr>
              <w:br/>
              <w:t xml:space="preserve">(from 9 fewer to 534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Medication residue on eyelids or eye</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120/216 (55.6%)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62/107 (57.9%)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0.77</w:t>
            </w:r>
            <w:r w:rsidRPr="00270C1C">
              <w:rPr>
                <w:rFonts w:ascii="Arial Narrow" w:eastAsia="Times New Roman" w:hAnsi="Arial Narrow"/>
                <w:sz w:val="13"/>
                <w:szCs w:val="13"/>
                <w:lang w:eastAsia="el-GR"/>
              </w:rPr>
              <w:br/>
              <w:t xml:space="preserve">(0.38 to 1.59)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65 fewer per 1.000</w:t>
            </w:r>
            <w:r w:rsidRPr="00270C1C">
              <w:rPr>
                <w:rFonts w:ascii="Arial Narrow" w:eastAsia="Times New Roman" w:hAnsi="Arial Narrow"/>
                <w:sz w:val="13"/>
                <w:szCs w:val="13"/>
                <w:lang w:val="en-US" w:eastAsia="el-GR"/>
              </w:rPr>
              <w:br/>
              <w:t xml:space="preserve">(from 107 more to 236 fewer)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lastRenderedPageBreak/>
              <w:t>Abnormality of accommodation</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b,e</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95/216 (44.0%)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4/107 (3.7%)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16.92</w:t>
            </w:r>
            <w:r w:rsidRPr="00270C1C">
              <w:rPr>
                <w:rFonts w:ascii="Arial Narrow" w:eastAsia="Times New Roman" w:hAnsi="Arial Narrow"/>
                <w:sz w:val="13"/>
                <w:szCs w:val="13"/>
                <w:lang w:eastAsia="el-GR"/>
              </w:rPr>
              <w:br/>
              <w:t xml:space="preserve">(6.27 to 45.64)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359 more per 1.000</w:t>
            </w:r>
            <w:r w:rsidRPr="00270C1C">
              <w:rPr>
                <w:rFonts w:ascii="Arial Narrow" w:eastAsia="Times New Roman" w:hAnsi="Arial Narrow"/>
                <w:sz w:val="13"/>
                <w:szCs w:val="13"/>
                <w:lang w:val="en-US" w:eastAsia="el-GR"/>
              </w:rPr>
              <w:br/>
              <w:t xml:space="preserve">(from 158 more to 602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Itching, eye</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36/216 (16.7%)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17/107 (15.9%)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1.01</w:t>
            </w:r>
            <w:r w:rsidRPr="00270C1C">
              <w:rPr>
                <w:rFonts w:ascii="Arial Narrow" w:eastAsia="Times New Roman" w:hAnsi="Arial Narrow"/>
                <w:sz w:val="13"/>
                <w:szCs w:val="13"/>
                <w:lang w:eastAsia="el-GR"/>
              </w:rPr>
              <w:br/>
              <w:t xml:space="preserve">(0.54 to 1.90)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1 more per 1.000</w:t>
            </w:r>
            <w:r w:rsidRPr="00270C1C">
              <w:rPr>
                <w:rFonts w:ascii="Arial Narrow" w:eastAsia="Times New Roman" w:hAnsi="Arial Narrow"/>
                <w:sz w:val="13"/>
                <w:szCs w:val="13"/>
                <w:lang w:val="en-US" w:eastAsia="el-GR"/>
              </w:rPr>
              <w:br/>
              <w:t xml:space="preserve">(from 66 fewer to 105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Visual acuity decreased (subjectively)</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37/216 (17.1%)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4/107 (3.7%)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3.89</w:t>
            </w:r>
            <w:r w:rsidRPr="00270C1C">
              <w:rPr>
                <w:rFonts w:ascii="Arial Narrow" w:eastAsia="Times New Roman" w:hAnsi="Arial Narrow"/>
                <w:sz w:val="13"/>
                <w:szCs w:val="13"/>
                <w:lang w:eastAsia="el-GR"/>
              </w:rPr>
              <w:br/>
              <w:t xml:space="preserve">(0.93 to 16.27)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94 more per 1.000</w:t>
            </w:r>
            <w:r w:rsidRPr="00270C1C">
              <w:rPr>
                <w:rFonts w:ascii="Arial Narrow" w:eastAsia="Times New Roman" w:hAnsi="Arial Narrow"/>
                <w:sz w:val="13"/>
                <w:szCs w:val="13"/>
                <w:lang w:val="en-US" w:eastAsia="el-GR"/>
              </w:rPr>
              <w:br/>
              <w:t xml:space="preserve">(from 3 fewer to 350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Injection</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45/216 (20.8%)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18/107 (16.8%)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0.92</w:t>
            </w:r>
            <w:r w:rsidRPr="00270C1C">
              <w:rPr>
                <w:rFonts w:ascii="Arial Narrow" w:eastAsia="Times New Roman" w:hAnsi="Arial Narrow"/>
                <w:sz w:val="13"/>
                <w:szCs w:val="13"/>
                <w:lang w:eastAsia="el-GR"/>
              </w:rPr>
              <w:br/>
              <w:t xml:space="preserve">(0.22 to 3.73)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11 fewer per 1.000</w:t>
            </w:r>
            <w:r w:rsidRPr="00270C1C">
              <w:rPr>
                <w:rFonts w:ascii="Arial Narrow" w:eastAsia="Times New Roman" w:hAnsi="Arial Narrow"/>
                <w:sz w:val="13"/>
                <w:szCs w:val="13"/>
                <w:lang w:val="en-US" w:eastAsia="el-GR"/>
              </w:rPr>
              <w:br/>
              <w:t xml:space="preserve">(from 126 fewer to 262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Fluorecein staining</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32/216 (14.8%)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22/107 (20.6%)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0.57</w:t>
            </w:r>
            <w:r w:rsidRPr="00270C1C">
              <w:rPr>
                <w:rFonts w:ascii="Arial Narrow" w:eastAsia="Times New Roman" w:hAnsi="Arial Narrow"/>
                <w:sz w:val="13"/>
                <w:szCs w:val="13"/>
                <w:lang w:eastAsia="el-GR"/>
              </w:rPr>
              <w:br/>
              <w:t xml:space="preserve">(0.23 to 1.44)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77 fewer per 1.000</w:t>
            </w:r>
            <w:r w:rsidRPr="00270C1C">
              <w:rPr>
                <w:rFonts w:ascii="Arial Narrow" w:eastAsia="Times New Roman" w:hAnsi="Arial Narrow"/>
                <w:sz w:val="13"/>
                <w:szCs w:val="13"/>
                <w:lang w:val="en-US" w:eastAsia="el-GR"/>
              </w:rPr>
              <w:br/>
              <w:t xml:space="preserve">(from 66 more to 149 fewer)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Burn/Sting, eye, on instillation</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26/216 (12.0%)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7/107 (6.5%)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1.84</w:t>
            </w:r>
            <w:r w:rsidRPr="00270C1C">
              <w:rPr>
                <w:rFonts w:ascii="Arial Narrow" w:eastAsia="Times New Roman" w:hAnsi="Arial Narrow"/>
                <w:sz w:val="13"/>
                <w:szCs w:val="13"/>
                <w:lang w:eastAsia="el-GR"/>
              </w:rPr>
              <w:br/>
              <w:t xml:space="preserve">(0.76 to 4.46)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49 more per 1.000</w:t>
            </w:r>
            <w:r w:rsidRPr="00270C1C">
              <w:rPr>
                <w:rFonts w:ascii="Arial Narrow" w:eastAsia="Times New Roman" w:hAnsi="Arial Narrow"/>
                <w:sz w:val="13"/>
                <w:szCs w:val="13"/>
                <w:lang w:val="en-US" w:eastAsia="el-GR"/>
              </w:rPr>
              <w:br/>
              <w:t xml:space="preserve">(from 15 fewer to 173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Eye/Vision, blurred</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25/216 (11.6%)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10/107 (9.3%)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1.17</w:t>
            </w:r>
            <w:r w:rsidRPr="00270C1C">
              <w:rPr>
                <w:rFonts w:ascii="Arial Narrow" w:eastAsia="Times New Roman" w:hAnsi="Arial Narrow"/>
                <w:sz w:val="13"/>
                <w:szCs w:val="13"/>
                <w:lang w:eastAsia="el-GR"/>
              </w:rPr>
              <w:br/>
              <w:t xml:space="preserve">(0.52 to 2.63)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14 more per 1.000</w:t>
            </w:r>
            <w:r w:rsidRPr="00270C1C">
              <w:rPr>
                <w:rFonts w:ascii="Arial Narrow" w:eastAsia="Times New Roman" w:hAnsi="Arial Narrow"/>
                <w:sz w:val="13"/>
                <w:szCs w:val="13"/>
                <w:lang w:val="en-US" w:eastAsia="el-GR"/>
              </w:rPr>
              <w:br/>
              <w:t xml:space="preserve">(from 43 fewer to 120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Erythema, eyelids</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f</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d,e</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7/74 (9.5%)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2/36 (5.6%)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0.69</w:t>
            </w:r>
            <w:r w:rsidRPr="00270C1C">
              <w:rPr>
                <w:rFonts w:ascii="Arial Narrow" w:eastAsia="Times New Roman" w:hAnsi="Arial Narrow"/>
                <w:sz w:val="13"/>
                <w:szCs w:val="13"/>
                <w:lang w:eastAsia="el-GR"/>
              </w:rPr>
              <w:br/>
              <w:t xml:space="preserve">(0.01 to 41.23)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17 fewer per 1.000</w:t>
            </w:r>
            <w:r w:rsidRPr="00270C1C">
              <w:rPr>
                <w:rFonts w:ascii="Arial Narrow" w:eastAsia="Times New Roman" w:hAnsi="Arial Narrow"/>
                <w:sz w:val="13"/>
                <w:szCs w:val="13"/>
                <w:lang w:val="en-US" w:eastAsia="el-GR"/>
              </w:rPr>
              <w:br/>
              <w:t xml:space="preserve">(from 55 fewer to 652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Eyelid abnormality</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5/74 (6.8%)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1/36 (2.8%)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1.73</w:t>
            </w:r>
            <w:r w:rsidRPr="00270C1C">
              <w:rPr>
                <w:rFonts w:ascii="Arial Narrow" w:eastAsia="Times New Roman" w:hAnsi="Arial Narrow"/>
                <w:sz w:val="13"/>
                <w:szCs w:val="13"/>
                <w:lang w:eastAsia="el-GR"/>
              </w:rPr>
              <w:br/>
              <w:t xml:space="preserve">(0.27 to 11.12)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19 more per 1.000</w:t>
            </w:r>
            <w:r w:rsidRPr="00270C1C">
              <w:rPr>
                <w:rFonts w:ascii="Arial Narrow" w:eastAsia="Times New Roman" w:hAnsi="Arial Narrow"/>
                <w:sz w:val="13"/>
                <w:szCs w:val="13"/>
                <w:lang w:val="en-US" w:eastAsia="el-GR"/>
              </w:rPr>
              <w:br/>
              <w:t xml:space="preserve">(from 20 fewer to 213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Photophobia</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lastRenderedPageBreak/>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7/74 (9.5%)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2/36 (5.6%)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1.57</w:t>
            </w:r>
            <w:r w:rsidRPr="00270C1C">
              <w:rPr>
                <w:rFonts w:ascii="Arial Narrow" w:eastAsia="Times New Roman" w:hAnsi="Arial Narrow"/>
                <w:sz w:val="13"/>
                <w:szCs w:val="13"/>
                <w:lang w:eastAsia="el-GR"/>
              </w:rPr>
              <w:br/>
              <w:t xml:space="preserve">(0.35 to 6.96)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29 more per 1.000</w:t>
            </w:r>
            <w:r w:rsidRPr="00270C1C">
              <w:rPr>
                <w:rFonts w:ascii="Arial Narrow" w:eastAsia="Times New Roman" w:hAnsi="Arial Narrow"/>
                <w:sz w:val="13"/>
                <w:szCs w:val="13"/>
                <w:lang w:val="en-US" w:eastAsia="el-GR"/>
              </w:rPr>
              <w:br/>
              <w:t xml:space="preserve">(from 35 fewer to 235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Eye pain</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6/74 (8.1%)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1/36 (2.8%)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2.07</w:t>
            </w:r>
            <w:r w:rsidRPr="00270C1C">
              <w:rPr>
                <w:rFonts w:ascii="Arial Narrow" w:eastAsia="Times New Roman" w:hAnsi="Arial Narrow"/>
                <w:sz w:val="13"/>
                <w:szCs w:val="13"/>
                <w:lang w:eastAsia="el-GR"/>
              </w:rPr>
              <w:br/>
              <w:t xml:space="preserve">(0.33 to 12.98)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28 more per 1.000</w:t>
            </w:r>
            <w:r w:rsidRPr="00270C1C">
              <w:rPr>
                <w:rFonts w:ascii="Arial Narrow" w:eastAsia="Times New Roman" w:hAnsi="Arial Narrow"/>
                <w:sz w:val="13"/>
                <w:szCs w:val="13"/>
                <w:lang w:val="en-US" w:eastAsia="el-GR"/>
              </w:rPr>
              <w:br/>
              <w:t xml:space="preserve">(from 18 fewer to 243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Cough increased</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42/216 (19.4%)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20/107 (18.7%)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1.06</w:t>
            </w:r>
            <w:r w:rsidRPr="00270C1C">
              <w:rPr>
                <w:rFonts w:ascii="Arial Narrow" w:eastAsia="Times New Roman" w:hAnsi="Arial Narrow"/>
                <w:sz w:val="13"/>
                <w:szCs w:val="13"/>
                <w:lang w:eastAsia="el-GR"/>
              </w:rPr>
              <w:br/>
              <w:t xml:space="preserve">(0.59 to 1.92)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9 more per 1.000</w:t>
            </w:r>
            <w:r w:rsidRPr="00270C1C">
              <w:rPr>
                <w:rFonts w:ascii="Arial Narrow" w:eastAsia="Times New Roman" w:hAnsi="Arial Narrow"/>
                <w:sz w:val="13"/>
                <w:szCs w:val="13"/>
                <w:lang w:val="en-US" w:eastAsia="el-GR"/>
              </w:rPr>
              <w:br/>
              <w:t xml:space="preserve">(from 67 fewer to 119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Infection, respiratory</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39/195 (20.0%)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16/102 (15.7%)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1.32</w:t>
            </w:r>
            <w:r w:rsidRPr="00270C1C">
              <w:rPr>
                <w:rFonts w:ascii="Arial Narrow" w:eastAsia="Times New Roman" w:hAnsi="Arial Narrow"/>
                <w:sz w:val="13"/>
                <w:szCs w:val="13"/>
                <w:lang w:eastAsia="el-GR"/>
              </w:rPr>
              <w:br/>
              <w:t xml:space="preserve">(0.69 to 2.51)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40 more per 1.000</w:t>
            </w:r>
            <w:r w:rsidRPr="00270C1C">
              <w:rPr>
                <w:rFonts w:ascii="Arial Narrow" w:eastAsia="Times New Roman" w:hAnsi="Arial Narrow"/>
                <w:sz w:val="13"/>
                <w:szCs w:val="13"/>
                <w:lang w:val="en-US" w:eastAsia="el-GR"/>
              </w:rPr>
              <w:br/>
              <w:t xml:space="preserve">(from 43 fewer to 161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Rhinitis/Sinusitis</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34/216 (15.7%)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14/107 (13.1%)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1.08</w:t>
            </w:r>
            <w:r w:rsidRPr="00270C1C">
              <w:rPr>
                <w:rFonts w:ascii="Arial Narrow" w:eastAsia="Times New Roman" w:hAnsi="Arial Narrow"/>
                <w:sz w:val="13"/>
                <w:szCs w:val="13"/>
                <w:lang w:eastAsia="el-GR"/>
              </w:rPr>
              <w:br/>
              <w:t xml:space="preserve">(0.42 to 2.76)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9 more per 1.000</w:t>
            </w:r>
            <w:r w:rsidRPr="00270C1C">
              <w:rPr>
                <w:rFonts w:ascii="Arial Narrow" w:eastAsia="Times New Roman" w:hAnsi="Arial Narrow"/>
                <w:sz w:val="13"/>
                <w:szCs w:val="13"/>
                <w:lang w:val="en-US" w:eastAsia="el-GR"/>
              </w:rPr>
              <w:br/>
              <w:t xml:space="preserve">(from 71 fewer to 163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Fever</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24/195 (12.3%)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12/102 (11.8%)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1.07</w:t>
            </w:r>
            <w:r w:rsidRPr="00270C1C">
              <w:rPr>
                <w:rFonts w:ascii="Arial Narrow" w:eastAsia="Times New Roman" w:hAnsi="Arial Narrow"/>
                <w:sz w:val="13"/>
                <w:szCs w:val="13"/>
                <w:lang w:eastAsia="el-GR"/>
              </w:rPr>
              <w:br/>
              <w:t xml:space="preserve">(0.51 to 2.24)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7 more per 1.000</w:t>
            </w:r>
            <w:r w:rsidRPr="00270C1C">
              <w:rPr>
                <w:rFonts w:ascii="Arial Narrow" w:eastAsia="Times New Roman" w:hAnsi="Arial Narrow"/>
                <w:sz w:val="13"/>
                <w:szCs w:val="13"/>
                <w:lang w:val="en-US" w:eastAsia="el-GR"/>
              </w:rPr>
              <w:br/>
              <w:t xml:space="preserve">(from 54 fewer to 112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Abdominal pain</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25/216 (11.6%)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5/107 (4.7%)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2.42</w:t>
            </w:r>
            <w:r w:rsidRPr="00270C1C">
              <w:rPr>
                <w:rFonts w:ascii="Arial Narrow" w:eastAsia="Times New Roman" w:hAnsi="Arial Narrow"/>
                <w:sz w:val="13"/>
                <w:szCs w:val="13"/>
                <w:lang w:eastAsia="el-GR"/>
              </w:rPr>
              <w:br/>
              <w:t xml:space="preserve">(0.88 to 6.62)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59 more per 1.000</w:t>
            </w:r>
            <w:r w:rsidRPr="00270C1C">
              <w:rPr>
                <w:rFonts w:ascii="Arial Narrow" w:eastAsia="Times New Roman" w:hAnsi="Arial Narrow"/>
                <w:sz w:val="13"/>
                <w:szCs w:val="13"/>
                <w:lang w:val="en-US" w:eastAsia="el-GR"/>
              </w:rPr>
              <w:br/>
              <w:t xml:space="preserve">(from 5 fewer to 198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Headache</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43/216 (19.9%)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18/107 (16.8%)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1.30</w:t>
            </w:r>
            <w:r w:rsidRPr="00270C1C">
              <w:rPr>
                <w:rFonts w:ascii="Arial Narrow" w:eastAsia="Times New Roman" w:hAnsi="Arial Narrow"/>
                <w:sz w:val="13"/>
                <w:szCs w:val="13"/>
                <w:lang w:eastAsia="el-GR"/>
              </w:rPr>
              <w:br/>
              <w:t xml:space="preserve">(0.66 to 2.56)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40 more per 1.000</w:t>
            </w:r>
            <w:r w:rsidRPr="00270C1C">
              <w:rPr>
                <w:rFonts w:ascii="Arial Narrow" w:eastAsia="Times New Roman" w:hAnsi="Arial Narrow"/>
                <w:sz w:val="13"/>
                <w:szCs w:val="13"/>
                <w:lang w:val="en-US" w:eastAsia="el-GR"/>
              </w:rPr>
              <w:br/>
              <w:t xml:space="preserve">(from 50 fewer to 173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Flu syndrome</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25/195 (12.8%)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21/102 (20.6%)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0.54</w:t>
            </w:r>
            <w:r w:rsidRPr="00270C1C">
              <w:rPr>
                <w:rFonts w:ascii="Arial Narrow" w:eastAsia="Times New Roman" w:hAnsi="Arial Narrow"/>
                <w:sz w:val="13"/>
                <w:szCs w:val="13"/>
                <w:lang w:eastAsia="el-GR"/>
              </w:rPr>
              <w:br/>
              <w:t xml:space="preserve">(0.26 to 1.13)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83 fewer per 1.000</w:t>
            </w:r>
            <w:r w:rsidRPr="00270C1C">
              <w:rPr>
                <w:rFonts w:ascii="Arial Narrow" w:eastAsia="Times New Roman" w:hAnsi="Arial Narrow"/>
                <w:sz w:val="13"/>
                <w:szCs w:val="13"/>
                <w:lang w:val="en-US" w:eastAsia="el-GR"/>
              </w:rPr>
              <w:br/>
              <w:t xml:space="preserve">(from 21 more to 143 fewer)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Pharyngitis</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23/216 (10.6%)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11/107 (10.3%)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1.07</w:t>
            </w:r>
            <w:r w:rsidRPr="00270C1C">
              <w:rPr>
                <w:rFonts w:ascii="Arial Narrow" w:eastAsia="Times New Roman" w:hAnsi="Arial Narrow"/>
                <w:sz w:val="13"/>
                <w:szCs w:val="13"/>
                <w:lang w:eastAsia="el-GR"/>
              </w:rPr>
              <w:br/>
              <w:t xml:space="preserve">(0.48 to 2.37)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6 more per 1.000</w:t>
            </w:r>
            <w:r w:rsidRPr="00270C1C">
              <w:rPr>
                <w:rFonts w:ascii="Arial Narrow" w:eastAsia="Times New Roman" w:hAnsi="Arial Narrow"/>
                <w:sz w:val="13"/>
                <w:szCs w:val="13"/>
                <w:lang w:val="en-US" w:eastAsia="el-GR"/>
              </w:rPr>
              <w:br/>
              <w:t xml:space="preserve">(from 51 fewer to 111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lastRenderedPageBreak/>
              <w:t>Rash/Allergic reaction</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21/216 (9.7%)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6/107 (5.6%)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1.77</w:t>
            </w:r>
            <w:r w:rsidRPr="00270C1C">
              <w:rPr>
                <w:rFonts w:ascii="Arial Narrow" w:eastAsia="Times New Roman" w:hAnsi="Arial Narrow"/>
                <w:sz w:val="13"/>
                <w:szCs w:val="13"/>
                <w:lang w:eastAsia="el-GR"/>
              </w:rPr>
              <w:br/>
              <w:t xml:space="preserve">(0.51 to 6.12)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39 more per 1.000</w:t>
            </w:r>
            <w:r w:rsidRPr="00270C1C">
              <w:rPr>
                <w:rFonts w:ascii="Arial Narrow" w:eastAsia="Times New Roman" w:hAnsi="Arial Narrow"/>
                <w:sz w:val="13"/>
                <w:szCs w:val="13"/>
                <w:lang w:val="en-US" w:eastAsia="el-GR"/>
              </w:rPr>
              <w:br/>
              <w:t xml:space="preserve">(from 27 fewer to 211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Cold, common</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24/74 (32.4%)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17/36 (47.2%)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0.60</w:t>
            </w:r>
            <w:r w:rsidRPr="00270C1C">
              <w:rPr>
                <w:rFonts w:ascii="Arial Narrow" w:eastAsia="Times New Roman" w:hAnsi="Arial Narrow"/>
                <w:sz w:val="13"/>
                <w:szCs w:val="13"/>
                <w:lang w:eastAsia="el-GR"/>
              </w:rPr>
              <w:br/>
              <w:t xml:space="preserve">(0.25 to 1.42)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123 fewer per 1.000</w:t>
            </w:r>
            <w:r w:rsidRPr="00270C1C">
              <w:rPr>
                <w:rFonts w:ascii="Arial Narrow" w:eastAsia="Times New Roman" w:hAnsi="Arial Narrow"/>
                <w:sz w:val="13"/>
                <w:szCs w:val="13"/>
                <w:lang w:val="en-US" w:eastAsia="el-GR"/>
              </w:rPr>
              <w:br/>
              <w:t xml:space="preserve">(from 87 more to 289 fewer)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Accidental injury</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16/74 (21.6%)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4/36 (11.1%)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2.32</w:t>
            </w:r>
            <w:r w:rsidRPr="00270C1C">
              <w:rPr>
                <w:rFonts w:ascii="Arial Narrow" w:eastAsia="Times New Roman" w:hAnsi="Arial Narrow"/>
                <w:sz w:val="13"/>
                <w:szCs w:val="13"/>
                <w:lang w:eastAsia="el-GR"/>
              </w:rPr>
              <w:br/>
              <w:t xml:space="preserve">(0.74 to 7.22)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114 more per 1.000</w:t>
            </w:r>
            <w:r w:rsidRPr="00270C1C">
              <w:rPr>
                <w:rFonts w:ascii="Arial Narrow" w:eastAsia="Times New Roman" w:hAnsi="Arial Narrow"/>
                <w:sz w:val="13"/>
                <w:szCs w:val="13"/>
                <w:lang w:val="en-US" w:eastAsia="el-GR"/>
              </w:rPr>
              <w:br/>
              <w:t xml:space="preserve">(from 26 fewer to 363 more)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(2 years)</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46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28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0.41 lower</w:t>
            </w:r>
            <w:r w:rsidRPr="00270C1C">
              <w:rPr>
                <w:rFonts w:ascii="Arial Narrow" w:eastAsia="Times New Roman" w:hAnsi="Arial Narrow"/>
                <w:sz w:val="13"/>
                <w:szCs w:val="13"/>
                <w:lang w:val="en-US" w:eastAsia="el-GR"/>
              </w:rPr>
              <w:br/>
              <w:t xml:space="preserve">(0.7 lower to 0.12 lower)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w:t>
            </w:r>
          </w:p>
        </w:tc>
      </w:tr>
      <w:tr w:rsidR="00270C1C" w:rsidRPr="00270C1C" w:rsidTr="00EF4B76">
        <w:trPr>
          <w:cantSplit/>
        </w:trPr>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41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37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d</w:t>
            </w:r>
          </w:p>
        </w:tc>
        <w:tc>
          <w:tcPr>
            <w:tcW w:w="44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46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27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0.12 lower</w:t>
            </w:r>
            <w:r w:rsidRPr="00270C1C">
              <w:rPr>
                <w:rFonts w:ascii="Arial Narrow" w:eastAsia="Times New Roman" w:hAnsi="Arial Narrow"/>
                <w:sz w:val="13"/>
                <w:szCs w:val="13"/>
                <w:lang w:val="en-US" w:eastAsia="el-GR"/>
              </w:rPr>
              <w:br/>
              <w:t xml:space="preserve">(0.29 lower to 0.05 higher)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4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 </w:t>
      </w:r>
      <w:r w:rsidRPr="00270C1C">
        <w:rPr>
          <w:rFonts w:ascii="Arial Narrow" w:eastAsiaTheme="minorEastAsia" w:hAnsi="Arial Narrow" w:cs="Times New Roman"/>
          <w:b/>
          <w:bCs/>
          <w:color w:val="000000"/>
          <w:sz w:val="14"/>
          <w:szCs w:val="14"/>
          <w:lang w:val="en-US" w:eastAsia="el-GR"/>
        </w:rPr>
        <w:t>OR:</w:t>
      </w:r>
      <w:r w:rsidRPr="00270C1C">
        <w:rPr>
          <w:rFonts w:ascii="Arial Narrow" w:eastAsiaTheme="minorEastAsia" w:hAnsi="Arial Narrow" w:cs="Times New Roman"/>
          <w:color w:val="000000"/>
          <w:sz w:val="14"/>
          <w:szCs w:val="14"/>
          <w:lang w:val="en-US" w:eastAsia="el-GR"/>
        </w:rPr>
        <w:t xml:space="preserve"> Odds ratio</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a. Outcome investigated in a single study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c. I</w:t>
      </w:r>
      <w:r w:rsidRPr="00270C1C">
        <w:rPr>
          <w:rFonts w:ascii="Arial Narrow" w:eastAsia="Times New Roman" w:hAnsi="Arial Narrow"/>
          <w:color w:val="000000"/>
          <w:sz w:val="16"/>
          <w:szCs w:val="16"/>
          <w:vertAlign w:val="superscript"/>
          <w:lang w:val="en-US" w:eastAsia="el-GR"/>
        </w:rPr>
        <w:t>2</w:t>
      </w:r>
      <w:r w:rsidRPr="00270C1C">
        <w:rPr>
          <w:rFonts w:ascii="Arial Narrow" w:eastAsia="Times New Roman" w:hAnsi="Arial Narrow"/>
          <w:color w:val="000000"/>
          <w:sz w:val="16"/>
          <w:szCs w:val="16"/>
          <w:lang w:val="en-US" w:eastAsia="el-GR"/>
        </w:rPr>
        <w:t xml:space="preserve"> in the moderate range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d. CI overlaps no effect with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e. Wide CIs; imprecision around effect estimate </w:t>
      </w:r>
    </w:p>
    <w:p w:rsidR="00270C1C" w:rsidRPr="00270C1C" w:rsidRDefault="00270C1C" w:rsidP="00270C1C">
      <w:pPr>
        <w:spacing w:line="140" w:lineRule="atLeast"/>
        <w:rPr>
          <w:rFonts w:ascii="Arial Narrow" w:eastAsia="Times New Roman" w:hAnsi="Arial Narrow"/>
          <w:color w:val="000000"/>
          <w:sz w:val="16"/>
          <w:szCs w:val="16"/>
          <w:vertAlign w:val="superscript"/>
          <w:lang w:val="en-US" w:eastAsia="el-GR"/>
        </w:rPr>
      </w:pPr>
      <w:r w:rsidRPr="00270C1C">
        <w:rPr>
          <w:rFonts w:ascii="Arial Narrow" w:eastAsia="Times New Roman" w:hAnsi="Arial Narrow"/>
          <w:color w:val="000000"/>
          <w:sz w:val="16"/>
          <w:szCs w:val="16"/>
          <w:lang w:val="en-US" w:eastAsia="el-GR"/>
        </w:rPr>
        <w:t>f. Important, high I</w:t>
      </w:r>
      <w:r w:rsidRPr="00270C1C">
        <w:rPr>
          <w:rFonts w:ascii="Arial Narrow" w:eastAsia="Times New Roman" w:hAnsi="Arial Narrow"/>
          <w:color w:val="000000"/>
          <w:sz w:val="16"/>
          <w:szCs w:val="16"/>
          <w:vertAlign w:val="superscript"/>
          <w:lang w:val="en-US" w:eastAsia="el-GR"/>
        </w:rPr>
        <w:t>2</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50F87" w:rsidRDefault="00250F87"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lastRenderedPageBreak/>
        <w:t>Outcome of interest</w:t>
      </w:r>
      <w:r w:rsidRPr="00270C1C">
        <w:rPr>
          <w:rFonts w:ascii="Arial Narrow" w:eastAsia="Times New Roman" w:hAnsi="Arial Narrow"/>
          <w:color w:val="000000"/>
          <w:sz w:val="20"/>
          <w:szCs w:val="20"/>
          <w:lang w:val="en-US" w:eastAsia="el-GR"/>
        </w:rPr>
        <w:t xml:space="preserve">: Rigid gas permeable contact lenses compared to spectacles or soft contact lenses for myopia control  </w:t>
      </w:r>
    </w:p>
    <w:tbl>
      <w:tblPr>
        <w:tblW w:w="5985" w:type="pct"/>
        <w:tblInd w:w="-859"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24"/>
        <w:gridCol w:w="709"/>
        <w:gridCol w:w="495"/>
        <w:gridCol w:w="862"/>
        <w:gridCol w:w="780"/>
        <w:gridCol w:w="749"/>
        <w:gridCol w:w="910"/>
        <w:gridCol w:w="685"/>
        <w:gridCol w:w="697"/>
        <w:gridCol w:w="560"/>
        <w:gridCol w:w="830"/>
        <w:gridCol w:w="1136"/>
        <w:gridCol w:w="993"/>
      </w:tblGrid>
      <w:tr w:rsidR="00270C1C" w:rsidRPr="00270C1C" w:rsidTr="00EF4B76">
        <w:trPr>
          <w:cantSplit/>
          <w:tblHeader/>
        </w:trPr>
        <w:tc>
          <w:tcPr>
            <w:tcW w:w="2532"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696"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700"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572"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499"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6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5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4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3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9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7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5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34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val="en-US" w:eastAsia="el-GR"/>
              </w:rPr>
            </w:pPr>
            <w:r w:rsidRPr="00270C1C">
              <w:rPr>
                <w:rFonts w:ascii="Arial Narrow" w:eastAsia="Times New Roman" w:hAnsi="Arial Narrow"/>
                <w:b/>
                <w:bCs/>
                <w:sz w:val="13"/>
                <w:szCs w:val="13"/>
                <w:lang w:val="en-US" w:eastAsia="el-GR"/>
              </w:rPr>
              <w:t>Rigid gas permeable contact lenses</w:t>
            </w:r>
          </w:p>
        </w:tc>
        <w:tc>
          <w:tcPr>
            <w:tcW w:w="351"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val="en-US" w:eastAsia="el-GR"/>
              </w:rPr>
            </w:pPr>
            <w:r w:rsidRPr="00270C1C">
              <w:rPr>
                <w:rFonts w:ascii="Arial Narrow" w:eastAsia="Times New Roman" w:hAnsi="Arial Narrow"/>
                <w:b/>
                <w:bCs/>
                <w:sz w:val="13"/>
                <w:szCs w:val="13"/>
                <w:lang w:val="en-US" w:eastAsia="el-GR"/>
              </w:rPr>
              <w:t>spectacles or soft contact lenses</w:t>
            </w:r>
          </w:p>
        </w:tc>
        <w:tc>
          <w:tcPr>
            <w:tcW w:w="28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41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572"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499"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4C28F5" w:rsidRPr="00270C1C" w:rsidTr="00EF4B76">
        <w:trPr>
          <w:cantSplit/>
        </w:trPr>
        <w:tc>
          <w:tcPr>
            <w:tcW w:w="26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39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178 </w:t>
            </w:r>
          </w:p>
        </w:tc>
        <w:tc>
          <w:tcPr>
            <w:tcW w:w="35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242 </w:t>
            </w:r>
          </w:p>
        </w:tc>
        <w:tc>
          <w:tcPr>
            <w:tcW w:w="2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1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0.08 lower</w:t>
            </w:r>
            <w:r w:rsidRPr="00270C1C">
              <w:rPr>
                <w:rFonts w:ascii="Arial Narrow" w:eastAsia="Times New Roman" w:hAnsi="Arial Narrow"/>
                <w:sz w:val="13"/>
                <w:szCs w:val="13"/>
                <w:lang w:val="en-US" w:eastAsia="el-GR"/>
              </w:rPr>
              <w:br/>
              <w:t xml:space="preserve">(0.19 lower to 0.02 higher) </w:t>
            </w:r>
          </w:p>
        </w:tc>
        <w:tc>
          <w:tcPr>
            <w:tcW w:w="5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49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(2 years)</w:t>
            </w:r>
          </w:p>
        </w:tc>
      </w:tr>
      <w:tr w:rsidR="004C28F5" w:rsidRPr="00270C1C" w:rsidTr="00EF4B76">
        <w:trPr>
          <w:cantSplit/>
        </w:trPr>
        <w:tc>
          <w:tcPr>
            <w:tcW w:w="26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39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154 </w:t>
            </w:r>
          </w:p>
        </w:tc>
        <w:tc>
          <w:tcPr>
            <w:tcW w:w="35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244 </w:t>
            </w:r>
          </w:p>
        </w:tc>
        <w:tc>
          <w:tcPr>
            <w:tcW w:w="2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1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MD </w:t>
            </w:r>
            <w:r w:rsidRPr="00270C1C">
              <w:rPr>
                <w:rFonts w:ascii="Arial Narrow" w:eastAsia="Times New Roman" w:hAnsi="Arial Narrow"/>
                <w:b/>
                <w:bCs/>
                <w:sz w:val="13"/>
                <w:szCs w:val="13"/>
                <w:lang w:eastAsia="el-GR"/>
              </w:rPr>
              <w:t>0.16 lower</w:t>
            </w:r>
            <w:r w:rsidRPr="00270C1C">
              <w:rPr>
                <w:rFonts w:ascii="Arial Narrow" w:eastAsia="Times New Roman" w:hAnsi="Arial Narrow"/>
                <w:sz w:val="13"/>
                <w:szCs w:val="13"/>
                <w:lang w:eastAsia="el-GR"/>
              </w:rPr>
              <w:br/>
              <w:t xml:space="preserve">(0.33 lower to 0 ) </w:t>
            </w:r>
          </w:p>
        </w:tc>
        <w:tc>
          <w:tcPr>
            <w:tcW w:w="5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49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w:t>
            </w:r>
          </w:p>
        </w:tc>
      </w:tr>
      <w:tr w:rsidR="004C28F5" w:rsidRPr="00270C1C" w:rsidTr="00EF4B76">
        <w:trPr>
          <w:cantSplit/>
        </w:trPr>
        <w:tc>
          <w:tcPr>
            <w:tcW w:w="26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9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176 </w:t>
            </w:r>
          </w:p>
        </w:tc>
        <w:tc>
          <w:tcPr>
            <w:tcW w:w="35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239 </w:t>
            </w:r>
          </w:p>
        </w:tc>
        <w:tc>
          <w:tcPr>
            <w:tcW w:w="2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1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0.02 higher</w:t>
            </w:r>
            <w:r w:rsidRPr="00270C1C">
              <w:rPr>
                <w:rFonts w:ascii="Arial Narrow" w:eastAsia="Times New Roman" w:hAnsi="Arial Narrow"/>
                <w:sz w:val="13"/>
                <w:szCs w:val="13"/>
                <w:lang w:val="en-US" w:eastAsia="el-GR"/>
              </w:rPr>
              <w:br/>
              <w:t xml:space="preserve">(0.05 lower to 0.1 higher) </w:t>
            </w:r>
          </w:p>
        </w:tc>
        <w:tc>
          <w:tcPr>
            <w:tcW w:w="5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9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w:t>
            </w:r>
          </w:p>
        </w:tc>
      </w:tr>
      <w:tr w:rsidR="004C28F5" w:rsidRPr="00270C1C" w:rsidTr="00EF4B76">
        <w:trPr>
          <w:cantSplit/>
        </w:trPr>
        <w:tc>
          <w:tcPr>
            <w:tcW w:w="26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9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154 </w:t>
            </w:r>
          </w:p>
        </w:tc>
        <w:tc>
          <w:tcPr>
            <w:tcW w:w="35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240 </w:t>
            </w:r>
          </w:p>
        </w:tc>
        <w:tc>
          <w:tcPr>
            <w:tcW w:w="2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1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0.03 higher</w:t>
            </w:r>
            <w:r w:rsidRPr="00270C1C">
              <w:rPr>
                <w:rFonts w:ascii="Arial Narrow" w:eastAsia="Times New Roman" w:hAnsi="Arial Narrow"/>
                <w:sz w:val="13"/>
                <w:szCs w:val="13"/>
                <w:lang w:val="en-US" w:eastAsia="el-GR"/>
              </w:rPr>
              <w:br/>
              <w:t xml:space="preserve">(0.05 lower to 0.12 higher) </w:t>
            </w:r>
          </w:p>
        </w:tc>
        <w:tc>
          <w:tcPr>
            <w:tcW w:w="57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9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a. Important, high I</w:t>
      </w:r>
      <w:r w:rsidRPr="00270C1C">
        <w:rPr>
          <w:rFonts w:ascii="Arial Narrow" w:eastAsia="Times New Roman" w:hAnsi="Arial Narrow"/>
          <w:color w:val="000000"/>
          <w:sz w:val="16"/>
          <w:szCs w:val="16"/>
          <w:vertAlign w:val="superscript"/>
          <w:lang w:val="en-US" w:eastAsia="el-GR"/>
        </w:rPr>
        <w:t xml:space="preserve">2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CI overlaps no effect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50F87" w:rsidRDefault="00250F87" w:rsidP="00270C1C">
      <w:pPr>
        <w:spacing w:line="140" w:lineRule="atLeast"/>
        <w:rPr>
          <w:rFonts w:ascii="Arial Narrow" w:eastAsia="Times New Roman" w:hAnsi="Arial Narrow"/>
          <w:b/>
          <w:bCs/>
          <w:color w:val="000000"/>
          <w:sz w:val="20"/>
          <w:szCs w:val="20"/>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lastRenderedPageBreak/>
        <w:t>Outcome of interest</w:t>
      </w:r>
      <w:r w:rsidRPr="00270C1C">
        <w:rPr>
          <w:rFonts w:ascii="Arial Narrow" w:eastAsia="Times New Roman" w:hAnsi="Arial Narrow"/>
          <w:color w:val="000000"/>
          <w:sz w:val="20"/>
          <w:szCs w:val="20"/>
          <w:lang w:val="en-US" w:eastAsia="el-GR"/>
        </w:rPr>
        <w:t xml:space="preserve">: Concentric ring bifocal soft contact lenses compared to single vision soft contact lenses for myopia control  </w:t>
      </w:r>
    </w:p>
    <w:tbl>
      <w:tblPr>
        <w:tblW w:w="5985" w:type="pct"/>
        <w:tblInd w:w="-859"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24"/>
        <w:gridCol w:w="709"/>
        <w:gridCol w:w="495"/>
        <w:gridCol w:w="862"/>
        <w:gridCol w:w="780"/>
        <w:gridCol w:w="749"/>
        <w:gridCol w:w="910"/>
        <w:gridCol w:w="707"/>
        <w:gridCol w:w="530"/>
        <w:gridCol w:w="560"/>
        <w:gridCol w:w="975"/>
        <w:gridCol w:w="1134"/>
        <w:gridCol w:w="995"/>
      </w:tblGrid>
      <w:tr w:rsidR="00270C1C" w:rsidRPr="00270C1C" w:rsidTr="00EF4B76">
        <w:trPr>
          <w:cantSplit/>
          <w:tblHeader/>
        </w:trPr>
        <w:tc>
          <w:tcPr>
            <w:tcW w:w="2532"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623"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773"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571"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6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5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4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3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9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7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5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35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val="en-US" w:eastAsia="el-GR"/>
              </w:rPr>
            </w:pPr>
            <w:r w:rsidRPr="00270C1C">
              <w:rPr>
                <w:rFonts w:ascii="Arial Narrow" w:eastAsia="Times New Roman" w:hAnsi="Arial Narrow"/>
                <w:b/>
                <w:bCs/>
                <w:sz w:val="13"/>
                <w:szCs w:val="13"/>
                <w:lang w:val="en-US" w:eastAsia="el-GR"/>
              </w:rPr>
              <w:t>Concentric ring bifocal soft contact lenses</w:t>
            </w:r>
          </w:p>
        </w:tc>
        <w:tc>
          <w:tcPr>
            <w:tcW w:w="26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val="en-US" w:eastAsia="el-GR"/>
              </w:rPr>
            </w:pPr>
            <w:r w:rsidRPr="00270C1C">
              <w:rPr>
                <w:rFonts w:ascii="Arial Narrow" w:eastAsia="Times New Roman" w:hAnsi="Arial Narrow"/>
                <w:b/>
                <w:bCs/>
                <w:sz w:val="13"/>
                <w:szCs w:val="13"/>
                <w:lang w:val="en-US" w:eastAsia="el-GR"/>
              </w:rPr>
              <w:t>single vision soft contact lenses</w:t>
            </w:r>
          </w:p>
        </w:tc>
        <w:tc>
          <w:tcPr>
            <w:tcW w:w="28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491"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571"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500"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4C28F5" w:rsidRPr="00270C1C" w:rsidTr="00EF4B76">
        <w:trPr>
          <w:cantSplit/>
        </w:trPr>
        <w:tc>
          <w:tcPr>
            <w:tcW w:w="26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39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94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92 </w:t>
            </w:r>
          </w:p>
        </w:tc>
        <w:tc>
          <w:tcPr>
            <w:tcW w:w="2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9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0.15 lower</w:t>
            </w:r>
            <w:r w:rsidRPr="00270C1C">
              <w:rPr>
                <w:rFonts w:ascii="Arial Narrow" w:eastAsia="Times New Roman" w:hAnsi="Arial Narrow"/>
                <w:sz w:val="13"/>
                <w:szCs w:val="13"/>
                <w:lang w:val="en-US" w:eastAsia="el-GR"/>
              </w:rPr>
              <w:br/>
              <w:t xml:space="preserve">(0.27 lower to 0.03 lower) </w:t>
            </w:r>
          </w:p>
        </w:tc>
        <w:tc>
          <w:tcPr>
            <w:tcW w:w="5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50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w:t>
            </w:r>
          </w:p>
        </w:tc>
      </w:tr>
      <w:tr w:rsidR="004C28F5" w:rsidRPr="00270C1C" w:rsidTr="00EF4B76">
        <w:trPr>
          <w:cantSplit/>
        </w:trPr>
        <w:tc>
          <w:tcPr>
            <w:tcW w:w="26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39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132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132 </w:t>
            </w:r>
          </w:p>
        </w:tc>
        <w:tc>
          <w:tcPr>
            <w:tcW w:w="2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9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0.12 lower</w:t>
            </w:r>
            <w:r w:rsidRPr="00270C1C">
              <w:rPr>
                <w:rFonts w:ascii="Arial Narrow" w:eastAsia="Times New Roman" w:hAnsi="Arial Narrow"/>
                <w:sz w:val="13"/>
                <w:szCs w:val="13"/>
                <w:lang w:val="en-US" w:eastAsia="el-GR"/>
              </w:rPr>
              <w:br/>
              <w:t xml:space="preserve">(0.19 lower to 0.06 lower) </w:t>
            </w:r>
          </w:p>
        </w:tc>
        <w:tc>
          <w:tcPr>
            <w:tcW w:w="5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50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Contact lens-related discomfort/Unwillingness to wear contact lenses</w:t>
            </w:r>
          </w:p>
        </w:tc>
      </w:tr>
      <w:tr w:rsidR="004C28F5" w:rsidRPr="00270C1C" w:rsidTr="00EF4B76">
        <w:trPr>
          <w:cantSplit/>
        </w:trPr>
        <w:tc>
          <w:tcPr>
            <w:tcW w:w="26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9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22/131 (16.8%)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23/130 (17.7%) </w:t>
            </w:r>
          </w:p>
        </w:tc>
        <w:tc>
          <w:tcPr>
            <w:tcW w:w="2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0.95</w:t>
            </w:r>
            <w:r w:rsidRPr="00270C1C">
              <w:rPr>
                <w:rFonts w:ascii="Arial Narrow" w:eastAsia="Times New Roman" w:hAnsi="Arial Narrow"/>
                <w:sz w:val="13"/>
                <w:szCs w:val="13"/>
                <w:lang w:eastAsia="el-GR"/>
              </w:rPr>
              <w:br/>
              <w:t xml:space="preserve">(0.49 to 1.81) </w:t>
            </w:r>
          </w:p>
        </w:tc>
        <w:tc>
          <w:tcPr>
            <w:tcW w:w="49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7 fewer per 1.000</w:t>
            </w:r>
            <w:r w:rsidRPr="00270C1C">
              <w:rPr>
                <w:rFonts w:ascii="Arial Narrow" w:eastAsia="Times New Roman" w:hAnsi="Arial Narrow"/>
                <w:sz w:val="13"/>
                <w:szCs w:val="13"/>
                <w:lang w:val="en-US" w:eastAsia="el-GR"/>
              </w:rPr>
              <w:br/>
              <w:t xml:space="preserve">(from 82 fewer to 103 more) </w:t>
            </w:r>
          </w:p>
        </w:tc>
        <w:tc>
          <w:tcPr>
            <w:tcW w:w="5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0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(2 years)</w:t>
            </w:r>
          </w:p>
        </w:tc>
      </w:tr>
      <w:tr w:rsidR="004C28F5" w:rsidRPr="00270C1C" w:rsidTr="00EF4B76">
        <w:trPr>
          <w:cantSplit/>
        </w:trPr>
        <w:tc>
          <w:tcPr>
            <w:tcW w:w="26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39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65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63 </w:t>
            </w:r>
          </w:p>
        </w:tc>
        <w:tc>
          <w:tcPr>
            <w:tcW w:w="2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9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 lower</w:t>
            </w:r>
            <w:r w:rsidRPr="00270C1C">
              <w:rPr>
                <w:rFonts w:ascii="Arial Narrow" w:eastAsia="Times New Roman" w:hAnsi="Arial Narrow"/>
                <w:sz w:val="13"/>
                <w:szCs w:val="13"/>
                <w:lang w:val="en-US" w:eastAsia="el-GR"/>
              </w:rPr>
              <w:br/>
              <w:t xml:space="preserve">(0.38 lower to 0.02 lower) </w:t>
            </w:r>
          </w:p>
        </w:tc>
        <w:tc>
          <w:tcPr>
            <w:tcW w:w="5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0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w:t>
            </w:r>
          </w:p>
        </w:tc>
      </w:tr>
      <w:tr w:rsidR="004C28F5" w:rsidRPr="00270C1C" w:rsidTr="00EF4B76">
        <w:trPr>
          <w:cantSplit/>
        </w:trPr>
        <w:tc>
          <w:tcPr>
            <w:tcW w:w="26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43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39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5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5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65 </w:t>
            </w:r>
          </w:p>
        </w:tc>
        <w:tc>
          <w:tcPr>
            <w:tcW w:w="2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63 </w:t>
            </w:r>
          </w:p>
        </w:tc>
        <w:tc>
          <w:tcPr>
            <w:tcW w:w="2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9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0.12 lower</w:t>
            </w:r>
            <w:r w:rsidRPr="00270C1C">
              <w:rPr>
                <w:rFonts w:ascii="Arial Narrow" w:eastAsia="Times New Roman" w:hAnsi="Arial Narrow"/>
                <w:sz w:val="13"/>
                <w:szCs w:val="13"/>
                <w:lang w:val="en-US" w:eastAsia="el-GR"/>
              </w:rPr>
              <w:br/>
              <w:t xml:space="preserve">(0.2 lower to 0.04 lower) </w:t>
            </w:r>
          </w:p>
        </w:tc>
        <w:tc>
          <w:tcPr>
            <w:tcW w:w="5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0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 </w:t>
      </w:r>
      <w:r w:rsidRPr="00270C1C">
        <w:rPr>
          <w:rFonts w:ascii="Arial Narrow" w:eastAsiaTheme="minorEastAsia" w:hAnsi="Arial Narrow" w:cs="Times New Roman"/>
          <w:b/>
          <w:bCs/>
          <w:color w:val="000000"/>
          <w:sz w:val="14"/>
          <w:szCs w:val="14"/>
          <w:lang w:val="en-US" w:eastAsia="el-GR"/>
        </w:rPr>
        <w:t>OR:</w:t>
      </w:r>
      <w:r w:rsidRPr="00270C1C">
        <w:rPr>
          <w:rFonts w:ascii="Arial Narrow" w:eastAsiaTheme="minorEastAsia" w:hAnsi="Arial Narrow" w:cs="Times New Roman"/>
          <w:color w:val="000000"/>
          <w:sz w:val="14"/>
          <w:szCs w:val="14"/>
          <w:lang w:val="en-US" w:eastAsia="el-GR"/>
        </w:rPr>
        <w:t xml:space="preserve"> Odds ratio</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a. Important, high I</w:t>
      </w:r>
      <w:r w:rsidRPr="00270C1C">
        <w:rPr>
          <w:rFonts w:ascii="Arial Narrow" w:eastAsia="Times New Roman" w:hAnsi="Arial Narrow"/>
          <w:color w:val="000000"/>
          <w:sz w:val="16"/>
          <w:szCs w:val="16"/>
          <w:vertAlign w:val="superscript"/>
          <w:lang w:val="en-US" w:eastAsia="el-GR"/>
        </w:rPr>
        <w:t xml:space="preserve">2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c. I</w:t>
      </w:r>
      <w:r w:rsidRPr="00270C1C">
        <w:rPr>
          <w:rFonts w:ascii="Arial Narrow" w:eastAsia="Times New Roman" w:hAnsi="Arial Narrow"/>
          <w:color w:val="000000"/>
          <w:sz w:val="16"/>
          <w:szCs w:val="16"/>
          <w:vertAlign w:val="superscript"/>
          <w:lang w:val="en-US" w:eastAsia="el-GR"/>
        </w:rPr>
        <w:t>2</w:t>
      </w:r>
      <w:r w:rsidRPr="00270C1C">
        <w:rPr>
          <w:rFonts w:ascii="Arial Narrow" w:eastAsia="Times New Roman" w:hAnsi="Arial Narrow"/>
          <w:color w:val="000000"/>
          <w:sz w:val="16"/>
          <w:szCs w:val="16"/>
          <w:lang w:val="en-US" w:eastAsia="el-GR"/>
        </w:rPr>
        <w:t xml:space="preserve"> in the moderate range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d. CI overlaps no effect with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e. Outcome investigated in a single study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50F87" w:rsidRDefault="00250F87" w:rsidP="00270C1C">
      <w:pPr>
        <w:spacing w:line="140" w:lineRule="atLeast"/>
        <w:rPr>
          <w:rFonts w:ascii="Arial Narrow" w:eastAsia="Times New Roman" w:hAnsi="Arial Narrow"/>
          <w:b/>
          <w:bCs/>
          <w:color w:val="000000"/>
          <w:sz w:val="20"/>
          <w:szCs w:val="20"/>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lastRenderedPageBreak/>
        <w:t>Outcome of interest</w:t>
      </w:r>
      <w:r w:rsidRPr="00270C1C">
        <w:rPr>
          <w:rFonts w:ascii="Arial Narrow" w:eastAsia="Times New Roman" w:hAnsi="Arial Narrow"/>
          <w:color w:val="000000"/>
          <w:sz w:val="20"/>
          <w:szCs w:val="20"/>
          <w:lang w:val="en-US" w:eastAsia="el-GR"/>
        </w:rPr>
        <w:t xml:space="preserve">: Peripheral add multifocal soft contact lenses compared to soft contact lenses or single vision lenses for myopia control  </w:t>
      </w:r>
    </w:p>
    <w:tbl>
      <w:tblPr>
        <w:tblW w:w="6156" w:type="pct"/>
        <w:tblInd w:w="-859"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25"/>
        <w:gridCol w:w="786"/>
        <w:gridCol w:w="494"/>
        <w:gridCol w:w="862"/>
        <w:gridCol w:w="780"/>
        <w:gridCol w:w="750"/>
        <w:gridCol w:w="909"/>
        <w:gridCol w:w="672"/>
        <w:gridCol w:w="531"/>
        <w:gridCol w:w="560"/>
        <w:gridCol w:w="1218"/>
        <w:gridCol w:w="993"/>
        <w:gridCol w:w="1134"/>
      </w:tblGrid>
      <w:tr w:rsidR="00270C1C" w:rsidRPr="00270C1C" w:rsidTr="00EF4B76">
        <w:trPr>
          <w:cantSplit/>
          <w:tblHeader/>
        </w:trPr>
        <w:tc>
          <w:tcPr>
            <w:tcW w:w="2500"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589"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870"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486"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555"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5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8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4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2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8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6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4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32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val="en-US" w:eastAsia="el-GR"/>
              </w:rPr>
            </w:pPr>
            <w:r w:rsidRPr="00270C1C">
              <w:rPr>
                <w:rFonts w:ascii="Arial Narrow" w:eastAsia="Times New Roman" w:hAnsi="Arial Narrow"/>
                <w:b/>
                <w:bCs/>
                <w:sz w:val="13"/>
                <w:szCs w:val="13"/>
                <w:lang w:val="en-US" w:eastAsia="el-GR"/>
              </w:rPr>
              <w:t>Peripheral add multifocal soft contact lenses</w:t>
            </w:r>
          </w:p>
        </w:tc>
        <w:tc>
          <w:tcPr>
            <w:tcW w:w="26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val="en-US" w:eastAsia="el-GR"/>
              </w:rPr>
            </w:pPr>
            <w:r w:rsidRPr="00270C1C">
              <w:rPr>
                <w:rFonts w:ascii="Arial Narrow" w:eastAsia="Times New Roman" w:hAnsi="Arial Narrow"/>
                <w:b/>
                <w:bCs/>
                <w:sz w:val="13"/>
                <w:szCs w:val="13"/>
                <w:lang w:val="en-US" w:eastAsia="el-GR"/>
              </w:rPr>
              <w:t>soft contact lenses or single vision lenses</w:t>
            </w:r>
          </w:p>
        </w:tc>
        <w:tc>
          <w:tcPr>
            <w:tcW w:w="27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59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486"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555"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4C28F5" w:rsidRPr="00270C1C" w:rsidTr="00EF4B76">
        <w:trPr>
          <w:cantSplit/>
        </w:trPr>
        <w:tc>
          <w:tcPr>
            <w:tcW w:w="2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r w:rsidRPr="00270C1C">
              <w:rPr>
                <w:rFonts w:ascii="Arial Narrow" w:eastAsia="Times New Roman" w:hAnsi="Arial Narrow"/>
                <w:sz w:val="13"/>
                <w:szCs w:val="13"/>
                <w:vertAlign w:val="superscript"/>
                <w:lang w:eastAsia="el-GR"/>
              </w:rPr>
              <w:t>a</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2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147 </w:t>
            </w:r>
          </w:p>
        </w:tc>
        <w:tc>
          <w:tcPr>
            <w:tcW w:w="26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147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9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0.23 lower</w:t>
            </w:r>
            <w:r w:rsidRPr="00270C1C">
              <w:rPr>
                <w:rFonts w:ascii="Arial Narrow" w:eastAsia="Times New Roman" w:hAnsi="Arial Narrow"/>
                <w:sz w:val="13"/>
                <w:szCs w:val="13"/>
                <w:lang w:val="en-US" w:eastAsia="el-GR"/>
              </w:rPr>
              <w:br/>
              <w:t xml:space="preserve">(0.31 lower to 0.14 lower)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5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 - RCTs</w:t>
            </w:r>
          </w:p>
        </w:tc>
      </w:tr>
      <w:tr w:rsidR="004C28F5" w:rsidRPr="00270C1C" w:rsidTr="00EF4B76">
        <w:trPr>
          <w:cantSplit/>
        </w:trPr>
        <w:tc>
          <w:tcPr>
            <w:tcW w:w="2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e</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2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51 </w:t>
            </w:r>
          </w:p>
        </w:tc>
        <w:tc>
          <w:tcPr>
            <w:tcW w:w="26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54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9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0.13 lower</w:t>
            </w:r>
            <w:r w:rsidRPr="00270C1C">
              <w:rPr>
                <w:rFonts w:ascii="Arial Narrow" w:eastAsia="Times New Roman" w:hAnsi="Arial Narrow"/>
                <w:sz w:val="13"/>
                <w:szCs w:val="13"/>
                <w:lang w:val="en-US" w:eastAsia="el-GR"/>
              </w:rPr>
              <w:br/>
              <w:t xml:space="preserve">(0.28 lower to 0.02 higher)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5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 - Cohort studies</w:t>
            </w:r>
          </w:p>
        </w:tc>
      </w:tr>
      <w:tr w:rsidR="004C28F5" w:rsidRPr="00270C1C" w:rsidTr="00EF4B76">
        <w:trPr>
          <w:cantSplit/>
        </w:trPr>
        <w:tc>
          <w:tcPr>
            <w:tcW w:w="2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f</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2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96 </w:t>
            </w:r>
          </w:p>
        </w:tc>
        <w:tc>
          <w:tcPr>
            <w:tcW w:w="26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93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9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0.27 lower</w:t>
            </w:r>
            <w:r w:rsidRPr="00270C1C">
              <w:rPr>
                <w:rFonts w:ascii="Arial Narrow" w:eastAsia="Times New Roman" w:hAnsi="Arial Narrow"/>
                <w:sz w:val="13"/>
                <w:szCs w:val="13"/>
                <w:lang w:val="en-US" w:eastAsia="el-GR"/>
              </w:rPr>
              <w:br/>
              <w:t xml:space="preserve">(0.38 lower to 0.17 lower)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5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(2 years)</w:t>
            </w:r>
          </w:p>
        </w:tc>
      </w:tr>
      <w:tr w:rsidR="004C28F5" w:rsidRPr="00270C1C" w:rsidTr="00EF4B76">
        <w:trPr>
          <w:cantSplit/>
        </w:trPr>
        <w:tc>
          <w:tcPr>
            <w:tcW w:w="2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f</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2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46 </w:t>
            </w:r>
          </w:p>
        </w:tc>
        <w:tc>
          <w:tcPr>
            <w:tcW w:w="26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53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9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0.5 lower</w:t>
            </w:r>
            <w:r w:rsidRPr="00270C1C">
              <w:rPr>
                <w:rFonts w:ascii="Arial Narrow" w:eastAsia="Times New Roman" w:hAnsi="Arial Narrow"/>
                <w:sz w:val="13"/>
                <w:szCs w:val="13"/>
                <w:lang w:val="en-US" w:eastAsia="el-GR"/>
              </w:rPr>
              <w:br/>
              <w:t xml:space="preserve">(0.65 lower to 0.35 lower)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5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w:t>
            </w:r>
          </w:p>
        </w:tc>
      </w:tr>
      <w:tr w:rsidR="004C28F5" w:rsidRPr="00270C1C" w:rsidTr="00EF4B76">
        <w:trPr>
          <w:cantSplit/>
        </w:trPr>
        <w:tc>
          <w:tcPr>
            <w:tcW w:w="2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r w:rsidRPr="00270C1C">
              <w:rPr>
                <w:rFonts w:ascii="Arial Narrow" w:eastAsia="Times New Roman" w:hAnsi="Arial Narrow"/>
                <w:sz w:val="13"/>
                <w:szCs w:val="13"/>
                <w:vertAlign w:val="superscript"/>
                <w:lang w:eastAsia="el-GR"/>
              </w:rPr>
              <w:t>a</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2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147 </w:t>
            </w:r>
          </w:p>
        </w:tc>
        <w:tc>
          <w:tcPr>
            <w:tcW w:w="26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147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9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 lower</w:t>
            </w:r>
            <w:r w:rsidRPr="00270C1C">
              <w:rPr>
                <w:rFonts w:ascii="Arial Narrow" w:eastAsia="Times New Roman" w:hAnsi="Arial Narrow"/>
                <w:sz w:val="13"/>
                <w:szCs w:val="13"/>
                <w:lang w:val="en-US" w:eastAsia="el-GR"/>
              </w:rPr>
              <w:br/>
              <w:t xml:space="preserve">(0.14 lower to 0.05 lower)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55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 - RCTs</w:t>
            </w:r>
          </w:p>
        </w:tc>
      </w:tr>
      <w:tr w:rsidR="004C28F5" w:rsidRPr="00270C1C" w:rsidTr="00EF4B76">
        <w:trPr>
          <w:cantSplit/>
        </w:trPr>
        <w:tc>
          <w:tcPr>
            <w:tcW w:w="2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2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51 </w:t>
            </w:r>
          </w:p>
        </w:tc>
        <w:tc>
          <w:tcPr>
            <w:tcW w:w="26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54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9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0.11 lower</w:t>
            </w:r>
            <w:r w:rsidRPr="00270C1C">
              <w:rPr>
                <w:rFonts w:ascii="Arial Narrow" w:eastAsia="Times New Roman" w:hAnsi="Arial Narrow"/>
                <w:sz w:val="13"/>
                <w:szCs w:val="13"/>
                <w:lang w:val="en-US" w:eastAsia="el-GR"/>
              </w:rPr>
              <w:br/>
              <w:t xml:space="preserve">(0.17 lower to 0.05 lower)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55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 - Cohort studies</w:t>
            </w:r>
          </w:p>
        </w:tc>
      </w:tr>
      <w:tr w:rsidR="004C28F5" w:rsidRPr="00270C1C" w:rsidTr="00EF4B76">
        <w:trPr>
          <w:cantSplit/>
        </w:trPr>
        <w:tc>
          <w:tcPr>
            <w:tcW w:w="2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f</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2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96 </w:t>
            </w:r>
          </w:p>
        </w:tc>
        <w:tc>
          <w:tcPr>
            <w:tcW w:w="26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93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9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0.08 lower</w:t>
            </w:r>
            <w:r w:rsidRPr="00270C1C">
              <w:rPr>
                <w:rFonts w:ascii="Arial Narrow" w:eastAsia="Times New Roman" w:hAnsi="Arial Narrow"/>
                <w:sz w:val="13"/>
                <w:szCs w:val="13"/>
                <w:lang w:val="en-US" w:eastAsia="el-GR"/>
              </w:rPr>
              <w:br/>
              <w:t xml:space="preserve">(0.16 lower to 0.01 lower)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5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w:t>
            </w:r>
          </w:p>
        </w:tc>
      </w:tr>
      <w:tr w:rsidR="004C28F5" w:rsidRPr="00270C1C" w:rsidTr="00EF4B76">
        <w:trPr>
          <w:cantSplit/>
        </w:trPr>
        <w:tc>
          <w:tcPr>
            <w:tcW w:w="2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8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4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f</w:t>
            </w:r>
          </w:p>
        </w:tc>
        <w:tc>
          <w:tcPr>
            <w:tcW w:w="42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82"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4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2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46 </w:t>
            </w:r>
          </w:p>
        </w:tc>
        <w:tc>
          <w:tcPr>
            <w:tcW w:w="26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53 </w:t>
            </w:r>
          </w:p>
        </w:tc>
        <w:tc>
          <w:tcPr>
            <w:tcW w:w="2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9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0.13 lower</w:t>
            </w:r>
            <w:r w:rsidRPr="00270C1C">
              <w:rPr>
                <w:rFonts w:ascii="Arial Narrow" w:eastAsia="Times New Roman" w:hAnsi="Arial Narrow"/>
                <w:sz w:val="13"/>
                <w:szCs w:val="13"/>
                <w:lang w:val="en-US" w:eastAsia="el-GR"/>
              </w:rPr>
              <w:br/>
              <w:t xml:space="preserve">(0.2 lower to 0.06 lower) </w:t>
            </w:r>
          </w:p>
        </w:tc>
        <w:tc>
          <w:tcPr>
            <w:tcW w:w="48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55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lastRenderedPageBreak/>
        <w:t xml:space="preserve">a. Randomised trials &amp; observational studies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Pooled estimate encompasses data from randomised trials and observational studies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c. I</w:t>
      </w:r>
      <w:r w:rsidRPr="00270C1C">
        <w:rPr>
          <w:rFonts w:ascii="Arial Narrow" w:eastAsia="Times New Roman" w:hAnsi="Arial Narrow"/>
          <w:color w:val="000000"/>
          <w:sz w:val="16"/>
          <w:szCs w:val="16"/>
          <w:vertAlign w:val="superscript"/>
          <w:lang w:val="en-US" w:eastAsia="el-GR"/>
        </w:rPr>
        <w:t xml:space="preserve">2 </w:t>
      </w:r>
      <w:r w:rsidRPr="00270C1C">
        <w:rPr>
          <w:rFonts w:ascii="Arial Narrow" w:eastAsia="Times New Roman" w:hAnsi="Arial Narrow"/>
          <w:color w:val="000000"/>
          <w:sz w:val="16"/>
          <w:szCs w:val="16"/>
          <w:lang w:val="en-US" w:eastAsia="el-GR"/>
        </w:rPr>
        <w:t xml:space="preserve">in the moderate range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d.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e. CI overlaps no effect with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f. Observational study; lower level of evidence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t>Outcome of interest</w:t>
      </w:r>
      <w:r w:rsidRPr="00270C1C">
        <w:rPr>
          <w:rFonts w:ascii="Arial Narrow" w:eastAsia="Times New Roman" w:hAnsi="Arial Narrow"/>
          <w:color w:val="000000"/>
          <w:sz w:val="20"/>
          <w:szCs w:val="20"/>
          <w:lang w:val="en-US" w:eastAsia="el-GR"/>
        </w:rPr>
        <w:t xml:space="preserve">: Orthokeratology compared to soft contact lenses or single vision lenses for myopia control  </w:t>
      </w:r>
    </w:p>
    <w:tbl>
      <w:tblPr>
        <w:tblW w:w="6328" w:type="pct"/>
        <w:tblInd w:w="-1001"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24"/>
        <w:gridCol w:w="785"/>
        <w:gridCol w:w="494"/>
        <w:gridCol w:w="863"/>
        <w:gridCol w:w="779"/>
        <w:gridCol w:w="750"/>
        <w:gridCol w:w="909"/>
        <w:gridCol w:w="981"/>
        <w:gridCol w:w="531"/>
        <w:gridCol w:w="559"/>
        <w:gridCol w:w="1195"/>
        <w:gridCol w:w="1136"/>
        <w:gridCol w:w="993"/>
      </w:tblGrid>
      <w:tr w:rsidR="00270C1C" w:rsidRPr="00270C1C" w:rsidTr="00EF4B76">
        <w:trPr>
          <w:cantSplit/>
          <w:tblHeader/>
        </w:trPr>
        <w:tc>
          <w:tcPr>
            <w:tcW w:w="2431"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720"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835"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541"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473"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5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74"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23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11"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71"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35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3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46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Orthokeratology</w:t>
            </w:r>
          </w:p>
        </w:tc>
        <w:tc>
          <w:tcPr>
            <w:tcW w:w="25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val="en-US" w:eastAsia="el-GR"/>
              </w:rPr>
            </w:pPr>
            <w:r w:rsidRPr="00270C1C">
              <w:rPr>
                <w:rFonts w:ascii="Arial Narrow" w:eastAsia="Times New Roman" w:hAnsi="Arial Narrow"/>
                <w:b/>
                <w:bCs/>
                <w:sz w:val="13"/>
                <w:szCs w:val="13"/>
                <w:lang w:val="en-US" w:eastAsia="el-GR"/>
              </w:rPr>
              <w:t>soft contact lenses or single vision lenses</w:t>
            </w:r>
          </w:p>
        </w:tc>
        <w:tc>
          <w:tcPr>
            <w:tcW w:w="26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56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541"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473"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8 </w:t>
            </w:r>
          </w:p>
        </w:tc>
        <w:tc>
          <w:tcPr>
            <w:tcW w:w="3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r w:rsidRPr="00270C1C">
              <w:rPr>
                <w:rFonts w:ascii="Arial Narrow" w:eastAsia="Times New Roman" w:hAnsi="Arial Narrow"/>
                <w:sz w:val="13"/>
                <w:szCs w:val="13"/>
                <w:vertAlign w:val="superscript"/>
                <w:lang w:eastAsia="el-GR"/>
              </w:rPr>
              <w:t>a</w:t>
            </w:r>
          </w:p>
        </w:tc>
        <w:tc>
          <w:tcPr>
            <w:tcW w:w="2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268 </w:t>
            </w:r>
          </w:p>
        </w:tc>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256 </w:t>
            </w:r>
          </w:p>
        </w:tc>
        <w:tc>
          <w:tcPr>
            <w:tcW w:w="26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0.19 lower</w:t>
            </w:r>
            <w:r w:rsidRPr="00270C1C">
              <w:rPr>
                <w:rFonts w:ascii="Arial Narrow" w:eastAsia="Times New Roman" w:hAnsi="Arial Narrow"/>
                <w:sz w:val="13"/>
                <w:szCs w:val="13"/>
                <w:lang w:val="en-US" w:eastAsia="el-GR"/>
              </w:rPr>
              <w:br/>
              <w:t xml:space="preserve">(0.21 lower to 0.16 lower) </w:t>
            </w:r>
          </w:p>
        </w:tc>
        <w:tc>
          <w:tcPr>
            <w:tcW w:w="54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 - RCTs</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56 </w:t>
            </w:r>
          </w:p>
        </w:tc>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57 </w:t>
            </w:r>
          </w:p>
        </w:tc>
        <w:tc>
          <w:tcPr>
            <w:tcW w:w="26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0.19 lower</w:t>
            </w:r>
            <w:r w:rsidRPr="00270C1C">
              <w:rPr>
                <w:rFonts w:ascii="Arial Narrow" w:eastAsia="Times New Roman" w:hAnsi="Arial Narrow"/>
                <w:sz w:val="13"/>
                <w:szCs w:val="13"/>
                <w:lang w:val="en-US" w:eastAsia="el-GR"/>
              </w:rPr>
              <w:br/>
              <w:t xml:space="preserve">(0.25 lower to 0.13 lower) </w:t>
            </w:r>
          </w:p>
        </w:tc>
        <w:tc>
          <w:tcPr>
            <w:tcW w:w="54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 - Cohort studies</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6 </w:t>
            </w:r>
          </w:p>
        </w:tc>
        <w:tc>
          <w:tcPr>
            <w:tcW w:w="3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212 </w:t>
            </w:r>
          </w:p>
        </w:tc>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199 </w:t>
            </w:r>
          </w:p>
        </w:tc>
        <w:tc>
          <w:tcPr>
            <w:tcW w:w="26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0.18 lower</w:t>
            </w:r>
            <w:r w:rsidRPr="00270C1C">
              <w:rPr>
                <w:rFonts w:ascii="Arial Narrow" w:eastAsia="Times New Roman" w:hAnsi="Arial Narrow"/>
                <w:sz w:val="13"/>
                <w:szCs w:val="13"/>
                <w:lang w:val="en-US" w:eastAsia="el-GR"/>
              </w:rPr>
              <w:br/>
              <w:t xml:space="preserve">(0.22 lower to 0.15 lower) </w:t>
            </w:r>
          </w:p>
        </w:tc>
        <w:tc>
          <w:tcPr>
            <w:tcW w:w="54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11 </w:t>
            </w:r>
          </w:p>
        </w:tc>
        <w:tc>
          <w:tcPr>
            <w:tcW w:w="3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r w:rsidRPr="00270C1C">
              <w:rPr>
                <w:rFonts w:ascii="Arial Narrow" w:eastAsia="Times New Roman" w:hAnsi="Arial Narrow"/>
                <w:sz w:val="13"/>
                <w:szCs w:val="13"/>
                <w:vertAlign w:val="superscript"/>
                <w:lang w:eastAsia="el-GR"/>
              </w:rPr>
              <w:t>a</w:t>
            </w:r>
          </w:p>
        </w:tc>
        <w:tc>
          <w:tcPr>
            <w:tcW w:w="2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331 </w:t>
            </w:r>
          </w:p>
        </w:tc>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332 </w:t>
            </w:r>
          </w:p>
        </w:tc>
        <w:tc>
          <w:tcPr>
            <w:tcW w:w="26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0.27 lower</w:t>
            </w:r>
            <w:r w:rsidRPr="00270C1C">
              <w:rPr>
                <w:rFonts w:ascii="Arial Narrow" w:eastAsia="Times New Roman" w:hAnsi="Arial Narrow"/>
                <w:sz w:val="13"/>
                <w:szCs w:val="13"/>
                <w:lang w:val="en-US" w:eastAsia="el-GR"/>
              </w:rPr>
              <w:br/>
              <w:t xml:space="preserve">(0.31 lower to 0.23 lower) </w:t>
            </w:r>
          </w:p>
        </w:tc>
        <w:tc>
          <w:tcPr>
            <w:tcW w:w="54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IMPORTANT</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 - RCTs</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2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50 </w:t>
            </w:r>
          </w:p>
        </w:tc>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58 </w:t>
            </w:r>
          </w:p>
        </w:tc>
        <w:tc>
          <w:tcPr>
            <w:tcW w:w="26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0.27 lower</w:t>
            </w:r>
            <w:r w:rsidRPr="00270C1C">
              <w:rPr>
                <w:rFonts w:ascii="Arial Narrow" w:eastAsia="Times New Roman" w:hAnsi="Arial Narrow"/>
                <w:sz w:val="13"/>
                <w:szCs w:val="13"/>
                <w:lang w:val="en-US" w:eastAsia="el-GR"/>
              </w:rPr>
              <w:br/>
              <w:t xml:space="preserve">(0.36 lower to 0.18 lower) </w:t>
            </w:r>
          </w:p>
        </w:tc>
        <w:tc>
          <w:tcPr>
            <w:tcW w:w="54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 - Cohort studies</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8 </w:t>
            </w:r>
          </w:p>
        </w:tc>
        <w:tc>
          <w:tcPr>
            <w:tcW w:w="3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281 </w:t>
            </w:r>
          </w:p>
        </w:tc>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274 </w:t>
            </w:r>
          </w:p>
        </w:tc>
        <w:tc>
          <w:tcPr>
            <w:tcW w:w="26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0.27 lower</w:t>
            </w:r>
            <w:r w:rsidRPr="00270C1C">
              <w:rPr>
                <w:rFonts w:ascii="Arial Narrow" w:eastAsia="Times New Roman" w:hAnsi="Arial Narrow"/>
                <w:sz w:val="13"/>
                <w:szCs w:val="13"/>
                <w:lang w:val="en-US" w:eastAsia="el-GR"/>
              </w:rPr>
              <w:br/>
              <w:t xml:space="preserve">(0.31 lower to 0.22 lower) </w:t>
            </w:r>
          </w:p>
        </w:tc>
        <w:tc>
          <w:tcPr>
            <w:tcW w:w="54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val="en-US" w:eastAsia="el-GR"/>
              </w:rPr>
              <w:t xml:space="preserve">NOT </w:t>
            </w:r>
            <w:r w:rsidRPr="00270C1C">
              <w:rPr>
                <w:rFonts w:ascii="Arial Narrow" w:eastAsia="Times New Roman" w:hAnsi="Arial Narrow"/>
                <w:sz w:val="13"/>
                <w:szCs w:val="13"/>
                <w:lang w:eastAsia="el-GR"/>
              </w:rPr>
              <w:t xml:space="preserve">IMPORTANT </w:t>
            </w:r>
          </w:p>
        </w:tc>
      </w:tr>
      <w:tr w:rsidR="00270C1C" w:rsidRPr="00270C1C"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Mild corneal erosion</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lastRenderedPageBreak/>
              <w:t xml:space="preserve">2 </w:t>
            </w:r>
          </w:p>
        </w:tc>
        <w:tc>
          <w:tcPr>
            <w:tcW w:w="3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e,f</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3/71 (4.2%) </w:t>
            </w:r>
          </w:p>
        </w:tc>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0/80 (0.0%) </w:t>
            </w:r>
          </w:p>
        </w:tc>
        <w:tc>
          <w:tcPr>
            <w:tcW w:w="26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b/>
                <w:bCs/>
                <w:sz w:val="13"/>
                <w:szCs w:val="13"/>
                <w:lang w:eastAsia="el-GR"/>
              </w:rPr>
              <w:t>OR 4.56</w:t>
            </w:r>
            <w:r w:rsidRPr="00270C1C">
              <w:rPr>
                <w:rFonts w:ascii="Arial Narrow" w:eastAsia="Times New Roman" w:hAnsi="Arial Narrow"/>
                <w:sz w:val="13"/>
                <w:szCs w:val="13"/>
                <w:lang w:eastAsia="el-GR"/>
              </w:rPr>
              <w:br/>
              <w:t xml:space="preserve">(0.49 to 42.25) </w:t>
            </w:r>
          </w:p>
        </w:tc>
        <w:tc>
          <w:tcPr>
            <w:tcW w:w="5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b/>
                <w:bCs/>
                <w:sz w:val="13"/>
                <w:szCs w:val="13"/>
                <w:lang w:val="en-US" w:eastAsia="el-GR"/>
              </w:rPr>
              <w:t>0 fewer per 1.000</w:t>
            </w:r>
            <w:r w:rsidRPr="00270C1C">
              <w:rPr>
                <w:rFonts w:ascii="Arial Narrow" w:eastAsia="Times New Roman" w:hAnsi="Arial Narrow"/>
                <w:sz w:val="13"/>
                <w:szCs w:val="13"/>
                <w:lang w:val="en-US" w:eastAsia="el-GR"/>
              </w:rPr>
              <w:br/>
              <w:t xml:space="preserve">(from 0 fewer to 0 fewer) </w:t>
            </w:r>
          </w:p>
        </w:tc>
        <w:tc>
          <w:tcPr>
            <w:tcW w:w="54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d,g</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g</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18 </w:t>
            </w:r>
          </w:p>
        </w:tc>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21 </w:t>
            </w:r>
          </w:p>
        </w:tc>
        <w:tc>
          <w:tcPr>
            <w:tcW w:w="26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0.27 lower</w:t>
            </w:r>
            <w:r w:rsidRPr="00270C1C">
              <w:rPr>
                <w:rFonts w:ascii="Arial Narrow" w:eastAsia="Times New Roman" w:hAnsi="Arial Narrow"/>
                <w:sz w:val="13"/>
                <w:szCs w:val="13"/>
                <w:lang w:val="en-US" w:eastAsia="el-GR"/>
              </w:rPr>
              <w:br/>
              <w:t xml:space="preserve">(0.5 lower to 0.04 lower) </w:t>
            </w:r>
          </w:p>
        </w:tc>
        <w:tc>
          <w:tcPr>
            <w:tcW w:w="54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(2 years)</w:t>
            </w:r>
          </w:p>
        </w:tc>
      </w:tr>
      <w:tr w:rsidR="004C28F5" w:rsidRPr="00270C1C" w:rsidTr="00EF4B76">
        <w:trPr>
          <w:cantSplit/>
        </w:trPr>
        <w:tc>
          <w:tcPr>
            <w:tcW w:w="25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 </w:t>
            </w:r>
          </w:p>
        </w:tc>
        <w:tc>
          <w:tcPr>
            <w:tcW w:w="374"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observational studies </w:t>
            </w:r>
          </w:p>
        </w:tc>
        <w:tc>
          <w:tcPr>
            <w:tcW w:w="2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very serious </w:t>
            </w:r>
            <w:r w:rsidRPr="00270C1C">
              <w:rPr>
                <w:rFonts w:ascii="Arial Narrow" w:eastAsia="Times New Roman" w:hAnsi="Arial Narrow"/>
                <w:sz w:val="13"/>
                <w:szCs w:val="13"/>
                <w:vertAlign w:val="superscript"/>
                <w:lang w:eastAsia="el-GR"/>
              </w:rPr>
              <w:t>d,g</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g</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5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46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18 </w:t>
            </w:r>
          </w:p>
        </w:tc>
        <w:tc>
          <w:tcPr>
            <w:tcW w:w="25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21 </w:t>
            </w:r>
          </w:p>
        </w:tc>
        <w:tc>
          <w:tcPr>
            <w:tcW w:w="26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5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0.66 lower</w:t>
            </w:r>
            <w:r w:rsidRPr="00270C1C">
              <w:rPr>
                <w:rFonts w:ascii="Arial Narrow" w:eastAsia="Times New Roman" w:hAnsi="Arial Narrow"/>
                <w:sz w:val="13"/>
                <w:szCs w:val="13"/>
                <w:lang w:val="en-US" w:eastAsia="el-GR"/>
              </w:rPr>
              <w:br/>
              <w:t xml:space="preserve">(1.01 lower to 0.31 lower) </w:t>
            </w:r>
          </w:p>
        </w:tc>
        <w:tc>
          <w:tcPr>
            <w:tcW w:w="54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VERY LOW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bl>
    <w:p w:rsidR="00250F87" w:rsidRPr="00270C1C" w:rsidRDefault="00250F87" w:rsidP="00250F87">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 </w:t>
      </w:r>
      <w:r w:rsidRPr="00270C1C">
        <w:rPr>
          <w:rFonts w:ascii="Arial Narrow" w:eastAsiaTheme="minorEastAsia" w:hAnsi="Arial Narrow" w:cs="Times New Roman"/>
          <w:b/>
          <w:bCs/>
          <w:color w:val="000000"/>
          <w:sz w:val="14"/>
          <w:szCs w:val="14"/>
          <w:lang w:val="en-US" w:eastAsia="el-GR"/>
        </w:rPr>
        <w:t>OR:</w:t>
      </w:r>
      <w:r w:rsidRPr="00270C1C">
        <w:rPr>
          <w:rFonts w:ascii="Arial Narrow" w:eastAsiaTheme="minorEastAsia" w:hAnsi="Arial Narrow" w:cs="Times New Roman"/>
          <w:color w:val="000000"/>
          <w:sz w:val="14"/>
          <w:szCs w:val="14"/>
          <w:lang w:val="en-US" w:eastAsia="el-GR"/>
        </w:rPr>
        <w:t xml:space="preserve"> Odds ratio</w:t>
      </w:r>
    </w:p>
    <w:p w:rsidR="00250F87" w:rsidRPr="00270C1C" w:rsidRDefault="00250F87" w:rsidP="00250F87">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50F87" w:rsidRPr="00270C1C" w:rsidRDefault="00250F87" w:rsidP="00250F87">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a. Randomised trials &amp; observational studies </w:t>
      </w:r>
    </w:p>
    <w:p w:rsidR="00250F87" w:rsidRPr="00270C1C" w:rsidRDefault="00250F87" w:rsidP="00250F87">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Pooled estimate encompasses data from randomised trials and observational studies </w:t>
      </w:r>
    </w:p>
    <w:p w:rsidR="00250F87" w:rsidRPr="00270C1C" w:rsidRDefault="00250F87" w:rsidP="00250F87">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c. Small sample size (&lt;400 participants) </w:t>
      </w:r>
    </w:p>
    <w:p w:rsidR="00250F87" w:rsidRPr="00270C1C" w:rsidRDefault="00250F87" w:rsidP="00250F87">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d. Observational study; lower level of evidence </w:t>
      </w:r>
    </w:p>
    <w:p w:rsidR="00250F87" w:rsidRPr="00270C1C" w:rsidRDefault="00250F87" w:rsidP="00250F87">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e. CI overlaps no effect with small sample size (&lt;400 participants) </w:t>
      </w:r>
    </w:p>
    <w:p w:rsidR="00250F87" w:rsidRPr="00270C1C" w:rsidRDefault="00250F87" w:rsidP="00250F87">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f. Wide CIs; imprecision around effect estimate </w:t>
      </w:r>
    </w:p>
    <w:p w:rsidR="00250F87" w:rsidRPr="00270C1C" w:rsidRDefault="00250F87" w:rsidP="00250F87">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g. Outcome investigated in a single study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Default="00270C1C" w:rsidP="00270C1C">
      <w:pPr>
        <w:spacing w:line="140" w:lineRule="atLeast"/>
        <w:rPr>
          <w:rFonts w:ascii="Arial Narrow" w:eastAsia="Times New Roman" w:hAnsi="Arial Narrow"/>
          <w:color w:val="000000"/>
          <w:sz w:val="16"/>
          <w:szCs w:val="16"/>
          <w:lang w:val="en-US" w:eastAsia="el-GR"/>
        </w:rPr>
      </w:pPr>
    </w:p>
    <w:p w:rsidR="00250F87" w:rsidRPr="00270C1C" w:rsidRDefault="00250F87"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16"/>
          <w:szCs w:val="16"/>
          <w:lang w:val="en-US" w:eastAsia="el-GR"/>
        </w:rPr>
      </w:pPr>
    </w:p>
    <w:p w:rsidR="00270C1C" w:rsidRPr="00270C1C" w:rsidRDefault="00270C1C" w:rsidP="00270C1C">
      <w:pPr>
        <w:spacing w:line="140" w:lineRule="atLeast"/>
        <w:rPr>
          <w:rFonts w:ascii="Arial Narrow" w:eastAsia="Times New Roman" w:hAnsi="Arial Narrow"/>
          <w:color w:val="000000"/>
          <w:sz w:val="20"/>
          <w:szCs w:val="20"/>
          <w:lang w:val="en-US" w:eastAsia="el-GR"/>
        </w:rPr>
      </w:pPr>
      <w:r w:rsidRPr="00270C1C">
        <w:rPr>
          <w:rFonts w:ascii="Arial Narrow" w:eastAsia="Times New Roman" w:hAnsi="Arial Narrow"/>
          <w:b/>
          <w:bCs/>
          <w:color w:val="000000"/>
          <w:sz w:val="20"/>
          <w:szCs w:val="20"/>
          <w:lang w:val="en-US" w:eastAsia="el-GR"/>
        </w:rPr>
        <w:lastRenderedPageBreak/>
        <w:t>Outcome of interest</w:t>
      </w:r>
      <w:r w:rsidRPr="00270C1C">
        <w:rPr>
          <w:rFonts w:ascii="Arial Narrow" w:eastAsia="Times New Roman" w:hAnsi="Arial Narrow"/>
          <w:color w:val="000000"/>
          <w:sz w:val="20"/>
          <w:szCs w:val="20"/>
          <w:lang w:val="en-US" w:eastAsia="el-GR"/>
        </w:rPr>
        <w:t xml:space="preserve">: Progressive addition lenses compared to single vision lenses for myopia control </w:t>
      </w:r>
    </w:p>
    <w:tbl>
      <w:tblPr>
        <w:tblW w:w="6328" w:type="pct"/>
        <w:tblInd w:w="-1001"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66"/>
        <w:gridCol w:w="708"/>
        <w:gridCol w:w="853"/>
        <w:gridCol w:w="863"/>
        <w:gridCol w:w="779"/>
        <w:gridCol w:w="913"/>
        <w:gridCol w:w="909"/>
        <w:gridCol w:w="794"/>
        <w:gridCol w:w="567"/>
        <w:gridCol w:w="567"/>
        <w:gridCol w:w="985"/>
        <w:gridCol w:w="993"/>
        <w:gridCol w:w="1002"/>
      </w:tblGrid>
      <w:tr w:rsidR="00270C1C" w:rsidRPr="00270C1C" w:rsidTr="00EF4B76">
        <w:trPr>
          <w:cantSplit/>
          <w:tblHeader/>
        </w:trPr>
        <w:tc>
          <w:tcPr>
            <w:tcW w:w="2663" w:type="pct"/>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spacing w:line="240" w:lineRule="auto"/>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 assessment</w:t>
            </w:r>
          </w:p>
        </w:tc>
        <w:tc>
          <w:tcPr>
            <w:tcW w:w="648"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patients</w:t>
            </w:r>
          </w:p>
        </w:tc>
        <w:tc>
          <w:tcPr>
            <w:tcW w:w="739"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Effect</w:t>
            </w:r>
          </w:p>
        </w:tc>
        <w:tc>
          <w:tcPr>
            <w:tcW w:w="473"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Certainty</w:t>
            </w:r>
          </w:p>
        </w:tc>
        <w:tc>
          <w:tcPr>
            <w:tcW w:w="477"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Importance</w:t>
            </w:r>
          </w:p>
        </w:tc>
      </w:tr>
      <w:tr w:rsidR="00270C1C" w:rsidRPr="00270C1C" w:rsidTr="00EF4B76">
        <w:trPr>
          <w:cantSplit/>
          <w:tblHeader/>
        </w:trPr>
        <w:tc>
          <w:tcPr>
            <w:tcW w:w="27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 of studies</w:t>
            </w:r>
          </w:p>
        </w:tc>
        <w:tc>
          <w:tcPr>
            <w:tcW w:w="33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Study design</w:t>
            </w:r>
          </w:p>
        </w:tc>
        <w:tc>
          <w:tcPr>
            <w:tcW w:w="40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Risk of bias</w:t>
            </w:r>
          </w:p>
        </w:tc>
        <w:tc>
          <w:tcPr>
            <w:tcW w:w="411"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Inconsistency</w:t>
            </w:r>
          </w:p>
        </w:tc>
        <w:tc>
          <w:tcPr>
            <w:tcW w:w="371"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Indirectness</w:t>
            </w:r>
          </w:p>
        </w:tc>
        <w:tc>
          <w:tcPr>
            <w:tcW w:w="43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Imprecision</w:t>
            </w:r>
          </w:p>
        </w:tc>
        <w:tc>
          <w:tcPr>
            <w:tcW w:w="433"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Other considerations</w:t>
            </w:r>
          </w:p>
        </w:tc>
        <w:tc>
          <w:tcPr>
            <w:tcW w:w="37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Progressive addition lenses</w:t>
            </w:r>
          </w:p>
        </w:tc>
        <w:tc>
          <w:tcPr>
            <w:tcW w:w="27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val="en-US" w:eastAsia="el-GR"/>
              </w:rPr>
              <w:t>S</w:t>
            </w:r>
            <w:r w:rsidRPr="00270C1C">
              <w:rPr>
                <w:rFonts w:ascii="Arial Narrow" w:eastAsia="Times New Roman" w:hAnsi="Arial Narrow"/>
                <w:b/>
                <w:bCs/>
                <w:sz w:val="13"/>
                <w:szCs w:val="13"/>
                <w:lang w:eastAsia="el-GR"/>
              </w:rPr>
              <w:t>ingle vision lenses</w:t>
            </w:r>
          </w:p>
        </w:tc>
        <w:tc>
          <w:tcPr>
            <w:tcW w:w="270"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Relative</w:t>
            </w:r>
            <w:r w:rsidRPr="00270C1C">
              <w:rPr>
                <w:rFonts w:ascii="Arial Narrow" w:eastAsia="Times New Roman" w:hAnsi="Arial Narrow"/>
                <w:b/>
                <w:bCs/>
                <w:sz w:val="13"/>
                <w:szCs w:val="13"/>
                <w:lang w:eastAsia="el-GR"/>
              </w:rPr>
              <w:br/>
              <w:t>(95% CI)</w:t>
            </w:r>
          </w:p>
        </w:tc>
        <w:tc>
          <w:tcPr>
            <w:tcW w:w="469"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jc w:val="center"/>
              <w:rPr>
                <w:rFonts w:ascii="Arial Narrow" w:eastAsia="Times New Roman" w:hAnsi="Arial Narrow"/>
                <w:b/>
                <w:bCs/>
                <w:sz w:val="13"/>
                <w:szCs w:val="13"/>
                <w:lang w:eastAsia="el-GR"/>
              </w:rPr>
            </w:pPr>
            <w:r w:rsidRPr="00270C1C">
              <w:rPr>
                <w:rFonts w:ascii="Arial Narrow" w:eastAsia="Times New Roman" w:hAnsi="Arial Narrow"/>
                <w:b/>
                <w:bCs/>
                <w:sz w:val="13"/>
                <w:szCs w:val="13"/>
                <w:lang w:eastAsia="el-GR"/>
              </w:rPr>
              <w:t>Absolute</w:t>
            </w:r>
            <w:r w:rsidRPr="00270C1C">
              <w:rPr>
                <w:rFonts w:ascii="Arial Narrow" w:eastAsia="Times New Roman" w:hAnsi="Arial Narrow"/>
                <w:b/>
                <w:bCs/>
                <w:sz w:val="13"/>
                <w:szCs w:val="13"/>
                <w:lang w:eastAsia="el-GR"/>
              </w:rPr>
              <w:br/>
              <w:t>(95% CI)</w:t>
            </w:r>
          </w:p>
        </w:tc>
        <w:tc>
          <w:tcPr>
            <w:tcW w:w="473"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c>
          <w:tcPr>
            <w:tcW w:w="477"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270C1C" w:rsidRPr="00270C1C" w:rsidRDefault="00270C1C" w:rsidP="00270C1C">
            <w:pPr>
              <w:rPr>
                <w:rFonts w:ascii="Arial Narrow" w:eastAsia="Times New Roman" w:hAnsi="Arial Narrow"/>
                <w:b/>
                <w:bCs/>
                <w:sz w:val="13"/>
                <w:szCs w:val="13"/>
                <w:lang w:eastAsia="el-GR"/>
              </w:rPr>
            </w:pP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(2 years)</w:t>
            </w:r>
          </w:p>
        </w:tc>
      </w:tr>
      <w:tr w:rsidR="00270C1C" w:rsidRPr="00270C1C" w:rsidTr="00EF4B76">
        <w:trPr>
          <w:cantSplit/>
        </w:trPr>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 </w:t>
            </w:r>
          </w:p>
        </w:tc>
        <w:tc>
          <w:tcPr>
            <w:tcW w:w="33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40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a</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7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466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474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 xml:space="preserve">MD </w:t>
            </w:r>
            <w:r w:rsidRPr="00270C1C">
              <w:rPr>
                <w:rFonts w:ascii="Arial Narrow" w:eastAsia="Times New Roman" w:hAnsi="Arial Narrow"/>
                <w:b/>
                <w:bCs/>
                <w:sz w:val="13"/>
                <w:szCs w:val="13"/>
                <w:lang w:val="en-US" w:eastAsia="el-GR"/>
              </w:rPr>
              <w:t>0.26 lower</w:t>
            </w:r>
            <w:r w:rsidRPr="00270C1C">
              <w:rPr>
                <w:rFonts w:ascii="Arial Narrow" w:eastAsia="Times New Roman" w:hAnsi="Arial Narrow"/>
                <w:sz w:val="13"/>
                <w:szCs w:val="13"/>
                <w:lang w:val="en-US" w:eastAsia="el-GR"/>
              </w:rPr>
              <w:br/>
              <w:t xml:space="preserve">(0.39 lower to 0.12 lower)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(1 year)</w:t>
            </w:r>
          </w:p>
        </w:tc>
      </w:tr>
      <w:tr w:rsidR="00270C1C" w:rsidRPr="00270C1C" w:rsidTr="00EF4B76">
        <w:trPr>
          <w:cantSplit/>
        </w:trPr>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3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40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7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107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104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MD </w:t>
            </w:r>
            <w:r w:rsidRPr="00270C1C">
              <w:rPr>
                <w:rFonts w:ascii="Arial Narrow" w:eastAsia="Times New Roman" w:hAnsi="Arial Narrow"/>
                <w:b/>
                <w:bCs/>
                <w:sz w:val="13"/>
                <w:szCs w:val="13"/>
                <w:lang w:eastAsia="el-GR"/>
              </w:rPr>
              <w:t>0.06 lower</w:t>
            </w:r>
            <w:r w:rsidRPr="00270C1C">
              <w:rPr>
                <w:rFonts w:ascii="Arial Narrow" w:eastAsia="Times New Roman" w:hAnsi="Arial Narrow"/>
                <w:sz w:val="13"/>
                <w:szCs w:val="13"/>
                <w:lang w:eastAsia="el-GR"/>
              </w:rPr>
              <w:br/>
              <w:t xml:space="preserve">(0.12 lower to 0 )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axial length from baseline (2 years)</w:t>
            </w:r>
          </w:p>
        </w:tc>
      </w:tr>
      <w:tr w:rsidR="00270C1C" w:rsidRPr="00270C1C" w:rsidTr="00EF4B76">
        <w:trPr>
          <w:cantSplit/>
        </w:trPr>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 </w:t>
            </w:r>
          </w:p>
        </w:tc>
        <w:tc>
          <w:tcPr>
            <w:tcW w:w="33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40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c</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d</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7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392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399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MD </w:t>
            </w:r>
            <w:r w:rsidRPr="00270C1C">
              <w:rPr>
                <w:rFonts w:ascii="Arial Narrow" w:eastAsia="Times New Roman" w:hAnsi="Arial Narrow"/>
                <w:b/>
                <w:bCs/>
                <w:sz w:val="13"/>
                <w:szCs w:val="13"/>
                <w:lang w:eastAsia="el-GR"/>
              </w:rPr>
              <w:t>0.1 lower</w:t>
            </w:r>
            <w:r w:rsidRPr="00270C1C">
              <w:rPr>
                <w:rFonts w:ascii="Arial Narrow" w:eastAsia="Times New Roman" w:hAnsi="Arial Narrow"/>
                <w:sz w:val="13"/>
                <w:szCs w:val="13"/>
                <w:lang w:eastAsia="el-GR"/>
              </w:rPr>
              <w:br/>
              <w:t xml:space="preserve">(0.2 lower to 0 )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LOW </w:t>
            </w:r>
          </w:p>
        </w:tc>
        <w:tc>
          <w:tcPr>
            <w:tcW w:w="4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IMPORTANT </w:t>
            </w:r>
          </w:p>
        </w:tc>
      </w:tr>
      <w:tr w:rsidR="00270C1C" w:rsidRPr="00387818" w:rsidTr="00EF4B76">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270C1C" w:rsidRPr="00270C1C" w:rsidRDefault="00270C1C" w:rsidP="00270C1C">
            <w:pPr>
              <w:rPr>
                <w:rFonts w:ascii="Arial Narrow" w:eastAsia="Times New Roman" w:hAnsi="Arial Narrow"/>
                <w:sz w:val="13"/>
                <w:szCs w:val="13"/>
                <w:lang w:val="en-US" w:eastAsia="el-GR"/>
              </w:rPr>
            </w:pPr>
            <w:r w:rsidRPr="00270C1C">
              <w:rPr>
                <w:rFonts w:ascii="Arial Narrow" w:eastAsia="Times New Roman" w:hAnsi="Arial Narrow"/>
                <w:sz w:val="13"/>
                <w:szCs w:val="13"/>
                <w:lang w:val="en-US" w:eastAsia="el-GR"/>
              </w:rPr>
              <w:t>Change in refractive error from baseline (1 year)</w:t>
            </w:r>
          </w:p>
        </w:tc>
      </w:tr>
      <w:tr w:rsidR="00270C1C" w:rsidRPr="00270C1C" w:rsidTr="00EF4B76">
        <w:trPr>
          <w:cantSplit/>
        </w:trPr>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2 </w:t>
            </w:r>
          </w:p>
        </w:tc>
        <w:tc>
          <w:tcPr>
            <w:tcW w:w="33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randomised trials </w:t>
            </w:r>
          </w:p>
        </w:tc>
        <w:tc>
          <w:tcPr>
            <w:tcW w:w="406"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1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371"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serious </w:t>
            </w:r>
          </w:p>
        </w:tc>
        <w:tc>
          <w:tcPr>
            <w:tcW w:w="435"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serious </w:t>
            </w:r>
            <w:r w:rsidRPr="00270C1C">
              <w:rPr>
                <w:rFonts w:ascii="Arial Narrow" w:eastAsia="Times New Roman" w:hAnsi="Arial Narrow"/>
                <w:sz w:val="13"/>
                <w:szCs w:val="13"/>
                <w:vertAlign w:val="superscript"/>
                <w:lang w:eastAsia="el-GR"/>
              </w:rPr>
              <w:t>b</w:t>
            </w:r>
          </w:p>
        </w:tc>
        <w:tc>
          <w:tcPr>
            <w:tcW w:w="43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none </w:t>
            </w:r>
          </w:p>
        </w:tc>
        <w:tc>
          <w:tcPr>
            <w:tcW w:w="378"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102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104 </w:t>
            </w:r>
          </w:p>
        </w:tc>
        <w:tc>
          <w:tcPr>
            <w:tcW w:w="270"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 </w:t>
            </w:r>
          </w:p>
        </w:tc>
        <w:tc>
          <w:tcPr>
            <w:tcW w:w="469"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MD </w:t>
            </w:r>
            <w:r w:rsidRPr="00270C1C">
              <w:rPr>
                <w:rFonts w:ascii="Arial Narrow" w:eastAsia="Times New Roman" w:hAnsi="Arial Narrow"/>
                <w:b/>
                <w:bCs/>
                <w:sz w:val="13"/>
                <w:szCs w:val="13"/>
                <w:lang w:eastAsia="el-GR"/>
              </w:rPr>
              <w:t>0.1 lower</w:t>
            </w:r>
            <w:r w:rsidRPr="00270C1C">
              <w:rPr>
                <w:rFonts w:ascii="Arial Narrow" w:eastAsia="Times New Roman" w:hAnsi="Arial Narrow"/>
                <w:sz w:val="13"/>
                <w:szCs w:val="13"/>
                <w:lang w:eastAsia="el-GR"/>
              </w:rPr>
              <w:br/>
              <w:t xml:space="preserve">(0.21 lower to 0 ) </w:t>
            </w:r>
          </w:p>
        </w:tc>
        <w:tc>
          <w:tcPr>
            <w:tcW w:w="473"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jc w:val="center"/>
              <w:rPr>
                <w:rFonts w:ascii="Arial Narrow" w:eastAsia="Times New Roman" w:hAnsi="Arial Narrow"/>
                <w:sz w:val="13"/>
                <w:szCs w:val="13"/>
                <w:lang w:eastAsia="el-GR"/>
              </w:rPr>
            </w:pPr>
            <w:r w:rsidRPr="00270C1C">
              <w:rPr>
                <w:rFonts w:ascii="Cambria Math" w:eastAsia="Times New Roman" w:hAnsi="Cambria Math" w:cs="Cambria Math"/>
                <w:sz w:val="21"/>
                <w:szCs w:val="21"/>
                <w:lang w:eastAsia="el-GR"/>
              </w:rPr>
              <w:t>⨁⨁⨁</w:t>
            </w:r>
            <w:r w:rsidRPr="00270C1C">
              <w:rPr>
                <w:rFonts w:ascii="Cambria Math" w:eastAsia="Times New Roman" w:hAnsi="Cambria Math" w:cs="Cambria Math"/>
                <w:sz w:val="16"/>
                <w:szCs w:val="16"/>
                <w:lang w:eastAsia="el-GR"/>
              </w:rPr>
              <w:t>◯</w:t>
            </w:r>
            <w:r w:rsidRPr="00270C1C">
              <w:rPr>
                <w:rFonts w:ascii="Arial Narrow" w:eastAsia="Times New Roman" w:hAnsi="Arial Narrow"/>
                <w:sz w:val="13"/>
                <w:szCs w:val="13"/>
                <w:lang w:eastAsia="el-GR"/>
              </w:rPr>
              <w:br/>
              <w:t xml:space="preserve">MODERATE </w:t>
            </w:r>
          </w:p>
        </w:tc>
        <w:tc>
          <w:tcPr>
            <w:tcW w:w="477" w:type="pct"/>
            <w:tcBorders>
              <w:top w:val="single" w:sz="6" w:space="0" w:color="000000"/>
              <w:left w:val="single" w:sz="6" w:space="0" w:color="000000"/>
              <w:bottom w:val="single" w:sz="6" w:space="0" w:color="000000"/>
              <w:right w:val="single" w:sz="6" w:space="0" w:color="000000"/>
            </w:tcBorders>
            <w:hideMark/>
          </w:tcPr>
          <w:p w:rsidR="00270C1C" w:rsidRPr="00270C1C" w:rsidRDefault="00270C1C" w:rsidP="00270C1C">
            <w:pPr>
              <w:rPr>
                <w:rFonts w:ascii="Arial Narrow" w:eastAsia="Times New Roman" w:hAnsi="Arial Narrow"/>
                <w:sz w:val="13"/>
                <w:szCs w:val="13"/>
                <w:lang w:eastAsia="el-GR"/>
              </w:rPr>
            </w:pPr>
            <w:r w:rsidRPr="00270C1C">
              <w:rPr>
                <w:rFonts w:ascii="Arial Narrow" w:eastAsia="Times New Roman" w:hAnsi="Arial Narrow"/>
                <w:sz w:val="13"/>
                <w:szCs w:val="13"/>
                <w:lang w:eastAsia="el-GR"/>
              </w:rPr>
              <w:t xml:space="preserve">NOT IMPORTANT </w:t>
            </w:r>
          </w:p>
        </w:tc>
      </w:tr>
    </w:tbl>
    <w:p w:rsidR="00270C1C" w:rsidRPr="00270C1C" w:rsidRDefault="00270C1C" w:rsidP="00270C1C">
      <w:pPr>
        <w:spacing w:before="100" w:beforeAutospacing="1" w:after="100" w:afterAutospacing="1" w:line="140" w:lineRule="atLeast"/>
        <w:rPr>
          <w:rFonts w:ascii="Arial Narrow" w:eastAsiaTheme="minorEastAsia" w:hAnsi="Arial Narrow" w:cs="Times New Roman"/>
          <w:color w:val="000000"/>
          <w:sz w:val="14"/>
          <w:szCs w:val="14"/>
          <w:lang w:val="en-US" w:eastAsia="el-GR"/>
        </w:rPr>
      </w:pPr>
      <w:r w:rsidRPr="00270C1C">
        <w:rPr>
          <w:rFonts w:ascii="Arial Narrow" w:eastAsiaTheme="minorEastAsia" w:hAnsi="Arial Narrow" w:cs="Times New Roman"/>
          <w:b/>
          <w:bCs/>
          <w:color w:val="000000"/>
          <w:sz w:val="14"/>
          <w:szCs w:val="14"/>
          <w:lang w:val="en-US" w:eastAsia="el-GR"/>
        </w:rPr>
        <w:t>CI:</w:t>
      </w:r>
      <w:r w:rsidRPr="00270C1C">
        <w:rPr>
          <w:rFonts w:ascii="Arial Narrow" w:eastAsiaTheme="minorEastAsia" w:hAnsi="Arial Narrow" w:cs="Times New Roman"/>
          <w:color w:val="000000"/>
          <w:sz w:val="14"/>
          <w:szCs w:val="14"/>
          <w:lang w:val="en-US" w:eastAsia="el-GR"/>
        </w:rPr>
        <w:t xml:space="preserve"> Confidence interval; </w:t>
      </w:r>
      <w:r w:rsidRPr="00270C1C">
        <w:rPr>
          <w:rFonts w:ascii="Arial Narrow" w:eastAsiaTheme="minorEastAsia" w:hAnsi="Arial Narrow" w:cs="Times New Roman"/>
          <w:b/>
          <w:bCs/>
          <w:color w:val="000000"/>
          <w:sz w:val="14"/>
          <w:szCs w:val="14"/>
          <w:lang w:val="en-US" w:eastAsia="el-GR"/>
        </w:rPr>
        <w:t>MD:</w:t>
      </w:r>
      <w:r w:rsidRPr="00270C1C">
        <w:rPr>
          <w:rFonts w:ascii="Arial Narrow" w:eastAsiaTheme="minorEastAsia" w:hAnsi="Arial Narrow" w:cs="Times New Roman"/>
          <w:color w:val="000000"/>
          <w:sz w:val="14"/>
          <w:szCs w:val="14"/>
          <w:lang w:val="en-US" w:eastAsia="el-GR"/>
        </w:rPr>
        <w:t xml:space="preserve"> Mean difference</w:t>
      </w:r>
    </w:p>
    <w:p w:rsidR="00270C1C" w:rsidRPr="00270C1C" w:rsidRDefault="00270C1C" w:rsidP="00270C1C">
      <w:pPr>
        <w:spacing w:before="100" w:beforeAutospacing="1" w:after="100" w:afterAutospacing="1" w:line="140" w:lineRule="atLeast"/>
        <w:outlineLvl w:val="3"/>
        <w:rPr>
          <w:rFonts w:ascii="Arial Narrow" w:eastAsia="Times New Roman" w:hAnsi="Arial Narrow" w:cs="Times New Roman"/>
          <w:b/>
          <w:bCs/>
          <w:color w:val="000000"/>
          <w:sz w:val="18"/>
          <w:szCs w:val="18"/>
          <w:lang w:val="en-US" w:eastAsia="el-GR"/>
        </w:rPr>
      </w:pPr>
      <w:r w:rsidRPr="00270C1C">
        <w:rPr>
          <w:rFonts w:ascii="Arial Narrow" w:eastAsia="Times New Roman" w:hAnsi="Arial Narrow" w:cs="Times New Roman"/>
          <w:b/>
          <w:bCs/>
          <w:color w:val="000000"/>
          <w:sz w:val="18"/>
          <w:szCs w:val="18"/>
          <w:lang w:val="en-US" w:eastAsia="el-GR"/>
        </w:rPr>
        <w:t>Explanations</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a. I</w:t>
      </w:r>
      <w:r w:rsidRPr="00270C1C">
        <w:rPr>
          <w:rFonts w:ascii="Arial Narrow" w:eastAsia="Times New Roman" w:hAnsi="Arial Narrow"/>
          <w:color w:val="000000"/>
          <w:sz w:val="16"/>
          <w:szCs w:val="16"/>
          <w:vertAlign w:val="superscript"/>
          <w:lang w:val="en-US" w:eastAsia="el-GR"/>
        </w:rPr>
        <w:t>2</w:t>
      </w:r>
      <w:r w:rsidRPr="00270C1C">
        <w:rPr>
          <w:rFonts w:ascii="Arial Narrow" w:eastAsia="Times New Roman" w:hAnsi="Arial Narrow"/>
          <w:color w:val="000000"/>
          <w:sz w:val="16"/>
          <w:szCs w:val="16"/>
          <w:lang w:val="en-US" w:eastAsia="el-GR"/>
        </w:rPr>
        <w:t xml:space="preserve"> in the moderate range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b. CI overlaps no effect with small sample size (&lt;400 participants)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c. Important, high I</w:t>
      </w:r>
      <w:r w:rsidRPr="00270C1C">
        <w:rPr>
          <w:rFonts w:ascii="Arial Narrow" w:eastAsia="Times New Roman" w:hAnsi="Arial Narrow"/>
          <w:color w:val="000000"/>
          <w:sz w:val="16"/>
          <w:szCs w:val="16"/>
          <w:vertAlign w:val="superscript"/>
          <w:lang w:val="en-US" w:eastAsia="el-GR"/>
        </w:rPr>
        <w:t xml:space="preserve">2 </w:t>
      </w:r>
    </w:p>
    <w:p w:rsidR="00270C1C" w:rsidRPr="00270C1C" w:rsidRDefault="00270C1C" w:rsidP="00270C1C">
      <w:pPr>
        <w:spacing w:line="140" w:lineRule="atLeast"/>
        <w:rPr>
          <w:rFonts w:ascii="Arial Narrow" w:eastAsia="Times New Roman" w:hAnsi="Arial Narrow"/>
          <w:color w:val="000000"/>
          <w:sz w:val="16"/>
          <w:szCs w:val="16"/>
          <w:lang w:val="en-US" w:eastAsia="el-GR"/>
        </w:rPr>
      </w:pPr>
      <w:r w:rsidRPr="00270C1C">
        <w:rPr>
          <w:rFonts w:ascii="Arial Narrow" w:eastAsia="Times New Roman" w:hAnsi="Arial Narrow"/>
          <w:color w:val="000000"/>
          <w:sz w:val="16"/>
          <w:szCs w:val="16"/>
          <w:lang w:val="en-US" w:eastAsia="el-GR"/>
        </w:rPr>
        <w:t xml:space="preserve">d. CI overlaps no effect </w:t>
      </w:r>
    </w:p>
    <w:p w:rsidR="007C1DED" w:rsidRDefault="007C1DED" w:rsidP="00D7124C">
      <w:pPr>
        <w:rPr>
          <w:lang w:val="en-US"/>
        </w:rPr>
      </w:pPr>
    </w:p>
    <w:p w:rsidR="00934FF3" w:rsidRDefault="00934FF3" w:rsidP="00D7124C">
      <w:pPr>
        <w:rPr>
          <w:lang w:val="en-US"/>
        </w:rPr>
      </w:pPr>
    </w:p>
    <w:p w:rsidR="00934FF3" w:rsidRDefault="00934FF3" w:rsidP="00D7124C">
      <w:pPr>
        <w:rPr>
          <w:lang w:val="en-US"/>
        </w:rPr>
      </w:pPr>
    </w:p>
    <w:p w:rsidR="00934FF3" w:rsidRDefault="00934FF3" w:rsidP="00D7124C">
      <w:pPr>
        <w:rPr>
          <w:lang w:val="en-US"/>
        </w:rPr>
      </w:pPr>
    </w:p>
    <w:p w:rsidR="00934FF3" w:rsidRDefault="00934FF3" w:rsidP="00D7124C">
      <w:pPr>
        <w:rPr>
          <w:lang w:val="en-US"/>
        </w:rPr>
      </w:pPr>
    </w:p>
    <w:p w:rsidR="00934FF3" w:rsidRDefault="00934FF3" w:rsidP="00D7124C">
      <w:pPr>
        <w:rPr>
          <w:lang w:val="en-US"/>
        </w:rPr>
      </w:pPr>
    </w:p>
    <w:p w:rsidR="001D33EB" w:rsidRDefault="001D33EB" w:rsidP="00D7124C">
      <w:pPr>
        <w:rPr>
          <w:lang w:val="en-US"/>
        </w:rPr>
      </w:pPr>
    </w:p>
    <w:p w:rsidR="00C5734E" w:rsidRDefault="00C5734E" w:rsidP="00D7124C">
      <w:pPr>
        <w:rPr>
          <w:lang w:val="en-US"/>
        </w:rPr>
      </w:pPr>
    </w:p>
    <w:p w:rsidR="00EF4B76" w:rsidRDefault="00EF4B76" w:rsidP="00EF4B76">
      <w:pPr>
        <w:spacing w:line="240" w:lineRule="auto"/>
        <w:rPr>
          <w:lang w:val="en-US"/>
        </w:rPr>
      </w:pPr>
    </w:p>
    <w:p w:rsidR="00EF4B76" w:rsidRDefault="00EF4B76" w:rsidP="00EF4B76">
      <w:pPr>
        <w:spacing w:line="240" w:lineRule="auto"/>
        <w:rPr>
          <w:lang w:val="en-US"/>
        </w:rPr>
      </w:pPr>
    </w:p>
    <w:p w:rsidR="001D33EB" w:rsidRPr="00AB40AE" w:rsidRDefault="00C5734E" w:rsidP="00EF4B76">
      <w:pPr>
        <w:spacing w:line="240" w:lineRule="auto"/>
        <w:jc w:val="center"/>
        <w:rPr>
          <w:rFonts w:cstheme="minorHAnsi"/>
          <w:b/>
          <w:sz w:val="24"/>
          <w:szCs w:val="24"/>
          <w:lang w:val="en-GB"/>
        </w:rPr>
      </w:pPr>
      <w:r>
        <w:rPr>
          <w:rFonts w:cstheme="minorHAnsi"/>
          <w:b/>
          <w:sz w:val="24"/>
          <w:szCs w:val="24"/>
          <w:lang w:val="en-GB"/>
        </w:rPr>
        <w:lastRenderedPageBreak/>
        <w:t>Table S1</w:t>
      </w:r>
      <w:r w:rsidR="001D33EB" w:rsidRPr="00AB40AE">
        <w:rPr>
          <w:rFonts w:cstheme="minorHAnsi"/>
          <w:b/>
          <w:sz w:val="24"/>
          <w:szCs w:val="24"/>
          <w:lang w:val="en-GB"/>
        </w:rPr>
        <w:t>. Handling of heterogeneity &amp; meta-biases</w:t>
      </w:r>
      <w:r w:rsidR="00EF4B76" w:rsidRPr="00AB40AE">
        <w:rPr>
          <w:rFonts w:cstheme="minorHAnsi"/>
          <w:b/>
          <w:sz w:val="24"/>
          <w:szCs w:val="24"/>
          <w:lang w:val="en-GB"/>
        </w:rPr>
        <w:t>.</w:t>
      </w:r>
    </w:p>
    <w:tbl>
      <w:tblPr>
        <w:tblStyle w:val="TableGrid"/>
        <w:tblW w:w="9923" w:type="dxa"/>
        <w:jc w:val="center"/>
        <w:tblLayout w:type="fixed"/>
        <w:tblLook w:val="04A0" w:firstRow="1" w:lastRow="0" w:firstColumn="1" w:lastColumn="0" w:noHBand="0" w:noVBand="1"/>
      </w:tblPr>
      <w:tblGrid>
        <w:gridCol w:w="993"/>
        <w:gridCol w:w="992"/>
        <w:gridCol w:w="851"/>
        <w:gridCol w:w="992"/>
        <w:gridCol w:w="1109"/>
        <w:gridCol w:w="1017"/>
        <w:gridCol w:w="1276"/>
        <w:gridCol w:w="992"/>
        <w:gridCol w:w="851"/>
        <w:gridCol w:w="850"/>
      </w:tblGrid>
      <w:tr w:rsidR="001D33EB" w:rsidRPr="00F30600" w:rsidTr="006E7FF9">
        <w:trPr>
          <w:cantSplit/>
          <w:trHeight w:val="949"/>
          <w:tblHeader/>
          <w:jc w:val="center"/>
        </w:trPr>
        <w:tc>
          <w:tcPr>
            <w:tcW w:w="993" w:type="dxa"/>
            <w:shd w:val="clear" w:color="auto" w:fill="FFD966" w:themeFill="accent4" w:themeFillTint="99"/>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Meta-analyses</w:t>
            </w:r>
          </w:p>
        </w:tc>
        <w:tc>
          <w:tcPr>
            <w:tcW w:w="992" w:type="dxa"/>
            <w:shd w:val="clear" w:color="auto" w:fill="FFD966" w:themeFill="accent4" w:themeFillTint="99"/>
          </w:tcPr>
          <w:p w:rsidR="001D33EB" w:rsidRPr="00AB40AE" w:rsidRDefault="001D33EB" w:rsidP="00371318">
            <w:pPr>
              <w:spacing w:line="360" w:lineRule="auto"/>
              <w:jc w:val="center"/>
              <w:rPr>
                <w:rFonts w:cstheme="minorHAnsi"/>
                <w:b/>
                <w:sz w:val="16"/>
                <w:szCs w:val="16"/>
                <w:lang w:val="en-GB"/>
              </w:rPr>
            </w:pPr>
            <w:r w:rsidRPr="00AB40AE">
              <w:rPr>
                <w:rFonts w:cstheme="minorHAnsi"/>
                <w:b/>
                <w:sz w:val="16"/>
                <w:szCs w:val="16"/>
                <w:lang w:val="en-GB"/>
              </w:rPr>
              <w:t>Statistical software</w:t>
            </w:r>
          </w:p>
        </w:tc>
        <w:tc>
          <w:tcPr>
            <w:tcW w:w="851" w:type="dxa"/>
            <w:shd w:val="clear" w:color="auto" w:fill="FFD966" w:themeFill="accent4" w:themeFillTint="99"/>
          </w:tcPr>
          <w:p w:rsidR="001D33EB" w:rsidRPr="00AB40AE" w:rsidRDefault="001D33EB" w:rsidP="00371318">
            <w:pPr>
              <w:spacing w:line="360" w:lineRule="auto"/>
              <w:jc w:val="center"/>
              <w:rPr>
                <w:rFonts w:cstheme="minorHAnsi"/>
                <w:b/>
                <w:sz w:val="16"/>
                <w:szCs w:val="16"/>
                <w:lang w:val="en-GB"/>
              </w:rPr>
            </w:pPr>
            <w:r w:rsidRPr="00AB40AE">
              <w:rPr>
                <w:rFonts w:cstheme="minorHAnsi"/>
                <w:b/>
                <w:sz w:val="16"/>
                <w:szCs w:val="16"/>
                <w:lang w:val="en-GB"/>
              </w:rPr>
              <w:t>Fixed/ Random Effects model</w:t>
            </w:r>
          </w:p>
        </w:tc>
        <w:tc>
          <w:tcPr>
            <w:tcW w:w="992" w:type="dxa"/>
            <w:shd w:val="clear" w:color="auto" w:fill="FFD966" w:themeFill="accent4" w:themeFillTint="99"/>
          </w:tcPr>
          <w:p w:rsidR="001D33EB" w:rsidRPr="00AB40AE" w:rsidRDefault="001D33EB" w:rsidP="00371318">
            <w:pPr>
              <w:spacing w:line="360" w:lineRule="auto"/>
              <w:jc w:val="center"/>
              <w:rPr>
                <w:rFonts w:cstheme="minorHAnsi"/>
                <w:b/>
                <w:sz w:val="16"/>
                <w:szCs w:val="16"/>
                <w:lang w:val="en-GB"/>
              </w:rPr>
            </w:pPr>
            <w:r w:rsidRPr="00AB40AE">
              <w:rPr>
                <w:rFonts w:cstheme="minorHAnsi"/>
                <w:b/>
                <w:sz w:val="16"/>
                <w:szCs w:val="16"/>
                <w:lang w:val="en-GB"/>
              </w:rPr>
              <w:t>I</w:t>
            </w:r>
            <w:r w:rsidRPr="00AB40AE">
              <w:rPr>
                <w:rFonts w:cstheme="minorHAnsi"/>
                <w:b/>
                <w:sz w:val="16"/>
                <w:szCs w:val="16"/>
                <w:vertAlign w:val="superscript"/>
                <w:lang w:val="en-GB"/>
              </w:rPr>
              <w:t>2</w:t>
            </w:r>
            <w:r w:rsidRPr="00AB40AE">
              <w:rPr>
                <w:rFonts w:cstheme="minorHAnsi"/>
                <w:b/>
                <w:sz w:val="16"/>
                <w:szCs w:val="16"/>
                <w:lang w:val="en-GB"/>
              </w:rPr>
              <w:t xml:space="preserve">  or Cochran’s χ</w:t>
            </w:r>
            <w:r w:rsidRPr="00AB40AE">
              <w:rPr>
                <w:rFonts w:cstheme="minorHAnsi"/>
                <w:b/>
                <w:sz w:val="16"/>
                <w:szCs w:val="16"/>
                <w:vertAlign w:val="superscript"/>
                <w:lang w:val="en-GB"/>
              </w:rPr>
              <w:t>2 /</w:t>
            </w:r>
            <w:r w:rsidRPr="00AB40AE">
              <w:rPr>
                <w:rFonts w:cstheme="minorHAnsi"/>
                <w:b/>
                <w:sz w:val="16"/>
                <w:szCs w:val="16"/>
                <w:lang w:val="en-GB"/>
              </w:rPr>
              <w:t>Q or τ</w:t>
            </w:r>
            <w:r w:rsidRPr="00AB40AE">
              <w:rPr>
                <w:rFonts w:cstheme="minorHAnsi"/>
                <w:b/>
                <w:sz w:val="16"/>
                <w:szCs w:val="16"/>
                <w:vertAlign w:val="superscript"/>
                <w:lang w:val="en-GB"/>
              </w:rPr>
              <w:t>2</w:t>
            </w:r>
            <w:r w:rsidRPr="00AB40AE">
              <w:rPr>
                <w:rFonts w:cstheme="minorHAnsi"/>
                <w:b/>
                <w:sz w:val="16"/>
                <w:szCs w:val="16"/>
                <w:lang w:val="en-GB"/>
              </w:rPr>
              <w:t xml:space="preserve"> test</w:t>
            </w:r>
          </w:p>
        </w:tc>
        <w:tc>
          <w:tcPr>
            <w:tcW w:w="1109" w:type="dxa"/>
            <w:shd w:val="clear" w:color="auto" w:fill="FFD966" w:themeFill="accent4" w:themeFillTint="99"/>
          </w:tcPr>
          <w:p w:rsidR="001D33EB" w:rsidRPr="00AB40AE" w:rsidRDefault="001D33EB" w:rsidP="00371318">
            <w:pPr>
              <w:spacing w:line="360" w:lineRule="auto"/>
              <w:jc w:val="center"/>
              <w:rPr>
                <w:rFonts w:cstheme="minorHAnsi"/>
                <w:b/>
                <w:sz w:val="16"/>
                <w:szCs w:val="16"/>
                <w:lang w:val="en-GB"/>
              </w:rPr>
            </w:pPr>
            <w:r w:rsidRPr="00AB40AE">
              <w:rPr>
                <w:rFonts w:cstheme="minorHAnsi"/>
                <w:b/>
                <w:sz w:val="16"/>
                <w:szCs w:val="16"/>
                <w:lang w:val="en-GB"/>
              </w:rPr>
              <w:t>Funnel plot</w:t>
            </w:r>
          </w:p>
        </w:tc>
        <w:tc>
          <w:tcPr>
            <w:tcW w:w="1017" w:type="dxa"/>
            <w:shd w:val="clear" w:color="auto" w:fill="FFD966" w:themeFill="accent4" w:themeFillTint="99"/>
          </w:tcPr>
          <w:p w:rsidR="001D33EB" w:rsidRPr="00AB40AE" w:rsidRDefault="001D33EB" w:rsidP="00371318">
            <w:pPr>
              <w:spacing w:line="360" w:lineRule="auto"/>
              <w:jc w:val="center"/>
              <w:rPr>
                <w:rFonts w:cstheme="minorHAnsi"/>
                <w:b/>
                <w:sz w:val="16"/>
                <w:szCs w:val="16"/>
                <w:lang w:val="en-GB"/>
              </w:rPr>
            </w:pPr>
            <w:r w:rsidRPr="00AB40AE">
              <w:rPr>
                <w:rFonts w:cstheme="minorHAnsi"/>
                <w:b/>
                <w:sz w:val="16"/>
                <w:szCs w:val="16"/>
                <w:lang w:val="en-GB"/>
              </w:rPr>
              <w:t>Additional analysis</w:t>
            </w:r>
          </w:p>
        </w:tc>
        <w:tc>
          <w:tcPr>
            <w:tcW w:w="1276" w:type="dxa"/>
            <w:shd w:val="clear" w:color="auto" w:fill="FFD966" w:themeFill="accent4" w:themeFillTint="99"/>
          </w:tcPr>
          <w:p w:rsidR="001D33EB" w:rsidRPr="00AB40AE" w:rsidRDefault="001D33EB" w:rsidP="00371318">
            <w:pPr>
              <w:spacing w:line="360" w:lineRule="auto"/>
              <w:jc w:val="center"/>
              <w:rPr>
                <w:rFonts w:cstheme="minorHAnsi"/>
                <w:b/>
                <w:sz w:val="16"/>
                <w:szCs w:val="16"/>
                <w:lang w:val="en-GB"/>
              </w:rPr>
            </w:pPr>
            <w:r w:rsidRPr="00AB40AE">
              <w:rPr>
                <w:rFonts w:cstheme="minorHAnsi"/>
                <w:b/>
                <w:sz w:val="16"/>
                <w:szCs w:val="16"/>
                <w:lang w:val="en-GB"/>
              </w:rPr>
              <w:t>Risk of bias assessment</w:t>
            </w:r>
          </w:p>
        </w:tc>
        <w:tc>
          <w:tcPr>
            <w:tcW w:w="992" w:type="dxa"/>
            <w:shd w:val="clear" w:color="auto" w:fill="FFD966" w:themeFill="accent4" w:themeFillTint="99"/>
          </w:tcPr>
          <w:p w:rsidR="001D33EB" w:rsidRPr="00AB40AE" w:rsidRDefault="001D33EB" w:rsidP="00371318">
            <w:pPr>
              <w:spacing w:line="360" w:lineRule="auto"/>
              <w:jc w:val="center"/>
              <w:rPr>
                <w:rFonts w:cstheme="minorHAnsi"/>
                <w:b/>
                <w:sz w:val="16"/>
                <w:szCs w:val="16"/>
                <w:lang w:val="en-GB"/>
              </w:rPr>
            </w:pPr>
            <w:r w:rsidRPr="00AB40AE">
              <w:rPr>
                <w:rFonts w:cstheme="minorHAnsi"/>
                <w:b/>
                <w:sz w:val="16"/>
                <w:szCs w:val="16"/>
                <w:lang w:val="en-GB"/>
              </w:rPr>
              <w:t>Selective outcome reporting</w:t>
            </w:r>
          </w:p>
        </w:tc>
        <w:tc>
          <w:tcPr>
            <w:tcW w:w="851" w:type="dxa"/>
            <w:shd w:val="clear" w:color="auto" w:fill="FFD966" w:themeFill="accent4" w:themeFillTint="99"/>
          </w:tcPr>
          <w:p w:rsidR="001D33EB" w:rsidRPr="00AB40AE" w:rsidRDefault="001D33EB" w:rsidP="00371318">
            <w:pPr>
              <w:spacing w:line="360" w:lineRule="auto"/>
              <w:jc w:val="center"/>
              <w:rPr>
                <w:rFonts w:cstheme="minorHAnsi"/>
                <w:b/>
                <w:sz w:val="16"/>
                <w:szCs w:val="16"/>
                <w:lang w:val="en-GB"/>
              </w:rPr>
            </w:pPr>
            <w:r w:rsidRPr="00AB40AE">
              <w:rPr>
                <w:rFonts w:cstheme="minorHAnsi"/>
                <w:b/>
                <w:sz w:val="16"/>
                <w:szCs w:val="16"/>
                <w:lang w:val="en-GB"/>
              </w:rPr>
              <w:t>Dual co-authorship</w:t>
            </w:r>
          </w:p>
        </w:tc>
        <w:tc>
          <w:tcPr>
            <w:tcW w:w="850" w:type="dxa"/>
            <w:shd w:val="clear" w:color="auto" w:fill="FFD966" w:themeFill="accent4" w:themeFillTint="99"/>
          </w:tcPr>
          <w:p w:rsidR="001D33EB" w:rsidRPr="00AB40AE" w:rsidRDefault="001D33EB" w:rsidP="00371318">
            <w:pPr>
              <w:spacing w:line="360" w:lineRule="auto"/>
              <w:jc w:val="center"/>
              <w:rPr>
                <w:rFonts w:cstheme="minorHAnsi"/>
                <w:b/>
                <w:sz w:val="16"/>
                <w:szCs w:val="16"/>
                <w:lang w:val="en-GB"/>
              </w:rPr>
            </w:pPr>
            <w:r w:rsidRPr="00AB40AE">
              <w:rPr>
                <w:rFonts w:cstheme="minorHAnsi"/>
                <w:b/>
                <w:sz w:val="16"/>
                <w:szCs w:val="16"/>
                <w:lang w:val="en-GB"/>
              </w:rPr>
              <w:t>Other sources of bias</w:t>
            </w:r>
          </w:p>
        </w:tc>
      </w:tr>
      <w:tr w:rsidR="001D33EB" w:rsidRPr="00F30600" w:rsidTr="006E7FF9">
        <w:trPr>
          <w:trHeight w:val="1047"/>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Walline et al. 2011</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RevMan 5</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Fixed and 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-χ</w:t>
            </w:r>
            <w:r w:rsidRPr="00AB40AE">
              <w:rPr>
                <w:rFonts w:cstheme="minorHAnsi"/>
                <w:sz w:val="15"/>
                <w:szCs w:val="15"/>
                <w:vertAlign w:val="superscript"/>
                <w:lang w:val="en-GB"/>
              </w:rPr>
              <w:t>2</w:t>
            </w: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-Sensitivity analysis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 Subgroup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Cochrane Collaboration Risk of Bias Tool</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Yes</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Performance, attrition biases</w:t>
            </w:r>
          </w:p>
        </w:tc>
      </w:tr>
      <w:tr w:rsidR="001D33EB" w:rsidRPr="0090221A" w:rsidTr="006E7FF9">
        <w:trPr>
          <w:trHeight w:val="1287"/>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Sherwin et al. 2012</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Stata 10.1</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-Cochran’s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Some suggestion of asymmetry, Begg test, Egger test</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 Sensitivity analysis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 Subgroup analysis</w:t>
            </w:r>
          </w:p>
          <w:p w:rsidR="001D33EB" w:rsidRPr="00AB40AE" w:rsidRDefault="001D33EB" w:rsidP="00371318">
            <w:pPr>
              <w:spacing w:line="360" w:lineRule="auto"/>
              <w:jc w:val="center"/>
              <w:rPr>
                <w:rFonts w:cstheme="minorHAnsi"/>
                <w:sz w:val="15"/>
                <w:szCs w:val="15"/>
                <w:lang w:val="en-GB"/>
              </w:rPr>
            </w:pPr>
          </w:p>
        </w:tc>
        <w:tc>
          <w:tcPr>
            <w:tcW w:w="1276" w:type="dxa"/>
          </w:tcPr>
          <w:p w:rsidR="001D33EB" w:rsidRPr="00AB40AE" w:rsidRDefault="001D33EB" w:rsidP="00AB40AE">
            <w:pPr>
              <w:spacing w:line="360" w:lineRule="auto"/>
              <w:jc w:val="center"/>
              <w:rPr>
                <w:rFonts w:cstheme="minorHAnsi"/>
                <w:sz w:val="15"/>
                <w:szCs w:val="15"/>
                <w:lang w:val="en-GB"/>
              </w:rPr>
            </w:pPr>
            <w:r w:rsidRPr="00AB40AE">
              <w:rPr>
                <w:rFonts w:cstheme="minorHAnsi"/>
                <w:sz w:val="15"/>
                <w:szCs w:val="15"/>
                <w:lang w:val="en-GB"/>
              </w:rPr>
              <w:t>Tool proposed by Sanderson et al. 2007</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Possible</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Reporting bias</w:t>
            </w:r>
          </w:p>
        </w:tc>
      </w:tr>
      <w:tr w:rsidR="001D33EB" w:rsidRPr="0090221A" w:rsidTr="006E7FF9">
        <w:trPr>
          <w:trHeight w:val="1612"/>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Song et al. 2011</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NA</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Fixed and 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-Cochran’s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-τ</w:t>
            </w:r>
            <w:r w:rsidRPr="00AB40AE">
              <w:rPr>
                <w:rFonts w:cstheme="minorHAnsi"/>
                <w:sz w:val="15"/>
                <w:szCs w:val="15"/>
                <w:vertAlign w:val="superscript"/>
                <w:lang w:val="en-GB"/>
              </w:rPr>
              <w:t>2</w:t>
            </w: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Symmetrical</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 Egger test</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 Random - effect meta -regression</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 Sensitivity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Jadad score ≥ 2</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External validity</w:t>
            </w:r>
          </w:p>
        </w:tc>
      </w:tr>
      <w:tr w:rsidR="001D33EB" w:rsidRPr="0090221A" w:rsidTr="006E7FF9">
        <w:trPr>
          <w:trHeight w:val="667"/>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Li et al. 2011</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RevMan 5</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Fixed and 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-χ</w:t>
            </w:r>
            <w:r w:rsidRPr="00AB40AE">
              <w:rPr>
                <w:rFonts w:cstheme="minorHAnsi"/>
                <w:sz w:val="15"/>
                <w:szCs w:val="15"/>
                <w:vertAlign w:val="superscript"/>
                <w:lang w:val="en-GB"/>
              </w:rPr>
              <w:t>2</w:t>
            </w: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Symmetrical</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-Sensitivity analysis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-Subgroup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Jadad score ≥ 3</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External validity</w:t>
            </w:r>
          </w:p>
        </w:tc>
      </w:tr>
      <w:tr w:rsidR="001D33EB" w:rsidRPr="0090221A" w:rsidTr="006E7FF9">
        <w:trPr>
          <w:trHeight w:val="667"/>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Li et al. 2014</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RevMan 5.1</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Fixed and 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-χ</w:t>
            </w:r>
            <w:r w:rsidRPr="00AB40AE">
              <w:rPr>
                <w:rFonts w:cstheme="minorHAnsi"/>
                <w:sz w:val="15"/>
                <w:szCs w:val="15"/>
                <w:vertAlign w:val="superscript"/>
                <w:lang w:val="en-GB"/>
              </w:rPr>
              <w:t>2</w:t>
            </w: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-Mann Whitney U test</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Jadad score, Newcastle-Ottawa scale</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External validity</w:t>
            </w:r>
          </w:p>
        </w:tc>
      </w:tr>
      <w:tr w:rsidR="001D33EB" w:rsidRPr="0090221A" w:rsidTr="006E7FF9">
        <w:trPr>
          <w:trHeight w:val="910"/>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Sun et al. 2015</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Stata 11.0</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Fixed and 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vertAlign w:val="superscript"/>
                <w:lang w:val="en-GB"/>
              </w:rPr>
            </w:pPr>
            <w:r w:rsidRPr="00AB40AE">
              <w:rPr>
                <w:rFonts w:cstheme="minorHAnsi"/>
                <w:sz w:val="15"/>
                <w:szCs w:val="15"/>
                <w:lang w:val="en-GB"/>
              </w:rPr>
              <w:t>-χ</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-Sensitivity analysis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-Subgroup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Jadad score, MINORS, GRADE</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Selection bias</w:t>
            </w:r>
          </w:p>
        </w:tc>
      </w:tr>
      <w:tr w:rsidR="001D33EB" w:rsidRPr="0090221A" w:rsidTr="006E7FF9">
        <w:trPr>
          <w:trHeight w:val="667"/>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Si et al. 2015</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RevMan 5.2.6</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vertAlign w:val="superscript"/>
                <w:lang w:val="en-GB"/>
              </w:rPr>
            </w:pPr>
            <w:r w:rsidRPr="00AB40AE">
              <w:rPr>
                <w:rFonts w:cstheme="minorHAnsi"/>
                <w:sz w:val="15"/>
                <w:szCs w:val="15"/>
                <w:lang w:val="en-GB"/>
              </w:rPr>
              <w:t>-χ</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-τ</w:t>
            </w:r>
            <w:r w:rsidRPr="00AB40AE">
              <w:rPr>
                <w:rFonts w:cstheme="minorHAnsi"/>
                <w:sz w:val="15"/>
                <w:szCs w:val="15"/>
                <w:vertAlign w:val="superscript"/>
                <w:lang w:val="en-GB"/>
              </w:rPr>
              <w:t>2</w:t>
            </w: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-Sensitivity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Jadad score</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Possible selection bias</w:t>
            </w:r>
          </w:p>
        </w:tc>
      </w:tr>
      <w:tr w:rsidR="001D33EB" w:rsidRPr="00387818" w:rsidTr="006E7FF9">
        <w:trPr>
          <w:trHeight w:val="667"/>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Wen et al. 2015</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Stata 10.1</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Fixed and 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vertAlign w:val="superscript"/>
                <w:lang w:val="en-GB"/>
              </w:rPr>
            </w:pPr>
            <w:r w:rsidRPr="00AB40AE">
              <w:rPr>
                <w:rFonts w:cstheme="minorHAnsi"/>
                <w:sz w:val="15"/>
                <w:szCs w:val="15"/>
                <w:lang w:val="en-GB"/>
              </w:rPr>
              <w:t>-χ</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-Sensitivity analysis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-Subgroup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Jadad score ≥ 4, Newcastle-Ottawa scale ≥ 6</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Small number of trials and sample sizes</w:t>
            </w:r>
          </w:p>
        </w:tc>
      </w:tr>
      <w:tr w:rsidR="001D33EB" w:rsidRPr="0090221A" w:rsidTr="006E7FF9">
        <w:trPr>
          <w:trHeight w:val="682"/>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Li et al. 2016</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RevMan 5.3</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Fixed and 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vertAlign w:val="superscript"/>
                <w:lang w:val="en-GB"/>
              </w:rPr>
            </w:pPr>
            <w:r w:rsidRPr="00AB40AE">
              <w:rPr>
                <w:rFonts w:cstheme="minorHAnsi"/>
                <w:sz w:val="15"/>
                <w:szCs w:val="15"/>
                <w:lang w:val="en-GB"/>
              </w:rPr>
              <w:t>-χ</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-Subgroup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Jadad score, Newcastle-Ottawa scale</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Possible selection bias</w:t>
            </w:r>
          </w:p>
        </w:tc>
      </w:tr>
      <w:tr w:rsidR="001D33EB" w:rsidRPr="0090221A" w:rsidTr="006E7FF9">
        <w:trPr>
          <w:cantSplit/>
          <w:trHeight w:val="667"/>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Li et al. 2017</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RevMan 5.3</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Fixed and 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vertAlign w:val="superscript"/>
                <w:lang w:val="en-GB"/>
              </w:rPr>
            </w:pPr>
            <w:r w:rsidRPr="00AB40AE">
              <w:rPr>
                <w:rFonts w:cstheme="minorHAnsi"/>
                <w:sz w:val="15"/>
                <w:szCs w:val="15"/>
                <w:lang w:val="en-GB"/>
              </w:rPr>
              <w:t>-χ</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-Subgroup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Jadad score ≥ 4, Newcastle-Ottawa scale</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External validity</w:t>
            </w:r>
          </w:p>
        </w:tc>
      </w:tr>
      <w:tr w:rsidR="001D33EB" w:rsidRPr="0090221A" w:rsidTr="006E7FF9">
        <w:trPr>
          <w:cantSplit/>
          <w:trHeight w:val="330"/>
          <w:jc w:val="center"/>
        </w:trPr>
        <w:tc>
          <w:tcPr>
            <w:tcW w:w="9923" w:type="dxa"/>
            <w:gridSpan w:val="10"/>
          </w:tcPr>
          <w:p w:rsidR="001D33EB" w:rsidRPr="00AB40AE" w:rsidRDefault="001D33EB" w:rsidP="00371318">
            <w:pPr>
              <w:spacing w:line="360" w:lineRule="auto"/>
              <w:rPr>
                <w:rFonts w:cstheme="minorHAnsi"/>
                <w:sz w:val="18"/>
                <w:szCs w:val="18"/>
                <w:lang w:val="en-GB"/>
              </w:rPr>
            </w:pPr>
            <w:r w:rsidRPr="00AB40AE">
              <w:rPr>
                <w:rFonts w:cstheme="minorHAnsi"/>
                <w:sz w:val="18"/>
                <w:szCs w:val="18"/>
                <w:lang w:val="en-GB"/>
              </w:rPr>
              <w:t>(continued)</w:t>
            </w:r>
          </w:p>
        </w:tc>
      </w:tr>
      <w:tr w:rsidR="001D33EB" w:rsidRPr="00387818" w:rsidTr="006E7FF9">
        <w:trPr>
          <w:trHeight w:val="1438"/>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lastRenderedPageBreak/>
              <w:t>Huang et al. 2016</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Stata 10.0</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WinBUGS 1.4</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-Sensitivity analysis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-‘Node splitting’</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-Subgroup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Cochrane Collaboration Risk of Bias Tool</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Performance bias, small number of trials</w:t>
            </w:r>
          </w:p>
        </w:tc>
      </w:tr>
      <w:tr w:rsidR="001D33EB" w:rsidRPr="00387818" w:rsidTr="006E7FF9">
        <w:trPr>
          <w:trHeight w:val="1438"/>
          <w:jc w:val="center"/>
        </w:trPr>
        <w:tc>
          <w:tcPr>
            <w:tcW w:w="993" w:type="dxa"/>
          </w:tcPr>
          <w:p w:rsidR="001D33EB" w:rsidRPr="00AB40AE" w:rsidRDefault="001D33EB" w:rsidP="00371318">
            <w:pPr>
              <w:spacing w:line="360" w:lineRule="auto"/>
              <w:rPr>
                <w:rFonts w:cstheme="minorHAnsi"/>
                <w:b/>
                <w:color w:val="000000" w:themeColor="text1"/>
                <w:sz w:val="16"/>
                <w:szCs w:val="16"/>
                <w:lang w:val="en-GB"/>
              </w:rPr>
            </w:pPr>
            <w:r w:rsidRPr="00AB40AE">
              <w:rPr>
                <w:rFonts w:cstheme="minorHAnsi"/>
                <w:b/>
                <w:color w:val="000000" w:themeColor="text1"/>
                <w:sz w:val="16"/>
                <w:szCs w:val="16"/>
                <w:lang w:val="en-GB"/>
              </w:rPr>
              <w:t>Xiong et al. 2017</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Stata 12.0</w:t>
            </w:r>
          </w:p>
          <w:p w:rsidR="001D33EB" w:rsidRPr="00AB40AE" w:rsidRDefault="001D33EB" w:rsidP="00371318">
            <w:pPr>
              <w:spacing w:line="360" w:lineRule="auto"/>
              <w:jc w:val="center"/>
              <w:rPr>
                <w:rFonts w:cstheme="minorHAnsi"/>
                <w:sz w:val="15"/>
                <w:szCs w:val="15"/>
                <w:lang w:val="en-GB"/>
              </w:rPr>
            </w:pP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w:t>
            </w:r>
            <w:r w:rsidRPr="00AB40AE">
              <w:rPr>
                <w:rFonts w:cstheme="minorHAnsi"/>
                <w:sz w:val="15"/>
                <w:szCs w:val="15"/>
              </w:rPr>
              <w:t>τ</w:t>
            </w:r>
            <w:r w:rsidRPr="00AB40AE">
              <w:rPr>
                <w:rFonts w:cstheme="minorHAnsi"/>
                <w:sz w:val="15"/>
                <w:szCs w:val="15"/>
                <w:vertAlign w:val="superscript"/>
                <w:lang w:val="en-GB"/>
              </w:rPr>
              <w:t>2</w:t>
            </w: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-Sensitivity analysis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-Subgroup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Adapted checklist proposed by Downs and Black 1998</w:t>
            </w:r>
            <w:r w:rsidRPr="00AB40AE">
              <w:rPr>
                <w:rFonts w:cstheme="minorHAnsi"/>
                <w:sz w:val="15"/>
                <w:szCs w:val="15"/>
                <w:lang w:val="en-GB"/>
              </w:rPr>
              <w:fldChar w:fldCharType="begin" w:fldLock="1"/>
            </w:r>
            <w:r w:rsidRPr="00AB40AE">
              <w:rPr>
                <w:rFonts w:cstheme="minorHAnsi"/>
                <w:sz w:val="15"/>
                <w:szCs w:val="15"/>
                <w:lang w:val="en-GB"/>
              </w:rPr>
              <w:instrText>ADDIN CSL_CITATION { "citationItems" : [ { "id" : "ITEM-1", "itemData" : { "ISSN" : "0143-005X", "PMID" : "9764259", "abstract" : "OBJECTIVE To test the feasibility of creating a valid and reliable checklist with the following features: appropriate for assessing both randomised and non-randomised studies; provision of both an overall score for study quality and a profile of scores not only for the quality of reporting, internal validity (bias and confounding) and power, but also for external validity. DESIGN A pilot version was first developed, based on epidemiological principles, reviews, and existing checklists for randomised studies. Face and content validity were assessed by three experienced reviewers and reliability was determined using two raters assessing 10 randomised and 10 non-randomised studies. Using different raters, the checklist was revised and tested for internal consistency (Kuder-Richardson 20), test-retest and inter-rater reliability (Spearman correlation coefficient and sign rank test; kappa statistics), criterion validity, and respondent burden. MAIN RESULTS The performance of the checklist improved considerably after revision of a pilot version. The Quality Index had high internal consistency (KR-20: 0.89) as did the subscales apart from external validity (KR-20: 0.54). Test-retest (r 0.88) and inter-rater (r 0.75) reliability of the Quality Index were good. Reliability of the subscales varied from good (bias) to poor (external validity). The Quality Index correlated highly with an existing, established instrument for assessing randomised studies (r 0.90). There was little difference between its performance with non-randomised and with randomised studies. Raters took about 20 minutes to assess each paper (range 10 to 45 minutes). CONCLUSIONS This study has shown that it is feasible to develop a checklist that can be used to assess the methodological quality not only of randomised controlled trials but also non-randomised studies. It has also shown that it is possible to produce a checklist that provides a profile of the paper, alerting reviewers to its particular methodological strengths and weaknesses. Further work is required to improve the checklist and the training of raters in the assessment of external validity.", "author" : [ { "dropping-particle" : "", "family" : "Downs", "given" : "S H", "non-dropping-particle" : "", "parse-names" : false, "suffix" : "" }, { "dropping-particle" : "", "family" : "Black", "given" : "N", "non-dropping-particle" : "", "parse-names" : false, "suffix" : "" } ], "container-title" : "Journal of epidemiology and community health", "id" : "ITEM-1", "issue" : "6", "issued" : { "date-parts" : [ [ "1998", "6" ] ] }, "page" : "377-84", "title" : "The feasibility of creating a checklist for the assessment of the methodological quality both of randomised and non-randomised studies of health care interventions.", "type" : "article-journal", "volume" : "52" }, "uris" : [ "http://www.mendeley.com/documents/?uuid=c8608394-0d52-3dc6-be5d-1d40369f4ec2" ] } ], "mendeley" : { "formattedCitation" : "&lt;sup&gt;23&lt;/sup&gt;", "plainTextFormattedCitation" : "23", "previouslyFormattedCitation" : "&lt;sup&gt;23&lt;/sup&gt;" }, "properties" : {  }, "schema" : "https://github.com/citation-style-language/schema/raw/master/csl-citation.json" }</w:instrText>
            </w:r>
            <w:r w:rsidRPr="00AB40AE">
              <w:rPr>
                <w:rFonts w:cstheme="minorHAnsi"/>
                <w:sz w:val="15"/>
                <w:szCs w:val="15"/>
                <w:lang w:val="en-GB"/>
              </w:rPr>
              <w:fldChar w:fldCharType="separate"/>
            </w:r>
            <w:r w:rsidRPr="00AB40AE">
              <w:rPr>
                <w:rFonts w:cstheme="minorHAnsi"/>
                <w:noProof/>
                <w:sz w:val="15"/>
                <w:szCs w:val="15"/>
                <w:vertAlign w:val="superscript"/>
                <w:lang w:val="en-GB"/>
              </w:rPr>
              <w:t>23</w:t>
            </w:r>
            <w:r w:rsidRPr="00AB40AE">
              <w:rPr>
                <w:rFonts w:cstheme="minorHAnsi"/>
                <w:sz w:val="15"/>
                <w:szCs w:val="15"/>
                <w:lang w:val="en-GB"/>
              </w:rPr>
              <w:fldChar w:fldCharType="end"/>
            </w:r>
            <w:r w:rsidRPr="00AB40AE">
              <w:rPr>
                <w:rFonts w:cstheme="minorHAnsi"/>
                <w:sz w:val="15"/>
                <w:szCs w:val="15"/>
                <w:lang w:val="en-GB"/>
              </w:rPr>
              <w:t>, score ≥ 60%</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Possible selection and performance biases, bias due to numeric conversions</w:t>
            </w:r>
          </w:p>
        </w:tc>
      </w:tr>
      <w:tr w:rsidR="001D33EB" w:rsidRPr="00387818" w:rsidTr="006E7FF9">
        <w:trPr>
          <w:trHeight w:val="1438"/>
          <w:jc w:val="center"/>
        </w:trPr>
        <w:tc>
          <w:tcPr>
            <w:tcW w:w="993" w:type="dxa"/>
          </w:tcPr>
          <w:p w:rsidR="001D33EB" w:rsidRPr="00AB40AE" w:rsidRDefault="001D33EB" w:rsidP="00371318">
            <w:pPr>
              <w:spacing w:line="360" w:lineRule="auto"/>
              <w:rPr>
                <w:rFonts w:cstheme="minorHAnsi"/>
                <w:b/>
                <w:color w:val="000000" w:themeColor="text1"/>
                <w:sz w:val="16"/>
                <w:szCs w:val="16"/>
                <w:lang w:val="en-GB"/>
              </w:rPr>
            </w:pPr>
            <w:r w:rsidRPr="00AB40AE">
              <w:rPr>
                <w:rFonts w:cstheme="minorHAnsi"/>
                <w:b/>
                <w:color w:val="000000" w:themeColor="text1"/>
                <w:sz w:val="16"/>
                <w:szCs w:val="16"/>
                <w:lang w:val="en-GB"/>
              </w:rPr>
              <w:t>Cui et al. 2017</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Comprehensive Meta-analysis software 2.0</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-Cochran’s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-Sensitivity analysis</w:t>
            </w:r>
          </w:p>
          <w:p w:rsidR="001D33EB" w:rsidRPr="00AB40AE" w:rsidRDefault="001D33EB" w:rsidP="00371318">
            <w:pPr>
              <w:spacing w:line="360" w:lineRule="auto"/>
              <w:jc w:val="center"/>
              <w:rPr>
                <w:rFonts w:cstheme="minorHAnsi"/>
                <w:sz w:val="15"/>
                <w:szCs w:val="15"/>
                <w:lang w:val="en-GB"/>
              </w:rPr>
            </w:pP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Cochrane Collaboration Risk of Bias Tool</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Small number of trials</w:t>
            </w:r>
          </w:p>
        </w:tc>
      </w:tr>
      <w:tr w:rsidR="001D33EB" w:rsidRPr="00387818" w:rsidTr="006E7FF9">
        <w:trPr>
          <w:trHeight w:val="1438"/>
          <w:jc w:val="center"/>
        </w:trPr>
        <w:tc>
          <w:tcPr>
            <w:tcW w:w="993" w:type="dxa"/>
          </w:tcPr>
          <w:p w:rsidR="001D33EB" w:rsidRPr="00AB40AE" w:rsidRDefault="001D33EB" w:rsidP="00371318">
            <w:pPr>
              <w:spacing w:line="360" w:lineRule="auto"/>
              <w:rPr>
                <w:rFonts w:cstheme="minorHAnsi"/>
                <w:b/>
                <w:sz w:val="16"/>
                <w:szCs w:val="16"/>
                <w:lang w:val="en-GB"/>
              </w:rPr>
            </w:pPr>
            <w:r w:rsidRPr="00AB40AE">
              <w:rPr>
                <w:rFonts w:cstheme="minorHAnsi"/>
                <w:b/>
                <w:sz w:val="16"/>
                <w:szCs w:val="16"/>
                <w:lang w:val="en-GB"/>
              </w:rPr>
              <w:t>Gong et al. 2017</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 xml:space="preserve">RevMan 5.3, </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Stata 12.0, SAS 9.4</w:t>
            </w:r>
          </w:p>
          <w:p w:rsidR="001D33EB" w:rsidRPr="00AB40AE" w:rsidRDefault="001D33EB" w:rsidP="00371318">
            <w:pPr>
              <w:spacing w:line="360" w:lineRule="auto"/>
              <w:jc w:val="center"/>
              <w:rPr>
                <w:rFonts w:cstheme="minorHAnsi"/>
                <w:sz w:val="15"/>
                <w:szCs w:val="15"/>
                <w:lang w:val="en-GB"/>
              </w:rPr>
            </w:pP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Random effects</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-Q</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-H</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-I</w:t>
            </w:r>
            <w:r w:rsidRPr="00AB40AE">
              <w:rPr>
                <w:rFonts w:cstheme="minorHAnsi"/>
                <w:sz w:val="15"/>
                <w:szCs w:val="15"/>
                <w:vertAlign w:val="superscript"/>
                <w:lang w:val="en-GB"/>
              </w:rPr>
              <w:t>2</w:t>
            </w:r>
          </w:p>
        </w:tc>
        <w:tc>
          <w:tcPr>
            <w:tcW w:w="1109"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Begg test, Egger test, trim-and-fill method</w:t>
            </w:r>
          </w:p>
        </w:tc>
        <w:tc>
          <w:tcPr>
            <w:tcW w:w="1017"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-Sensitivity analysis</w:t>
            </w:r>
          </w:p>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-Subgroup analysis</w:t>
            </w:r>
          </w:p>
        </w:tc>
        <w:tc>
          <w:tcPr>
            <w:tcW w:w="1276"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Cochrane Collaboration 6 aspects of Bias tool, Newcastle-Ottawa scale ≥ 5</w:t>
            </w:r>
          </w:p>
        </w:tc>
        <w:tc>
          <w:tcPr>
            <w:tcW w:w="992"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Unlikely</w:t>
            </w:r>
          </w:p>
        </w:tc>
        <w:tc>
          <w:tcPr>
            <w:tcW w:w="851"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No</w:t>
            </w:r>
          </w:p>
        </w:tc>
        <w:tc>
          <w:tcPr>
            <w:tcW w:w="850" w:type="dxa"/>
          </w:tcPr>
          <w:p w:rsidR="001D33EB" w:rsidRPr="00AB40AE" w:rsidRDefault="001D33EB" w:rsidP="00371318">
            <w:pPr>
              <w:spacing w:line="360" w:lineRule="auto"/>
              <w:jc w:val="center"/>
              <w:rPr>
                <w:rFonts w:cstheme="minorHAnsi"/>
                <w:sz w:val="15"/>
                <w:szCs w:val="15"/>
                <w:lang w:val="en-GB"/>
              </w:rPr>
            </w:pPr>
            <w:r w:rsidRPr="00AB40AE">
              <w:rPr>
                <w:rFonts w:cstheme="minorHAnsi"/>
                <w:sz w:val="15"/>
                <w:szCs w:val="15"/>
                <w:lang w:val="en-GB"/>
              </w:rPr>
              <w:t>External validity</w:t>
            </w:r>
          </w:p>
        </w:tc>
      </w:tr>
    </w:tbl>
    <w:p w:rsidR="001D33EB" w:rsidRPr="00F30600" w:rsidRDefault="001D33EB" w:rsidP="001D33EB">
      <w:pPr>
        <w:rPr>
          <w:b/>
          <w:sz w:val="24"/>
          <w:szCs w:val="24"/>
          <w:lang w:val="en-GB"/>
        </w:rPr>
      </w:pPr>
    </w:p>
    <w:p w:rsidR="001D33EB" w:rsidRPr="00F30600" w:rsidRDefault="001D33EB" w:rsidP="001D33EB">
      <w:pPr>
        <w:rPr>
          <w:sz w:val="18"/>
          <w:szCs w:val="18"/>
          <w:lang w:val="en-GB"/>
        </w:rPr>
      </w:pPr>
      <w:r w:rsidRPr="00F30600">
        <w:rPr>
          <w:sz w:val="18"/>
          <w:szCs w:val="18"/>
          <w:lang w:val="en-GB"/>
        </w:rPr>
        <w:t>NA = not available; RevMan = Reference Manager</w:t>
      </w:r>
    </w:p>
    <w:p w:rsidR="001D33EB" w:rsidRDefault="001D33EB" w:rsidP="00D7124C">
      <w:pPr>
        <w:rPr>
          <w:lang w:val="en-GB"/>
        </w:rPr>
      </w:pPr>
    </w:p>
    <w:p w:rsidR="001D33EB" w:rsidRDefault="001D33EB" w:rsidP="00D7124C">
      <w:pPr>
        <w:rPr>
          <w:lang w:val="en-GB"/>
        </w:rPr>
      </w:pPr>
    </w:p>
    <w:p w:rsidR="001D33EB" w:rsidRDefault="001D33EB" w:rsidP="00D7124C">
      <w:pPr>
        <w:rPr>
          <w:lang w:val="en-GB"/>
        </w:rPr>
      </w:pPr>
    </w:p>
    <w:p w:rsidR="001D33EB" w:rsidRDefault="001D33EB" w:rsidP="00D7124C">
      <w:pPr>
        <w:rPr>
          <w:lang w:val="en-GB"/>
        </w:rPr>
      </w:pPr>
    </w:p>
    <w:p w:rsidR="001D33EB" w:rsidRDefault="001D33EB" w:rsidP="00D7124C">
      <w:pPr>
        <w:rPr>
          <w:lang w:val="en-GB"/>
        </w:rPr>
      </w:pPr>
    </w:p>
    <w:p w:rsidR="001D33EB" w:rsidRDefault="001D33EB" w:rsidP="00D7124C">
      <w:pPr>
        <w:rPr>
          <w:lang w:val="en-GB"/>
        </w:rPr>
      </w:pPr>
    </w:p>
    <w:p w:rsidR="001D33EB" w:rsidRDefault="001D33EB" w:rsidP="00D7124C">
      <w:pPr>
        <w:rPr>
          <w:lang w:val="en-GB"/>
        </w:rPr>
      </w:pPr>
    </w:p>
    <w:p w:rsidR="001D33EB" w:rsidRDefault="001D33EB" w:rsidP="00D7124C">
      <w:pPr>
        <w:rPr>
          <w:lang w:val="en-GB"/>
        </w:rPr>
      </w:pPr>
    </w:p>
    <w:p w:rsidR="009D7AFB" w:rsidRDefault="009D7AFB" w:rsidP="009D7AFB">
      <w:pPr>
        <w:spacing w:line="360" w:lineRule="auto"/>
        <w:rPr>
          <w:lang w:val="en-GB"/>
        </w:rPr>
      </w:pPr>
    </w:p>
    <w:p w:rsidR="00DD2B5C" w:rsidRPr="00AB40AE" w:rsidRDefault="00C5734E" w:rsidP="009D7AFB">
      <w:pPr>
        <w:spacing w:line="360" w:lineRule="auto"/>
        <w:jc w:val="center"/>
        <w:rPr>
          <w:rFonts w:cstheme="minorHAnsi"/>
          <w:b/>
          <w:sz w:val="24"/>
          <w:szCs w:val="24"/>
          <w:lang w:val="en-GB"/>
        </w:rPr>
      </w:pPr>
      <w:r>
        <w:rPr>
          <w:rFonts w:cstheme="minorHAnsi"/>
          <w:b/>
          <w:sz w:val="24"/>
          <w:szCs w:val="24"/>
          <w:lang w:val="en-GB"/>
        </w:rPr>
        <w:lastRenderedPageBreak/>
        <w:t>Table S2</w:t>
      </w:r>
      <w:r w:rsidR="00DD2B5C" w:rsidRPr="00AB40AE">
        <w:rPr>
          <w:rFonts w:cstheme="minorHAnsi"/>
          <w:b/>
          <w:sz w:val="24"/>
          <w:szCs w:val="24"/>
          <w:lang w:val="en-GB"/>
        </w:rPr>
        <w:t>. Unit of analysis for RCTs included in the meta-analysis</w:t>
      </w:r>
      <w:r w:rsidR="00173995" w:rsidRPr="00AB40AE">
        <w:rPr>
          <w:rFonts w:cstheme="minorHAnsi"/>
          <w:b/>
          <w:sz w:val="24"/>
          <w:szCs w:val="24"/>
          <w:lang w:val="en-GB"/>
        </w:rPr>
        <w:t>.</w:t>
      </w:r>
    </w:p>
    <w:tbl>
      <w:tblPr>
        <w:tblStyle w:val="TableGrid"/>
        <w:tblW w:w="8642" w:type="dxa"/>
        <w:tblLook w:val="04A0" w:firstRow="1" w:lastRow="0" w:firstColumn="1" w:lastColumn="0" w:noHBand="0" w:noVBand="1"/>
      </w:tblPr>
      <w:tblGrid>
        <w:gridCol w:w="4148"/>
        <w:gridCol w:w="4494"/>
      </w:tblGrid>
      <w:tr w:rsidR="00DD2B5C" w:rsidRPr="00387818" w:rsidTr="00EF4B76">
        <w:tc>
          <w:tcPr>
            <w:tcW w:w="4148" w:type="dxa"/>
            <w:shd w:val="clear" w:color="auto" w:fill="auto"/>
          </w:tcPr>
          <w:p w:rsidR="00DD2B5C" w:rsidRPr="00AB40AE" w:rsidRDefault="00DD2B5C" w:rsidP="00173995">
            <w:pPr>
              <w:rPr>
                <w:rFonts w:cstheme="minorHAnsi"/>
                <w:b/>
                <w:sz w:val="20"/>
                <w:szCs w:val="20"/>
                <w:lang w:val="en-GB"/>
              </w:rPr>
            </w:pPr>
            <w:r w:rsidRPr="00AB40AE">
              <w:rPr>
                <w:rFonts w:cstheme="minorHAnsi"/>
                <w:b/>
                <w:sz w:val="20"/>
                <w:szCs w:val="20"/>
                <w:lang w:val="en-GB"/>
              </w:rPr>
              <w:t>Unit of analysis</w:t>
            </w:r>
          </w:p>
        </w:tc>
        <w:tc>
          <w:tcPr>
            <w:tcW w:w="4494" w:type="dxa"/>
            <w:shd w:val="clear" w:color="auto" w:fill="auto"/>
          </w:tcPr>
          <w:p w:rsidR="00DD2B5C" w:rsidRPr="00AB40AE" w:rsidRDefault="00DD2B5C" w:rsidP="00173995">
            <w:pPr>
              <w:rPr>
                <w:rFonts w:cstheme="minorHAnsi"/>
                <w:b/>
                <w:sz w:val="20"/>
                <w:szCs w:val="20"/>
                <w:lang w:val="en-GB"/>
              </w:rPr>
            </w:pPr>
            <w:r w:rsidRPr="00AB40AE">
              <w:rPr>
                <w:rFonts w:cstheme="minorHAnsi"/>
                <w:b/>
                <w:sz w:val="20"/>
                <w:szCs w:val="20"/>
                <w:lang w:val="en-GB"/>
              </w:rPr>
              <w:t>Unit of analysis used by primary studies included in the meta-analysis</w:t>
            </w:r>
          </w:p>
        </w:tc>
      </w:tr>
      <w:tr w:rsidR="00DD2B5C" w:rsidRPr="00387818" w:rsidTr="00EF4B76">
        <w:tc>
          <w:tcPr>
            <w:tcW w:w="4148" w:type="dxa"/>
            <w:shd w:val="clear" w:color="auto" w:fill="auto"/>
          </w:tcPr>
          <w:p w:rsidR="00DD2B5C" w:rsidRPr="00AB40AE" w:rsidRDefault="00DD2B5C" w:rsidP="00173995">
            <w:pPr>
              <w:rPr>
                <w:rFonts w:cstheme="minorHAnsi"/>
                <w:b/>
                <w:sz w:val="20"/>
                <w:szCs w:val="20"/>
                <w:lang w:val="en-GB"/>
              </w:rPr>
            </w:pPr>
            <w:r w:rsidRPr="00AB40AE">
              <w:rPr>
                <w:rFonts w:cstheme="minorHAnsi"/>
                <w:b/>
                <w:sz w:val="20"/>
                <w:szCs w:val="20"/>
                <w:lang w:val="en-GB"/>
              </w:rPr>
              <w:t>Right eye, only</w:t>
            </w:r>
          </w:p>
        </w:tc>
        <w:tc>
          <w:tcPr>
            <w:tcW w:w="4494" w:type="dxa"/>
            <w:shd w:val="clear" w:color="auto" w:fill="auto"/>
          </w:tcPr>
          <w:p w:rsidR="00DD2B5C" w:rsidRPr="00AB40AE" w:rsidRDefault="00DD2B5C" w:rsidP="00173995">
            <w:pPr>
              <w:rPr>
                <w:rFonts w:cstheme="minorHAnsi"/>
                <w:sz w:val="20"/>
                <w:szCs w:val="20"/>
                <w:lang w:val="en-GB"/>
              </w:rPr>
            </w:pPr>
            <w:r w:rsidRPr="00AB40AE">
              <w:rPr>
                <w:rFonts w:cstheme="minorHAnsi"/>
                <w:sz w:val="20"/>
                <w:szCs w:val="20"/>
                <w:lang w:val="en-GB"/>
              </w:rPr>
              <w:t>Berntsen 2012; Charm 2013; Cheng 2010; Cho 2012; Edwards 2002; Katz 2003; Lam 2014; Shih 2001; Walline 2004; Yen 1989; Yi 2015</w:t>
            </w:r>
          </w:p>
        </w:tc>
      </w:tr>
      <w:tr w:rsidR="00DD2B5C" w:rsidRPr="00387818" w:rsidTr="00EF4B76">
        <w:tc>
          <w:tcPr>
            <w:tcW w:w="4148" w:type="dxa"/>
            <w:shd w:val="clear" w:color="auto" w:fill="auto"/>
          </w:tcPr>
          <w:p w:rsidR="00DD2B5C" w:rsidRPr="00AB40AE" w:rsidRDefault="00DD2B5C" w:rsidP="00173995">
            <w:pPr>
              <w:rPr>
                <w:rFonts w:cstheme="minorHAnsi"/>
                <w:b/>
                <w:sz w:val="20"/>
                <w:szCs w:val="20"/>
                <w:lang w:val="en-GB"/>
              </w:rPr>
            </w:pPr>
            <w:r w:rsidRPr="00AB40AE">
              <w:rPr>
                <w:rFonts w:cstheme="minorHAnsi"/>
                <w:b/>
                <w:sz w:val="20"/>
                <w:szCs w:val="20"/>
                <w:lang w:val="en-GB"/>
              </w:rPr>
              <w:t>Right and left eye, separately</w:t>
            </w:r>
          </w:p>
        </w:tc>
        <w:tc>
          <w:tcPr>
            <w:tcW w:w="4494" w:type="dxa"/>
            <w:shd w:val="clear" w:color="auto" w:fill="auto"/>
          </w:tcPr>
          <w:p w:rsidR="00DD2B5C" w:rsidRPr="00AB40AE" w:rsidRDefault="00DD2B5C" w:rsidP="00173995">
            <w:pPr>
              <w:rPr>
                <w:rFonts w:cstheme="minorHAnsi"/>
                <w:sz w:val="20"/>
                <w:szCs w:val="20"/>
                <w:lang w:val="en-GB"/>
              </w:rPr>
            </w:pPr>
            <w:r w:rsidRPr="00AB40AE">
              <w:rPr>
                <w:rFonts w:cstheme="minorHAnsi"/>
                <w:sz w:val="20"/>
                <w:szCs w:val="20"/>
                <w:lang w:val="en-GB"/>
              </w:rPr>
              <w:t>Chan 2014; Parssinen 1989; Jensen 1991</w:t>
            </w:r>
          </w:p>
        </w:tc>
      </w:tr>
      <w:tr w:rsidR="00DD2B5C" w:rsidRPr="00387818" w:rsidTr="00EF4B76">
        <w:tc>
          <w:tcPr>
            <w:tcW w:w="4148" w:type="dxa"/>
            <w:shd w:val="clear" w:color="auto" w:fill="auto"/>
          </w:tcPr>
          <w:p w:rsidR="00DD2B5C" w:rsidRPr="00AB40AE" w:rsidRDefault="00DD2B5C" w:rsidP="00173995">
            <w:pPr>
              <w:rPr>
                <w:rFonts w:cstheme="minorHAnsi"/>
                <w:b/>
                <w:sz w:val="20"/>
                <w:szCs w:val="20"/>
                <w:lang w:val="en-GB"/>
              </w:rPr>
            </w:pPr>
            <w:r w:rsidRPr="00AB40AE">
              <w:rPr>
                <w:rFonts w:cstheme="minorHAnsi"/>
                <w:b/>
                <w:sz w:val="20"/>
                <w:szCs w:val="20"/>
                <w:lang w:val="en-GB"/>
              </w:rPr>
              <w:t>Eye, randomised</w:t>
            </w:r>
          </w:p>
        </w:tc>
        <w:tc>
          <w:tcPr>
            <w:tcW w:w="4494" w:type="dxa"/>
            <w:shd w:val="clear" w:color="auto" w:fill="auto"/>
          </w:tcPr>
          <w:p w:rsidR="00DD2B5C" w:rsidRPr="00AB40AE" w:rsidRDefault="00DD2B5C" w:rsidP="00173995">
            <w:pPr>
              <w:rPr>
                <w:rFonts w:cstheme="minorHAnsi"/>
                <w:sz w:val="20"/>
                <w:szCs w:val="20"/>
                <w:lang w:val="en-GB"/>
              </w:rPr>
            </w:pPr>
            <w:r w:rsidRPr="00AB40AE">
              <w:rPr>
                <w:rFonts w:cstheme="minorHAnsi"/>
                <w:sz w:val="20"/>
                <w:szCs w:val="20"/>
                <w:lang w:val="en-GB"/>
              </w:rPr>
              <w:t>Chua 2006</w:t>
            </w:r>
          </w:p>
        </w:tc>
      </w:tr>
      <w:tr w:rsidR="00DD2B5C" w:rsidRPr="00387818" w:rsidTr="00EF4B76">
        <w:tc>
          <w:tcPr>
            <w:tcW w:w="4148" w:type="dxa"/>
            <w:shd w:val="clear" w:color="auto" w:fill="auto"/>
          </w:tcPr>
          <w:p w:rsidR="00DD2B5C" w:rsidRPr="00AB40AE" w:rsidRDefault="00DD2B5C" w:rsidP="00173995">
            <w:pPr>
              <w:rPr>
                <w:rFonts w:cstheme="minorHAnsi"/>
                <w:b/>
                <w:sz w:val="20"/>
                <w:szCs w:val="20"/>
                <w:lang w:val="en-GB"/>
              </w:rPr>
            </w:pPr>
            <w:r w:rsidRPr="00AB40AE">
              <w:rPr>
                <w:rFonts w:cstheme="minorHAnsi"/>
                <w:b/>
                <w:sz w:val="20"/>
                <w:szCs w:val="20"/>
                <w:lang w:val="en-GB"/>
              </w:rPr>
              <w:t>Average of both eyes</w:t>
            </w:r>
          </w:p>
        </w:tc>
        <w:tc>
          <w:tcPr>
            <w:tcW w:w="4494" w:type="dxa"/>
            <w:shd w:val="clear" w:color="auto" w:fill="auto"/>
          </w:tcPr>
          <w:p w:rsidR="00DD2B5C" w:rsidRPr="00AB40AE" w:rsidRDefault="00DD2B5C" w:rsidP="00173995">
            <w:pPr>
              <w:rPr>
                <w:rFonts w:cstheme="minorHAnsi"/>
                <w:sz w:val="20"/>
                <w:szCs w:val="20"/>
                <w:lang w:val="en-GB"/>
              </w:rPr>
            </w:pPr>
            <w:r w:rsidRPr="00AB40AE">
              <w:rPr>
                <w:rFonts w:cstheme="minorHAnsi"/>
                <w:sz w:val="20"/>
                <w:szCs w:val="20"/>
                <w:lang w:val="en-GB"/>
              </w:rPr>
              <w:t>Adler 2006; Aller 2016; Bartlett 2003; Chung 2002; Fujikado 2014; Tan 2005</w:t>
            </w:r>
          </w:p>
        </w:tc>
      </w:tr>
      <w:tr w:rsidR="00DD2B5C" w:rsidRPr="00387818" w:rsidTr="00EF4B76">
        <w:tc>
          <w:tcPr>
            <w:tcW w:w="4148" w:type="dxa"/>
            <w:shd w:val="clear" w:color="auto" w:fill="auto"/>
          </w:tcPr>
          <w:p w:rsidR="00DD2B5C" w:rsidRPr="00AB40AE" w:rsidRDefault="00DD2B5C" w:rsidP="00173995">
            <w:pPr>
              <w:rPr>
                <w:rFonts w:cstheme="minorHAnsi"/>
                <w:b/>
                <w:sz w:val="20"/>
                <w:szCs w:val="20"/>
                <w:lang w:val="en-GB"/>
              </w:rPr>
            </w:pPr>
            <w:r w:rsidRPr="00AB40AE">
              <w:rPr>
                <w:rFonts w:cstheme="minorHAnsi"/>
                <w:b/>
                <w:sz w:val="20"/>
                <w:szCs w:val="20"/>
                <w:lang w:val="en-GB"/>
              </w:rPr>
              <w:t>Average of both eyes or one eye only</w:t>
            </w:r>
          </w:p>
        </w:tc>
        <w:tc>
          <w:tcPr>
            <w:tcW w:w="4494" w:type="dxa"/>
            <w:shd w:val="clear" w:color="auto" w:fill="auto"/>
          </w:tcPr>
          <w:p w:rsidR="00DD2B5C" w:rsidRPr="00AB40AE" w:rsidRDefault="00DD2B5C" w:rsidP="00173995">
            <w:pPr>
              <w:rPr>
                <w:rFonts w:cstheme="minorHAnsi"/>
                <w:sz w:val="20"/>
                <w:szCs w:val="20"/>
                <w:lang w:val="en-GB"/>
              </w:rPr>
            </w:pPr>
            <w:r w:rsidRPr="00AB40AE">
              <w:rPr>
                <w:rFonts w:cstheme="minorHAnsi"/>
                <w:sz w:val="20"/>
                <w:szCs w:val="20"/>
                <w:lang w:val="en-GB"/>
              </w:rPr>
              <w:t>Anstice 2011, Gwiazda 2003</w:t>
            </w:r>
          </w:p>
        </w:tc>
      </w:tr>
      <w:tr w:rsidR="00DD2B5C" w:rsidRPr="00387818" w:rsidTr="00EF4B76">
        <w:tc>
          <w:tcPr>
            <w:tcW w:w="4148" w:type="dxa"/>
            <w:shd w:val="clear" w:color="auto" w:fill="auto"/>
          </w:tcPr>
          <w:p w:rsidR="00DD2B5C" w:rsidRPr="00AB40AE" w:rsidRDefault="00DD2B5C" w:rsidP="00173995">
            <w:pPr>
              <w:rPr>
                <w:rFonts w:cstheme="minorHAnsi"/>
                <w:b/>
                <w:sz w:val="20"/>
                <w:szCs w:val="20"/>
                <w:lang w:val="en-GB"/>
              </w:rPr>
            </w:pPr>
            <w:r w:rsidRPr="00AB40AE">
              <w:rPr>
                <w:rFonts w:cstheme="minorHAnsi"/>
                <w:b/>
                <w:sz w:val="20"/>
                <w:szCs w:val="20"/>
                <w:lang w:val="en-GB"/>
              </w:rPr>
              <w:t>Not stated</w:t>
            </w:r>
          </w:p>
        </w:tc>
        <w:tc>
          <w:tcPr>
            <w:tcW w:w="4494" w:type="dxa"/>
            <w:shd w:val="clear" w:color="auto" w:fill="auto"/>
          </w:tcPr>
          <w:p w:rsidR="00DD2B5C" w:rsidRPr="00AB40AE" w:rsidRDefault="00DD2B5C" w:rsidP="00173995">
            <w:pPr>
              <w:rPr>
                <w:rFonts w:cstheme="minorHAnsi"/>
                <w:sz w:val="20"/>
                <w:szCs w:val="20"/>
                <w:lang w:val="en-GB"/>
              </w:rPr>
            </w:pPr>
            <w:r w:rsidRPr="00AB40AE">
              <w:rPr>
                <w:rFonts w:cstheme="minorHAnsi"/>
                <w:sz w:val="20"/>
                <w:szCs w:val="20"/>
                <w:lang w:val="en-GB"/>
              </w:rPr>
              <w:t>Cheng 2016; Paune 2015; Siatkowksi 2008; Yang 2009</w:t>
            </w:r>
          </w:p>
        </w:tc>
      </w:tr>
    </w:tbl>
    <w:p w:rsidR="00DD2B5C" w:rsidRDefault="00DD2B5C" w:rsidP="00DD2B5C">
      <w:pPr>
        <w:spacing w:line="240" w:lineRule="auto"/>
        <w:rPr>
          <w:sz w:val="18"/>
          <w:szCs w:val="18"/>
          <w:lang w:val="en-GB"/>
        </w:rPr>
      </w:pPr>
    </w:p>
    <w:p w:rsidR="00DD2B5C" w:rsidRPr="00173995" w:rsidRDefault="00DD2B5C" w:rsidP="00DD2B5C">
      <w:pPr>
        <w:spacing w:line="240" w:lineRule="auto"/>
        <w:rPr>
          <w:rFonts w:ascii="Arial" w:hAnsi="Arial" w:cs="Arial"/>
          <w:sz w:val="16"/>
          <w:szCs w:val="16"/>
          <w:lang w:val="en-GB"/>
        </w:rPr>
      </w:pPr>
      <w:r w:rsidRPr="00173995">
        <w:rPr>
          <w:rFonts w:ascii="Arial" w:hAnsi="Arial" w:cs="Arial"/>
          <w:sz w:val="16"/>
          <w:szCs w:val="16"/>
          <w:lang w:val="en-GB"/>
        </w:rPr>
        <w:t>RCTs, randomized controlled trials</w:t>
      </w:r>
    </w:p>
    <w:p w:rsidR="001D33EB" w:rsidRDefault="001D33EB"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DD2B5C" w:rsidRDefault="00DD2B5C" w:rsidP="00D7124C">
      <w:pPr>
        <w:rPr>
          <w:lang w:val="en-GB"/>
        </w:rPr>
      </w:pPr>
    </w:p>
    <w:p w:rsidR="00305BD2" w:rsidRDefault="00305BD2" w:rsidP="00D7124C">
      <w:pPr>
        <w:rPr>
          <w:lang w:val="en-GB"/>
        </w:rPr>
      </w:pPr>
    </w:p>
    <w:p w:rsidR="00DD2B5C" w:rsidRDefault="00DD2B5C" w:rsidP="00D7124C">
      <w:pPr>
        <w:rPr>
          <w:lang w:val="en-GB"/>
        </w:rPr>
      </w:pPr>
    </w:p>
    <w:p w:rsidR="00DD2B5C" w:rsidRDefault="00DD2B5C" w:rsidP="00D7124C">
      <w:pPr>
        <w:rPr>
          <w:lang w:val="en-GB"/>
        </w:rPr>
      </w:pPr>
    </w:p>
    <w:p w:rsidR="00DD2B5C" w:rsidRPr="009D7AFB" w:rsidRDefault="00C5734E" w:rsidP="00DD2B5C">
      <w:pPr>
        <w:keepNext/>
        <w:keepLines/>
        <w:spacing w:before="240" w:after="0" w:line="240" w:lineRule="auto"/>
        <w:jc w:val="center"/>
        <w:outlineLvl w:val="0"/>
        <w:rPr>
          <w:rFonts w:eastAsiaTheme="majorEastAsia" w:cstheme="minorHAnsi"/>
          <w:b/>
          <w:sz w:val="24"/>
          <w:szCs w:val="24"/>
          <w:lang w:val="en-GB"/>
        </w:rPr>
      </w:pPr>
      <w:r>
        <w:rPr>
          <w:rFonts w:eastAsiaTheme="majorEastAsia" w:cstheme="minorHAnsi"/>
          <w:b/>
          <w:sz w:val="24"/>
          <w:szCs w:val="24"/>
          <w:lang w:val="en-GB"/>
        </w:rPr>
        <w:lastRenderedPageBreak/>
        <w:t>Table S3</w:t>
      </w:r>
      <w:r w:rsidR="00DD2B5C" w:rsidRPr="009D7AFB">
        <w:rPr>
          <w:rFonts w:eastAsiaTheme="majorEastAsia" w:cstheme="minorHAnsi"/>
          <w:b/>
          <w:sz w:val="24"/>
          <w:szCs w:val="24"/>
          <w:lang w:val="en-GB"/>
        </w:rPr>
        <w:t>. Excluded studies after full text review</w:t>
      </w:r>
      <w:r w:rsidR="00305BD2" w:rsidRPr="009D7AFB">
        <w:rPr>
          <w:rFonts w:eastAsiaTheme="majorEastAsia" w:cstheme="minorHAnsi"/>
          <w:b/>
          <w:sz w:val="24"/>
          <w:szCs w:val="24"/>
          <w:lang w:val="en-GB"/>
        </w:rPr>
        <w:t xml:space="preserve">. </w:t>
      </w:r>
    </w:p>
    <w:p w:rsidR="00DD2B5C" w:rsidRPr="00DB39D4" w:rsidRDefault="00DD2B5C" w:rsidP="00DD2B5C">
      <w:pPr>
        <w:rPr>
          <w:lang w:val="en-GB"/>
        </w:rPr>
      </w:pPr>
    </w:p>
    <w:tbl>
      <w:tblPr>
        <w:tblW w:w="93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3686"/>
      </w:tblGrid>
      <w:tr w:rsidR="00DD2B5C" w:rsidRPr="00387818" w:rsidTr="00EF4B76">
        <w:tc>
          <w:tcPr>
            <w:tcW w:w="5699" w:type="dxa"/>
            <w:shd w:val="clear" w:color="auto" w:fill="FFFF99"/>
          </w:tcPr>
          <w:p w:rsidR="00DD2B5C" w:rsidRPr="009D7AFB" w:rsidRDefault="00DD2B5C" w:rsidP="00FD3AE4">
            <w:pPr>
              <w:spacing w:after="0" w:line="240" w:lineRule="auto"/>
              <w:rPr>
                <w:rFonts w:eastAsia="Calibri" w:cstheme="minorHAnsi"/>
                <w:b/>
                <w:color w:val="000000"/>
                <w:kern w:val="28"/>
                <w:sz w:val="20"/>
                <w:szCs w:val="20"/>
                <w:lang w:val="en-GB" w:eastAsia="en-CA"/>
              </w:rPr>
            </w:pPr>
            <w:r w:rsidRPr="009D7AFB">
              <w:rPr>
                <w:rFonts w:eastAsia="Calibri" w:cstheme="minorHAnsi"/>
                <w:b/>
                <w:color w:val="000000"/>
                <w:kern w:val="28"/>
                <w:sz w:val="20"/>
                <w:szCs w:val="20"/>
                <w:lang w:val="en-GB" w:eastAsia="en-CA"/>
              </w:rPr>
              <w:t>Selected for review</w:t>
            </w:r>
          </w:p>
        </w:tc>
        <w:tc>
          <w:tcPr>
            <w:tcW w:w="3686" w:type="dxa"/>
            <w:shd w:val="clear" w:color="auto" w:fill="FFFF99"/>
          </w:tcPr>
          <w:p w:rsidR="00DD2B5C" w:rsidRPr="009D7AFB" w:rsidRDefault="00DD2B5C" w:rsidP="00FD3AE4">
            <w:pPr>
              <w:spacing w:after="0" w:line="240" w:lineRule="auto"/>
              <w:rPr>
                <w:rFonts w:eastAsia="Calibri" w:cstheme="minorHAnsi"/>
                <w:b/>
                <w:color w:val="000000"/>
                <w:kern w:val="28"/>
                <w:sz w:val="20"/>
                <w:szCs w:val="20"/>
                <w:lang w:val="en-GB" w:eastAsia="en-CA"/>
              </w:rPr>
            </w:pPr>
            <w:r w:rsidRPr="009D7AFB">
              <w:rPr>
                <w:rFonts w:eastAsia="Calibri" w:cstheme="minorHAnsi"/>
                <w:b/>
                <w:color w:val="000000"/>
                <w:kern w:val="28"/>
                <w:sz w:val="20"/>
                <w:szCs w:val="20"/>
                <w:lang w:val="en-GB" w:eastAsia="en-CA"/>
              </w:rPr>
              <w:t>Reason for exclusion</w:t>
            </w:r>
          </w:p>
        </w:tc>
      </w:tr>
      <w:tr w:rsidR="00DD2B5C" w:rsidRPr="00C317A2" w:rsidTr="00EF4B76">
        <w:tc>
          <w:tcPr>
            <w:tcW w:w="5699" w:type="dxa"/>
            <w:shd w:val="clear" w:color="auto" w:fill="auto"/>
          </w:tcPr>
          <w:p w:rsidR="00DD2B5C" w:rsidRPr="009D7AFB" w:rsidRDefault="00DD2B5C" w:rsidP="00D4515B">
            <w:pPr>
              <w:spacing w:after="0" w:line="240" w:lineRule="auto"/>
              <w:rPr>
                <w:rFonts w:eastAsia="Calibri" w:cstheme="minorHAnsi"/>
                <w:color w:val="000000"/>
                <w:kern w:val="28"/>
                <w:sz w:val="20"/>
                <w:szCs w:val="20"/>
                <w:lang w:val="en-GB" w:eastAsia="en-CA"/>
              </w:rPr>
            </w:pPr>
            <w:r w:rsidRPr="009D7AFB">
              <w:rPr>
                <w:rFonts w:eastAsia="Times New Roman" w:cstheme="minorHAnsi"/>
                <w:noProof/>
                <w:color w:val="000000"/>
                <w:kern w:val="28"/>
                <w:sz w:val="20"/>
                <w:szCs w:val="20"/>
                <w:lang w:val="en-GB" w:eastAsia="en-CA"/>
              </w:rPr>
              <w:t>Smith MJ, Walline JJ, et al. Controlling myopia progression in children and adolescents. Adolesc Health Med Ther [Int</w:t>
            </w:r>
            <w:r w:rsidR="00D4515B" w:rsidRPr="009D7AFB">
              <w:rPr>
                <w:rFonts w:eastAsia="Times New Roman" w:cstheme="minorHAnsi"/>
                <w:noProof/>
                <w:color w:val="000000"/>
                <w:kern w:val="28"/>
                <w:sz w:val="20"/>
                <w:szCs w:val="20"/>
                <w:lang w:val="en-GB" w:eastAsia="en-CA"/>
              </w:rPr>
              <w:t xml:space="preserve">ernet]. Dove Medical Press Ltd </w:t>
            </w:r>
            <w:r w:rsidR="0022221B" w:rsidRPr="009D7AFB">
              <w:rPr>
                <w:rFonts w:eastAsia="Times New Roman" w:cstheme="minorHAnsi"/>
                <w:noProof/>
                <w:color w:val="000000"/>
                <w:kern w:val="28"/>
                <w:sz w:val="20"/>
                <w:szCs w:val="20"/>
                <w:lang w:val="en-GB" w:eastAsia="en-CA"/>
              </w:rPr>
              <w:t xml:space="preserve">2015; </w:t>
            </w:r>
            <w:r w:rsidRPr="009D7AFB">
              <w:rPr>
                <w:rFonts w:eastAsia="Times New Roman" w:cstheme="minorHAnsi"/>
                <w:noProof/>
                <w:color w:val="000000"/>
                <w:kern w:val="28"/>
                <w:sz w:val="20"/>
                <w:szCs w:val="20"/>
                <w:lang w:val="en-GB" w:eastAsia="en-CA"/>
              </w:rPr>
              <w:t>6:133–40.</w:t>
            </w:r>
            <w:r w:rsidRPr="009D7AFB">
              <w:rPr>
                <w:rFonts w:eastAsia="Calibri" w:cstheme="minorHAnsi"/>
                <w:color w:val="000000"/>
                <w:kern w:val="28"/>
                <w:sz w:val="20"/>
                <w:szCs w:val="20"/>
                <w:lang w:val="en-GB" w:eastAsia="en-CA"/>
              </w:rPr>
              <w:t xml:space="preserve"> </w:t>
            </w:r>
          </w:p>
        </w:tc>
        <w:tc>
          <w:tcPr>
            <w:tcW w:w="3686" w:type="dxa"/>
            <w:shd w:val="clear" w:color="auto" w:fill="auto"/>
          </w:tcPr>
          <w:p w:rsidR="00DD2B5C" w:rsidRPr="009D7AFB" w:rsidRDefault="00DD2B5C" w:rsidP="00FD3AE4">
            <w:pPr>
              <w:spacing w:after="0" w:line="240" w:lineRule="auto"/>
              <w:rPr>
                <w:rFonts w:eastAsia="Calibri" w:cstheme="minorHAnsi"/>
                <w:color w:val="000000"/>
                <w:kern w:val="28"/>
                <w:sz w:val="20"/>
                <w:szCs w:val="20"/>
                <w:lang w:val="en-GB" w:eastAsia="en-CA"/>
              </w:rPr>
            </w:pPr>
            <w:r w:rsidRPr="009D7AFB">
              <w:rPr>
                <w:rFonts w:eastAsia="Calibri" w:cstheme="minorHAnsi"/>
                <w:color w:val="000000"/>
                <w:kern w:val="28"/>
                <w:sz w:val="20"/>
                <w:szCs w:val="20"/>
                <w:lang w:val="en-GB" w:eastAsia="en-CA"/>
              </w:rPr>
              <w:t>Non-systematic review</w:t>
            </w:r>
          </w:p>
        </w:tc>
      </w:tr>
      <w:tr w:rsidR="00DD2B5C" w:rsidRPr="00C317A2" w:rsidTr="00EF4B76">
        <w:tc>
          <w:tcPr>
            <w:tcW w:w="5699" w:type="dxa"/>
            <w:shd w:val="clear" w:color="auto" w:fill="auto"/>
          </w:tcPr>
          <w:p w:rsidR="00DD2B5C" w:rsidRPr="009D7AFB" w:rsidRDefault="00DD2B5C" w:rsidP="0022221B">
            <w:pPr>
              <w:spacing w:after="0" w:line="240" w:lineRule="auto"/>
              <w:rPr>
                <w:rFonts w:eastAsia="Calibri" w:cstheme="minorHAnsi"/>
                <w:color w:val="000000"/>
                <w:kern w:val="28"/>
                <w:sz w:val="20"/>
                <w:szCs w:val="20"/>
                <w:lang w:val="en-GB" w:eastAsia="en-CA"/>
              </w:rPr>
            </w:pPr>
            <w:r w:rsidRPr="009D7AFB">
              <w:rPr>
                <w:rFonts w:eastAsia="Times New Roman" w:cstheme="minorHAnsi"/>
                <w:noProof/>
                <w:color w:val="000000"/>
                <w:kern w:val="28"/>
                <w:sz w:val="20"/>
                <w:szCs w:val="20"/>
                <w:lang w:val="en-GB" w:eastAsia="en-CA"/>
              </w:rPr>
              <w:t>Van Meter WS, Musch DC, Jacobs DS, Kaufman SC, Reinhart WJ, Udell IJ, et al. Safety of overnight orthokeratology for myopia: a report by the American Academy of Ophthalmology. Ophthalmology. Elsevier Inc. 2008;115(12):2301.</w:t>
            </w:r>
            <w:r w:rsidRPr="009D7AFB">
              <w:rPr>
                <w:rFonts w:eastAsia="Calibri" w:cstheme="minorHAnsi"/>
                <w:color w:val="000000"/>
                <w:kern w:val="28"/>
                <w:sz w:val="20"/>
                <w:szCs w:val="20"/>
                <w:lang w:val="en-GB" w:eastAsia="en-CA"/>
              </w:rPr>
              <w:t xml:space="preserve"> </w:t>
            </w:r>
          </w:p>
        </w:tc>
        <w:tc>
          <w:tcPr>
            <w:tcW w:w="3686" w:type="dxa"/>
            <w:shd w:val="clear" w:color="auto" w:fill="auto"/>
          </w:tcPr>
          <w:p w:rsidR="00DD2B5C" w:rsidRPr="009D7AFB" w:rsidRDefault="00DD2B5C" w:rsidP="00FD3AE4">
            <w:pPr>
              <w:spacing w:after="0" w:line="240" w:lineRule="auto"/>
              <w:rPr>
                <w:rFonts w:eastAsia="Calibri" w:cstheme="minorHAnsi"/>
                <w:color w:val="000000"/>
                <w:kern w:val="28"/>
                <w:sz w:val="20"/>
                <w:szCs w:val="20"/>
                <w:lang w:val="en-GB" w:eastAsia="en-CA"/>
              </w:rPr>
            </w:pPr>
            <w:r w:rsidRPr="009D7AFB">
              <w:rPr>
                <w:rFonts w:eastAsia="Calibri" w:cstheme="minorHAnsi"/>
                <w:color w:val="000000"/>
                <w:kern w:val="28"/>
                <w:sz w:val="20"/>
                <w:szCs w:val="20"/>
                <w:lang w:val="en-GB" w:eastAsia="en-CA"/>
              </w:rPr>
              <w:t>Non-systematic review</w:t>
            </w:r>
          </w:p>
        </w:tc>
      </w:tr>
      <w:tr w:rsidR="00DD2B5C" w:rsidRPr="00C317A2" w:rsidTr="00EF4B76">
        <w:tc>
          <w:tcPr>
            <w:tcW w:w="5699" w:type="dxa"/>
            <w:shd w:val="clear" w:color="auto" w:fill="auto"/>
          </w:tcPr>
          <w:p w:rsidR="00DD2B5C" w:rsidRPr="009D7AFB" w:rsidRDefault="00DD2B5C" w:rsidP="0022221B">
            <w:pPr>
              <w:spacing w:after="0" w:line="240" w:lineRule="auto"/>
              <w:rPr>
                <w:rFonts w:eastAsia="Calibri" w:cstheme="minorHAnsi"/>
                <w:color w:val="000000"/>
                <w:kern w:val="28"/>
                <w:sz w:val="20"/>
                <w:szCs w:val="20"/>
                <w:lang w:val="en-US" w:eastAsia="en-CA"/>
              </w:rPr>
            </w:pPr>
            <w:r w:rsidRPr="009D7AFB">
              <w:rPr>
                <w:rFonts w:eastAsia="Times New Roman" w:cstheme="minorHAnsi"/>
                <w:noProof/>
                <w:color w:val="000000"/>
                <w:kern w:val="28"/>
                <w:sz w:val="20"/>
                <w:szCs w:val="20"/>
                <w:lang w:val="en-GB" w:eastAsia="en-CA"/>
              </w:rPr>
              <w:t xml:space="preserve">Li X, Friedman IB, Medow NB, Zhang C. Update on Orthokeratology in Managing Progressive Myopia in Children: Efficacy, Mechanisms, and Concerns. </w:t>
            </w:r>
            <w:r w:rsidR="0022221B" w:rsidRPr="009D7AFB">
              <w:rPr>
                <w:rFonts w:eastAsia="Times New Roman" w:cstheme="minorHAnsi"/>
                <w:noProof/>
                <w:color w:val="000000"/>
                <w:kern w:val="28"/>
                <w:sz w:val="20"/>
                <w:szCs w:val="20"/>
                <w:lang w:val="en-GB" w:eastAsia="en-CA"/>
              </w:rPr>
              <w:t xml:space="preserve">J Pediatr Ophthalmol Strabismus; </w:t>
            </w:r>
            <w:r w:rsidRPr="009D7AFB">
              <w:rPr>
                <w:rFonts w:eastAsia="Times New Roman" w:cstheme="minorHAnsi"/>
                <w:noProof/>
                <w:color w:val="000000"/>
                <w:kern w:val="28"/>
                <w:sz w:val="20"/>
                <w:szCs w:val="20"/>
                <w:lang w:val="en-GB" w:eastAsia="en-CA"/>
              </w:rPr>
              <w:t>1–7.</w:t>
            </w:r>
            <w:r w:rsidRPr="009D7AFB">
              <w:rPr>
                <w:rFonts w:eastAsia="Calibri" w:cstheme="minorHAnsi"/>
                <w:color w:val="000000"/>
                <w:kern w:val="28"/>
                <w:sz w:val="20"/>
                <w:szCs w:val="20"/>
                <w:lang w:val="en-US" w:eastAsia="en-CA"/>
              </w:rPr>
              <w:t xml:space="preserve"> </w:t>
            </w:r>
          </w:p>
        </w:tc>
        <w:tc>
          <w:tcPr>
            <w:tcW w:w="3686" w:type="dxa"/>
            <w:shd w:val="clear" w:color="auto" w:fill="auto"/>
          </w:tcPr>
          <w:p w:rsidR="00DD2B5C" w:rsidRPr="009D7AFB" w:rsidRDefault="00DD2B5C" w:rsidP="00FD3AE4">
            <w:pPr>
              <w:spacing w:after="0" w:line="240" w:lineRule="auto"/>
              <w:rPr>
                <w:rFonts w:eastAsia="Calibri" w:cstheme="minorHAnsi"/>
                <w:color w:val="000000"/>
                <w:kern w:val="28"/>
                <w:sz w:val="20"/>
                <w:szCs w:val="20"/>
                <w:lang w:val="en-GB" w:eastAsia="en-CA"/>
              </w:rPr>
            </w:pPr>
            <w:r w:rsidRPr="009D7AFB">
              <w:rPr>
                <w:rFonts w:eastAsia="Calibri" w:cstheme="minorHAnsi"/>
                <w:color w:val="000000"/>
                <w:kern w:val="28"/>
                <w:sz w:val="20"/>
                <w:szCs w:val="20"/>
                <w:lang w:val="en-GB" w:eastAsia="en-CA"/>
              </w:rPr>
              <w:t>Non-systematic review</w:t>
            </w:r>
          </w:p>
        </w:tc>
      </w:tr>
      <w:tr w:rsidR="00DD2B5C" w:rsidRPr="00DB39D4" w:rsidTr="00EF4B76">
        <w:tc>
          <w:tcPr>
            <w:tcW w:w="5699" w:type="dxa"/>
            <w:shd w:val="clear" w:color="auto" w:fill="auto"/>
          </w:tcPr>
          <w:p w:rsidR="00DD2B5C" w:rsidRPr="009D7AFB" w:rsidRDefault="00DD2B5C" w:rsidP="0022221B">
            <w:pPr>
              <w:spacing w:after="0" w:line="240" w:lineRule="auto"/>
              <w:rPr>
                <w:rFonts w:eastAsia="Calibri" w:cstheme="minorHAnsi"/>
                <w:color w:val="000000"/>
                <w:kern w:val="28"/>
                <w:sz w:val="20"/>
                <w:szCs w:val="20"/>
                <w:lang w:val="en-GB" w:eastAsia="en-CA"/>
              </w:rPr>
            </w:pPr>
            <w:r w:rsidRPr="009D7AFB">
              <w:rPr>
                <w:rFonts w:eastAsia="Times New Roman" w:cstheme="minorHAnsi"/>
                <w:noProof/>
                <w:color w:val="000000"/>
                <w:kern w:val="28"/>
                <w:sz w:val="20"/>
                <w:szCs w:val="20"/>
                <w:lang w:val="en-GB" w:eastAsia="en-CA"/>
              </w:rPr>
              <w:t>Xie P, Guo X, P. X, X. G. Chinese experiences on orthokeratology. Eye Contact Lens [Internet]. Lippincott Willia</w:t>
            </w:r>
            <w:r w:rsidR="0022221B" w:rsidRPr="009D7AFB">
              <w:rPr>
                <w:rFonts w:eastAsia="Times New Roman" w:cstheme="minorHAnsi"/>
                <w:noProof/>
                <w:color w:val="000000"/>
                <w:kern w:val="28"/>
                <w:sz w:val="20"/>
                <w:szCs w:val="20"/>
                <w:lang w:val="en-GB" w:eastAsia="en-CA"/>
              </w:rPr>
              <w:t xml:space="preserve">ms and Wilkins </w:t>
            </w:r>
            <w:r w:rsidRPr="009D7AFB">
              <w:rPr>
                <w:rFonts w:eastAsia="Times New Roman" w:cstheme="minorHAnsi"/>
                <w:noProof/>
                <w:color w:val="000000"/>
                <w:kern w:val="28"/>
                <w:sz w:val="20"/>
                <w:szCs w:val="20"/>
                <w:lang w:val="en-GB" w:eastAsia="en-CA"/>
              </w:rPr>
              <w:t>2016;42(1):43–7.</w:t>
            </w:r>
            <w:r w:rsidRPr="009D7AFB">
              <w:rPr>
                <w:rFonts w:eastAsia="Calibri" w:cstheme="minorHAnsi"/>
                <w:color w:val="000000"/>
                <w:kern w:val="28"/>
                <w:sz w:val="20"/>
                <w:szCs w:val="20"/>
                <w:lang w:val="en-GB" w:eastAsia="en-CA"/>
              </w:rPr>
              <w:t xml:space="preserve"> </w:t>
            </w:r>
          </w:p>
        </w:tc>
        <w:tc>
          <w:tcPr>
            <w:tcW w:w="3686" w:type="dxa"/>
            <w:shd w:val="clear" w:color="auto" w:fill="auto"/>
          </w:tcPr>
          <w:p w:rsidR="00DD2B5C" w:rsidRPr="009D7AFB" w:rsidRDefault="00DD2B5C" w:rsidP="00FD3AE4">
            <w:pPr>
              <w:spacing w:after="0" w:line="240" w:lineRule="auto"/>
              <w:rPr>
                <w:rFonts w:eastAsia="Calibri" w:cstheme="minorHAnsi"/>
                <w:color w:val="000000"/>
                <w:kern w:val="28"/>
                <w:sz w:val="20"/>
                <w:szCs w:val="20"/>
                <w:lang w:val="en-GB" w:eastAsia="en-CA"/>
              </w:rPr>
            </w:pPr>
            <w:r w:rsidRPr="009D7AFB">
              <w:rPr>
                <w:rFonts w:eastAsia="Calibri" w:cstheme="minorHAnsi"/>
                <w:color w:val="000000"/>
                <w:kern w:val="28"/>
                <w:sz w:val="20"/>
                <w:szCs w:val="20"/>
                <w:lang w:val="en-GB" w:eastAsia="en-CA"/>
              </w:rPr>
              <w:t>Non-systematic review</w:t>
            </w:r>
          </w:p>
        </w:tc>
      </w:tr>
      <w:tr w:rsidR="00DD2B5C" w:rsidRPr="00DB39D4" w:rsidTr="00EF4B76">
        <w:tc>
          <w:tcPr>
            <w:tcW w:w="5699" w:type="dxa"/>
            <w:shd w:val="clear" w:color="auto" w:fill="auto"/>
          </w:tcPr>
          <w:p w:rsidR="00DD2B5C" w:rsidRPr="009D7AFB" w:rsidRDefault="00DD2B5C" w:rsidP="0022221B">
            <w:pPr>
              <w:spacing w:after="0" w:line="240" w:lineRule="auto"/>
              <w:rPr>
                <w:rFonts w:eastAsia="Calibri" w:cstheme="minorHAnsi"/>
                <w:color w:val="000000"/>
                <w:kern w:val="28"/>
                <w:sz w:val="20"/>
                <w:szCs w:val="20"/>
                <w:lang w:val="en-GB" w:eastAsia="en-CA"/>
              </w:rPr>
            </w:pPr>
            <w:r w:rsidRPr="009D7AFB">
              <w:rPr>
                <w:rFonts w:eastAsia="Times New Roman" w:cstheme="minorHAnsi"/>
                <w:noProof/>
                <w:color w:val="000000"/>
                <w:kern w:val="28"/>
                <w:sz w:val="20"/>
                <w:szCs w:val="20"/>
                <w:lang w:val="en-GB" w:eastAsia="en-CA"/>
              </w:rPr>
              <w:t xml:space="preserve">Liu YM, Xie P. The Safety of Orthokeratology-A Systematic Review. Eye Contact </w:t>
            </w:r>
            <w:r w:rsidR="0022221B" w:rsidRPr="009D7AFB">
              <w:rPr>
                <w:rFonts w:eastAsia="Times New Roman" w:cstheme="minorHAnsi"/>
                <w:noProof/>
                <w:color w:val="000000"/>
                <w:kern w:val="28"/>
                <w:sz w:val="20"/>
                <w:szCs w:val="20"/>
                <w:lang w:val="en-GB" w:eastAsia="en-CA"/>
              </w:rPr>
              <w:t>Lens</w:t>
            </w:r>
            <w:r w:rsidRPr="009D7AFB">
              <w:rPr>
                <w:rFonts w:eastAsia="Times New Roman" w:cstheme="minorHAnsi"/>
                <w:noProof/>
                <w:color w:val="000000"/>
                <w:kern w:val="28"/>
                <w:sz w:val="20"/>
                <w:szCs w:val="20"/>
                <w:lang w:val="en-GB" w:eastAsia="en-CA"/>
              </w:rPr>
              <w:t xml:space="preserve"> 2016;42(1):35–42.</w:t>
            </w:r>
            <w:r w:rsidRPr="009D7AFB">
              <w:rPr>
                <w:rFonts w:eastAsia="Calibri" w:cstheme="minorHAnsi"/>
                <w:color w:val="000000"/>
                <w:kern w:val="28"/>
                <w:sz w:val="20"/>
                <w:szCs w:val="20"/>
                <w:lang w:val="en-GB" w:eastAsia="en-CA"/>
              </w:rPr>
              <w:t xml:space="preserve"> </w:t>
            </w:r>
          </w:p>
        </w:tc>
        <w:tc>
          <w:tcPr>
            <w:tcW w:w="3686" w:type="dxa"/>
            <w:shd w:val="clear" w:color="auto" w:fill="auto"/>
          </w:tcPr>
          <w:p w:rsidR="00DD2B5C" w:rsidRPr="009D7AFB" w:rsidRDefault="00DD2B5C" w:rsidP="00FD3AE4">
            <w:pPr>
              <w:spacing w:after="0" w:line="240" w:lineRule="auto"/>
              <w:rPr>
                <w:rFonts w:eastAsia="Calibri" w:cstheme="minorHAnsi"/>
                <w:color w:val="000000"/>
                <w:kern w:val="28"/>
                <w:sz w:val="20"/>
                <w:szCs w:val="20"/>
                <w:lang w:val="en-GB" w:eastAsia="en-CA"/>
              </w:rPr>
            </w:pPr>
            <w:r w:rsidRPr="009D7AFB">
              <w:rPr>
                <w:rFonts w:eastAsia="Calibri" w:cstheme="minorHAnsi"/>
                <w:color w:val="000000"/>
                <w:kern w:val="28"/>
                <w:sz w:val="20"/>
                <w:szCs w:val="20"/>
                <w:lang w:val="en-GB" w:eastAsia="en-CA"/>
              </w:rPr>
              <w:t>Low quality of evidence</w:t>
            </w:r>
          </w:p>
        </w:tc>
      </w:tr>
      <w:tr w:rsidR="00DD2B5C" w:rsidRPr="00DB39D4" w:rsidTr="00EF4B76">
        <w:tc>
          <w:tcPr>
            <w:tcW w:w="5699" w:type="dxa"/>
            <w:shd w:val="clear" w:color="auto" w:fill="auto"/>
          </w:tcPr>
          <w:p w:rsidR="00DD2B5C" w:rsidRPr="009D7AFB" w:rsidRDefault="00DD2B5C" w:rsidP="00FD3AE4">
            <w:pPr>
              <w:spacing w:after="0" w:line="240" w:lineRule="auto"/>
              <w:rPr>
                <w:rFonts w:eastAsia="Times New Roman" w:cstheme="minorHAnsi"/>
                <w:noProof/>
                <w:color w:val="000000"/>
                <w:kern w:val="28"/>
                <w:sz w:val="20"/>
                <w:szCs w:val="20"/>
                <w:lang w:val="en-GB" w:eastAsia="en-CA"/>
              </w:rPr>
            </w:pPr>
            <w:r w:rsidRPr="009D7AFB">
              <w:rPr>
                <w:rFonts w:cstheme="minorHAnsi"/>
                <w:noProof/>
                <w:sz w:val="20"/>
                <w:szCs w:val="20"/>
                <w:lang w:val="en-US"/>
              </w:rPr>
              <w:t xml:space="preserve">Kam, K. W., Yung, W., Li, G. K. H., Chen, L. J. &amp; Young, A. L. Infectious keratitis and orthokeratology lens use: a systematic review. </w:t>
            </w:r>
            <w:r w:rsidRPr="009D7AFB">
              <w:rPr>
                <w:rFonts w:cstheme="minorHAnsi"/>
                <w:i/>
                <w:iCs/>
                <w:noProof/>
                <w:sz w:val="20"/>
                <w:szCs w:val="20"/>
              </w:rPr>
              <w:t>Infection</w:t>
            </w:r>
            <w:r w:rsidRPr="009D7AFB">
              <w:rPr>
                <w:rFonts w:cstheme="minorHAnsi"/>
                <w:noProof/>
                <w:sz w:val="20"/>
                <w:szCs w:val="20"/>
              </w:rPr>
              <w:t xml:space="preserve"> 1–9 (2017)</w:t>
            </w:r>
            <w:r w:rsidRPr="009D7AFB">
              <w:rPr>
                <w:rFonts w:cstheme="minorHAnsi"/>
                <w:noProof/>
                <w:sz w:val="20"/>
                <w:szCs w:val="20"/>
                <w:lang w:val="en-US"/>
              </w:rPr>
              <w:t>.</w:t>
            </w:r>
            <w:r w:rsidRPr="009D7AFB">
              <w:rPr>
                <w:rFonts w:eastAsia="Times New Roman" w:cstheme="minorHAnsi"/>
                <w:noProof/>
                <w:color w:val="000000"/>
                <w:kern w:val="28"/>
                <w:sz w:val="20"/>
                <w:szCs w:val="20"/>
                <w:lang w:val="en-GB" w:eastAsia="en-CA"/>
              </w:rPr>
              <w:t xml:space="preserve"> </w:t>
            </w:r>
          </w:p>
        </w:tc>
        <w:tc>
          <w:tcPr>
            <w:tcW w:w="3686" w:type="dxa"/>
            <w:shd w:val="clear" w:color="auto" w:fill="auto"/>
          </w:tcPr>
          <w:p w:rsidR="00DD2B5C" w:rsidRPr="009D7AFB" w:rsidRDefault="00DD2B5C" w:rsidP="00FD3AE4">
            <w:pPr>
              <w:spacing w:after="0" w:line="240" w:lineRule="auto"/>
              <w:rPr>
                <w:rFonts w:eastAsia="Calibri" w:cstheme="minorHAnsi"/>
                <w:color w:val="000000"/>
                <w:kern w:val="28"/>
                <w:sz w:val="20"/>
                <w:szCs w:val="20"/>
                <w:lang w:val="en-GB" w:eastAsia="en-CA"/>
              </w:rPr>
            </w:pPr>
            <w:r w:rsidRPr="009D7AFB">
              <w:rPr>
                <w:rFonts w:eastAsia="Calibri" w:cstheme="minorHAnsi"/>
                <w:color w:val="000000"/>
                <w:kern w:val="28"/>
                <w:sz w:val="20"/>
                <w:szCs w:val="20"/>
                <w:lang w:val="en-GB" w:eastAsia="en-CA"/>
              </w:rPr>
              <w:t>Low quality of evidence</w:t>
            </w:r>
          </w:p>
        </w:tc>
      </w:tr>
      <w:tr w:rsidR="00DD2B5C" w:rsidRPr="00387818" w:rsidTr="00EF4B76">
        <w:tc>
          <w:tcPr>
            <w:tcW w:w="5699" w:type="dxa"/>
            <w:shd w:val="clear" w:color="auto" w:fill="auto"/>
          </w:tcPr>
          <w:p w:rsidR="00DD2B5C" w:rsidRPr="009D7AFB" w:rsidRDefault="00DD2B5C" w:rsidP="0022221B">
            <w:pPr>
              <w:spacing w:after="0" w:line="240" w:lineRule="auto"/>
              <w:rPr>
                <w:rFonts w:cstheme="minorHAnsi"/>
                <w:noProof/>
                <w:sz w:val="20"/>
                <w:szCs w:val="20"/>
                <w:lang w:val="en-US"/>
              </w:rPr>
            </w:pPr>
            <w:r w:rsidRPr="009D7AFB">
              <w:rPr>
                <w:rFonts w:cstheme="minorHAnsi"/>
                <w:noProof/>
                <w:sz w:val="20"/>
                <w:szCs w:val="20"/>
                <w:lang w:val="en-US"/>
              </w:rPr>
              <w:t xml:space="preserve">Pineles, S. L. </w:t>
            </w:r>
            <w:r w:rsidRPr="009D7AFB">
              <w:rPr>
                <w:rFonts w:cstheme="minorHAnsi"/>
                <w:i/>
                <w:iCs/>
                <w:noProof/>
                <w:sz w:val="20"/>
                <w:szCs w:val="20"/>
                <w:lang w:val="en-US"/>
              </w:rPr>
              <w:t>et al.</w:t>
            </w:r>
            <w:r w:rsidRPr="009D7AFB">
              <w:rPr>
                <w:rFonts w:cstheme="minorHAnsi"/>
                <w:noProof/>
                <w:sz w:val="20"/>
                <w:szCs w:val="20"/>
                <w:lang w:val="en-US"/>
              </w:rPr>
              <w:t xml:space="preserve"> Atropine for the Prevention of Myopia Progression in Children: A Report by the American Academy of Ophthalmology. </w:t>
            </w:r>
            <w:r w:rsidRPr="009D7AFB">
              <w:rPr>
                <w:rFonts w:cstheme="minorHAnsi"/>
                <w:i/>
                <w:iCs/>
                <w:noProof/>
                <w:sz w:val="20"/>
                <w:szCs w:val="20"/>
                <w:lang w:val="en-US"/>
              </w:rPr>
              <w:t>Ophthalmology</w:t>
            </w:r>
            <w:r w:rsidR="0022221B" w:rsidRPr="009D7AFB">
              <w:rPr>
                <w:rFonts w:cstheme="minorHAnsi"/>
                <w:noProof/>
                <w:sz w:val="20"/>
                <w:szCs w:val="20"/>
                <w:lang w:val="en-US"/>
              </w:rPr>
              <w:t xml:space="preserve"> (2017)</w:t>
            </w:r>
            <w:r w:rsidRPr="009D7AFB">
              <w:rPr>
                <w:rFonts w:cstheme="minorHAnsi"/>
                <w:noProof/>
                <w:sz w:val="20"/>
                <w:szCs w:val="20"/>
                <w:lang w:val="en-US"/>
              </w:rPr>
              <w:t xml:space="preserve">. </w:t>
            </w:r>
          </w:p>
        </w:tc>
        <w:tc>
          <w:tcPr>
            <w:tcW w:w="3686" w:type="dxa"/>
            <w:shd w:val="clear" w:color="auto" w:fill="auto"/>
          </w:tcPr>
          <w:p w:rsidR="00DD2B5C" w:rsidRPr="009D7AFB" w:rsidRDefault="00DD2B5C" w:rsidP="00FD3AE4">
            <w:pPr>
              <w:spacing w:after="0" w:line="240" w:lineRule="auto"/>
              <w:rPr>
                <w:rFonts w:eastAsia="Calibri" w:cstheme="minorHAnsi"/>
                <w:kern w:val="28"/>
                <w:sz w:val="20"/>
                <w:szCs w:val="20"/>
                <w:lang w:val="en-GB" w:eastAsia="en-CA"/>
              </w:rPr>
            </w:pPr>
            <w:r w:rsidRPr="009D7AFB">
              <w:rPr>
                <w:rFonts w:eastAsia="Calibri" w:cstheme="minorHAnsi"/>
                <w:kern w:val="28"/>
                <w:sz w:val="20"/>
                <w:szCs w:val="20"/>
                <w:lang w:val="en-GB" w:eastAsia="en-CA"/>
              </w:rPr>
              <w:t>Contains low quality of evidence</w:t>
            </w:r>
          </w:p>
        </w:tc>
      </w:tr>
      <w:tr w:rsidR="00DD2B5C" w:rsidRPr="00387818" w:rsidTr="00EF4B76">
        <w:tc>
          <w:tcPr>
            <w:tcW w:w="5699" w:type="dxa"/>
            <w:shd w:val="clear" w:color="auto" w:fill="auto"/>
          </w:tcPr>
          <w:p w:rsidR="00DD2B5C" w:rsidRPr="009D7AFB" w:rsidRDefault="00DD2B5C" w:rsidP="0022221B">
            <w:pPr>
              <w:spacing w:after="0" w:line="240" w:lineRule="auto"/>
              <w:rPr>
                <w:rFonts w:eastAsia="Calibri" w:cstheme="minorHAnsi"/>
                <w:kern w:val="28"/>
                <w:sz w:val="20"/>
                <w:szCs w:val="20"/>
                <w:lang w:val="en-GB" w:eastAsia="en-CA"/>
              </w:rPr>
            </w:pPr>
            <w:r w:rsidRPr="009D7AFB">
              <w:rPr>
                <w:rFonts w:eastAsia="Times New Roman" w:cstheme="minorHAnsi"/>
                <w:noProof/>
                <w:kern w:val="28"/>
                <w:sz w:val="20"/>
                <w:szCs w:val="20"/>
                <w:lang w:val="en-GB" w:eastAsia="en-CA"/>
              </w:rPr>
              <w:t>Donovan L, Sankaridurg P, Ho A, Naduvilath T, Smith EL, A. Holden B, et al. Myopia progression rates in urban children wearing single-vis</w:t>
            </w:r>
            <w:r w:rsidR="0022221B" w:rsidRPr="009D7AFB">
              <w:rPr>
                <w:rFonts w:eastAsia="Times New Roman" w:cstheme="minorHAnsi"/>
                <w:noProof/>
                <w:kern w:val="28"/>
                <w:sz w:val="20"/>
                <w:szCs w:val="20"/>
                <w:lang w:val="en-GB" w:eastAsia="en-CA"/>
              </w:rPr>
              <w:t>ion spectacles. Optom Vis Sci. 2012 Jan</w:t>
            </w:r>
            <w:r w:rsidRPr="009D7AFB">
              <w:rPr>
                <w:rFonts w:eastAsia="Times New Roman" w:cstheme="minorHAnsi"/>
                <w:noProof/>
                <w:kern w:val="28"/>
                <w:sz w:val="20"/>
                <w:szCs w:val="20"/>
                <w:lang w:val="en-GB" w:eastAsia="en-CA"/>
              </w:rPr>
              <w:t>;89(1):27–32.</w:t>
            </w:r>
            <w:r w:rsidRPr="009D7AFB">
              <w:rPr>
                <w:rFonts w:eastAsia="Calibri" w:cstheme="minorHAnsi"/>
                <w:kern w:val="28"/>
                <w:sz w:val="20"/>
                <w:szCs w:val="20"/>
                <w:lang w:val="en-GB" w:eastAsia="en-CA"/>
              </w:rPr>
              <w:t xml:space="preserve"> </w:t>
            </w:r>
          </w:p>
        </w:tc>
        <w:tc>
          <w:tcPr>
            <w:tcW w:w="3686" w:type="dxa"/>
            <w:shd w:val="clear" w:color="auto" w:fill="auto"/>
          </w:tcPr>
          <w:p w:rsidR="00DD2B5C" w:rsidRPr="009D7AFB" w:rsidRDefault="00DD2B5C" w:rsidP="00FD3AE4">
            <w:pPr>
              <w:spacing w:after="0" w:line="240" w:lineRule="auto"/>
              <w:rPr>
                <w:rFonts w:eastAsia="Calibri" w:cstheme="minorHAnsi"/>
                <w:kern w:val="28"/>
                <w:sz w:val="20"/>
                <w:szCs w:val="20"/>
                <w:lang w:val="en-GB" w:eastAsia="en-CA"/>
              </w:rPr>
            </w:pPr>
            <w:r w:rsidRPr="009D7AFB">
              <w:rPr>
                <w:rFonts w:eastAsia="Calibri" w:cstheme="minorHAnsi"/>
                <w:kern w:val="28"/>
                <w:sz w:val="20"/>
                <w:szCs w:val="20"/>
                <w:lang w:val="en-GB" w:eastAsia="en-CA"/>
              </w:rPr>
              <w:t>Intervention not in the scope of this overview</w:t>
            </w:r>
          </w:p>
        </w:tc>
      </w:tr>
      <w:tr w:rsidR="00DD2B5C" w:rsidRPr="00DB39D4" w:rsidTr="00EF4B76">
        <w:tc>
          <w:tcPr>
            <w:tcW w:w="5699" w:type="dxa"/>
            <w:shd w:val="clear" w:color="auto" w:fill="auto"/>
          </w:tcPr>
          <w:p w:rsidR="00DD2B5C" w:rsidRPr="009D7AFB" w:rsidRDefault="00DD2B5C" w:rsidP="00FD3AE4">
            <w:pPr>
              <w:spacing w:after="0" w:line="240" w:lineRule="auto"/>
              <w:rPr>
                <w:rFonts w:eastAsia="Times New Roman" w:cstheme="minorHAnsi"/>
                <w:noProof/>
                <w:color w:val="000000"/>
                <w:kern w:val="28"/>
                <w:sz w:val="20"/>
                <w:szCs w:val="20"/>
                <w:lang w:val="en-GB" w:eastAsia="en-CA"/>
              </w:rPr>
            </w:pPr>
            <w:r w:rsidRPr="009D7AFB">
              <w:rPr>
                <w:rFonts w:eastAsia="Times New Roman" w:cstheme="minorHAnsi"/>
                <w:noProof/>
                <w:color w:val="000000"/>
                <w:kern w:val="28"/>
                <w:sz w:val="20"/>
                <w:szCs w:val="20"/>
                <w:lang w:val="en-GB" w:eastAsia="en-CA"/>
              </w:rPr>
              <w:t>Pan C-W, Qian D-J, Saw S-M. Time outdoors, blood vitamin D status and myopia: a revi</w:t>
            </w:r>
            <w:r w:rsidR="0022221B" w:rsidRPr="009D7AFB">
              <w:rPr>
                <w:rFonts w:eastAsia="Times New Roman" w:cstheme="minorHAnsi"/>
                <w:noProof/>
                <w:color w:val="000000"/>
                <w:kern w:val="28"/>
                <w:sz w:val="20"/>
                <w:szCs w:val="20"/>
                <w:lang w:val="en-GB" w:eastAsia="en-CA"/>
              </w:rPr>
              <w:t>ew. Photochem Photobiol Sci</w:t>
            </w:r>
            <w:r w:rsidRPr="009D7AFB">
              <w:rPr>
                <w:rFonts w:eastAsia="Times New Roman" w:cstheme="minorHAnsi"/>
                <w:noProof/>
                <w:color w:val="000000"/>
                <w:kern w:val="28"/>
                <w:sz w:val="20"/>
                <w:szCs w:val="20"/>
                <w:lang w:val="en-GB" w:eastAsia="en-CA"/>
              </w:rPr>
              <w:t>. Royal Society of Chemistry; 2017;16(3):426–32.</w:t>
            </w:r>
            <w:r w:rsidRPr="009D7AFB">
              <w:rPr>
                <w:rFonts w:eastAsia="Calibri" w:cstheme="minorHAnsi"/>
                <w:color w:val="000000"/>
                <w:kern w:val="28"/>
                <w:sz w:val="20"/>
                <w:szCs w:val="20"/>
                <w:lang w:val="en-GB" w:eastAsia="en-CA"/>
              </w:rPr>
              <w:t xml:space="preserve"> </w:t>
            </w:r>
          </w:p>
        </w:tc>
        <w:tc>
          <w:tcPr>
            <w:tcW w:w="3686" w:type="dxa"/>
            <w:shd w:val="clear" w:color="auto" w:fill="auto"/>
          </w:tcPr>
          <w:p w:rsidR="00DD2B5C" w:rsidRPr="009D7AFB" w:rsidRDefault="00DD2B5C" w:rsidP="00FD3AE4">
            <w:pPr>
              <w:spacing w:after="0" w:line="240" w:lineRule="auto"/>
              <w:rPr>
                <w:rFonts w:eastAsia="Calibri" w:cstheme="minorHAnsi"/>
                <w:kern w:val="28"/>
                <w:sz w:val="20"/>
                <w:szCs w:val="20"/>
                <w:lang w:val="en-GB" w:eastAsia="en-CA"/>
              </w:rPr>
            </w:pPr>
            <w:r w:rsidRPr="009D7AFB">
              <w:rPr>
                <w:rFonts w:eastAsia="Calibri" w:cstheme="minorHAnsi"/>
                <w:kern w:val="28"/>
                <w:sz w:val="20"/>
                <w:szCs w:val="20"/>
                <w:lang w:val="en-GB" w:eastAsia="en-CA"/>
              </w:rPr>
              <w:t>Topic not directly relevant</w:t>
            </w:r>
          </w:p>
        </w:tc>
      </w:tr>
    </w:tbl>
    <w:p w:rsidR="004C28F5" w:rsidRDefault="004C28F5" w:rsidP="00D7124C">
      <w:pPr>
        <w:rPr>
          <w:lang w:val="en-GB"/>
        </w:rPr>
        <w:sectPr w:rsidR="004C28F5" w:rsidSect="004C28F5">
          <w:pgSz w:w="11906" w:h="16838"/>
          <w:pgMar w:top="1440" w:right="1797" w:bottom="1440" w:left="1797" w:header="709" w:footer="709" w:gutter="0"/>
          <w:cols w:space="708"/>
          <w:docGrid w:linePitch="360"/>
        </w:sectPr>
      </w:pPr>
    </w:p>
    <w:p w:rsidR="00273BCC" w:rsidRDefault="00273BCC" w:rsidP="00D7124C">
      <w:pPr>
        <w:rPr>
          <w:lang w:val="en-GB"/>
        </w:rPr>
      </w:pPr>
    </w:p>
    <w:tbl>
      <w:tblPr>
        <w:tblStyle w:val="GridTable2-Accent2"/>
        <w:tblpPr w:leftFromText="180" w:rightFromText="180" w:horzAnchor="margin" w:tblpXSpec="center" w:tblpY="-1800"/>
        <w:tblW w:w="16020" w:type="dxa"/>
        <w:tblLook w:val="04A0" w:firstRow="1" w:lastRow="0" w:firstColumn="1" w:lastColumn="0" w:noHBand="0" w:noVBand="1"/>
      </w:tblPr>
      <w:tblGrid>
        <w:gridCol w:w="1188"/>
        <w:gridCol w:w="740"/>
        <w:gridCol w:w="709"/>
        <w:gridCol w:w="710"/>
        <w:gridCol w:w="710"/>
        <w:gridCol w:w="711"/>
        <w:gridCol w:w="713"/>
        <w:gridCol w:w="710"/>
        <w:gridCol w:w="710"/>
        <w:gridCol w:w="799"/>
        <w:gridCol w:w="715"/>
        <w:gridCol w:w="715"/>
        <w:gridCol w:w="715"/>
        <w:gridCol w:w="715"/>
        <w:gridCol w:w="760"/>
        <w:gridCol w:w="717"/>
        <w:gridCol w:w="717"/>
        <w:gridCol w:w="725"/>
        <w:gridCol w:w="663"/>
        <w:gridCol w:w="602"/>
        <w:gridCol w:w="1276"/>
      </w:tblGrid>
      <w:tr w:rsidR="004C28F5" w:rsidRPr="004C28F5" w:rsidTr="00EF4B76">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188" w:type="dxa"/>
          </w:tcPr>
          <w:p w:rsidR="004C28F5" w:rsidRPr="00FD3AE4" w:rsidRDefault="004C28F5" w:rsidP="004C28F5">
            <w:pPr>
              <w:rPr>
                <w:rFonts w:ascii="Arial" w:hAnsi="Arial" w:cs="Arial"/>
                <w:sz w:val="24"/>
                <w:szCs w:val="24"/>
                <w:lang w:val="en-US"/>
              </w:rPr>
            </w:pPr>
          </w:p>
          <w:p w:rsidR="004C28F5" w:rsidRPr="00FD3AE4" w:rsidRDefault="004C28F5" w:rsidP="004C28F5">
            <w:pPr>
              <w:rPr>
                <w:rFonts w:ascii="Arial" w:hAnsi="Arial" w:cs="Arial"/>
                <w:sz w:val="24"/>
                <w:szCs w:val="24"/>
                <w:lang w:val="en-US"/>
              </w:rPr>
            </w:pPr>
          </w:p>
          <w:p w:rsidR="004C28F5" w:rsidRPr="00FD3AE4" w:rsidRDefault="004C28F5" w:rsidP="004C28F5">
            <w:pPr>
              <w:rPr>
                <w:rFonts w:ascii="Arial" w:hAnsi="Arial" w:cs="Arial"/>
                <w:sz w:val="24"/>
                <w:szCs w:val="24"/>
                <w:lang w:val="en-US"/>
              </w:rPr>
            </w:pPr>
          </w:p>
          <w:p w:rsidR="004C28F5" w:rsidRPr="00FD3AE4" w:rsidRDefault="004C28F5" w:rsidP="004C28F5">
            <w:pPr>
              <w:rPr>
                <w:rFonts w:ascii="Arial" w:hAnsi="Arial" w:cs="Arial"/>
                <w:sz w:val="24"/>
                <w:szCs w:val="24"/>
                <w:lang w:val="en-US"/>
              </w:rPr>
            </w:pPr>
          </w:p>
        </w:tc>
        <w:tc>
          <w:tcPr>
            <w:tcW w:w="14832" w:type="dxa"/>
            <w:gridSpan w:val="20"/>
          </w:tcPr>
          <w:p w:rsidR="004C28F5" w:rsidRPr="00FD3AE4" w:rsidRDefault="004C28F5" w:rsidP="004C28F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p>
          <w:p w:rsidR="004C28F5" w:rsidRPr="00FD3AE4" w:rsidRDefault="004C28F5" w:rsidP="004C28F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p>
          <w:p w:rsidR="004C28F5" w:rsidRPr="009D7AFB" w:rsidRDefault="00C5734E" w:rsidP="004C28F5">
            <w:pPr>
              <w:cnfStyle w:val="100000000000" w:firstRow="1" w:lastRow="0" w:firstColumn="0" w:lastColumn="0" w:oddVBand="0" w:evenVBand="0" w:oddHBand="0" w:evenHBand="0" w:firstRowFirstColumn="0" w:firstRowLastColumn="0" w:lastRowFirstColumn="0" w:lastRowLastColumn="0"/>
              <w:rPr>
                <w:rFonts w:cstheme="minorHAnsi"/>
                <w:sz w:val="24"/>
                <w:szCs w:val="24"/>
                <w:lang w:val="en-US"/>
              </w:rPr>
            </w:pPr>
            <w:r>
              <w:rPr>
                <w:rFonts w:cstheme="minorHAnsi"/>
                <w:sz w:val="24"/>
                <w:szCs w:val="24"/>
                <w:lang w:val="en-US"/>
              </w:rPr>
              <w:t>Table S4</w:t>
            </w:r>
            <w:r w:rsidR="004C28F5" w:rsidRPr="009D7AFB">
              <w:rPr>
                <w:rFonts w:cstheme="minorHAnsi"/>
                <w:sz w:val="24"/>
                <w:szCs w:val="24"/>
                <w:lang w:val="en-US"/>
              </w:rPr>
              <w:t>. Citation matrix</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6020" w:type="dxa"/>
            <w:gridSpan w:val="21"/>
            <w:shd w:val="clear" w:color="auto" w:fill="auto"/>
          </w:tcPr>
          <w:p w:rsidR="004C28F5" w:rsidRPr="004C28F5" w:rsidRDefault="004C28F5" w:rsidP="004C28F5">
            <w:pPr>
              <w:spacing w:line="360" w:lineRule="auto"/>
              <w:rPr>
                <w:rFonts w:cstheme="minorHAnsi"/>
                <w:color w:val="000000" w:themeColor="text1"/>
                <w:sz w:val="16"/>
                <w:szCs w:val="16"/>
                <w:u w:val="single"/>
                <w:lang w:val="en-US"/>
              </w:rPr>
            </w:pPr>
            <w:r w:rsidRPr="004C28F5">
              <w:rPr>
                <w:rFonts w:cstheme="minorHAnsi"/>
                <w:color w:val="000000" w:themeColor="text1"/>
                <w:sz w:val="16"/>
                <w:szCs w:val="16"/>
                <w:lang w:val="en-US"/>
              </w:rPr>
              <w:t xml:space="preserve">                              </w:t>
            </w:r>
            <w:r w:rsidRPr="004C28F5">
              <w:rPr>
                <w:rFonts w:cstheme="minorHAnsi"/>
                <w:color w:val="000000" w:themeColor="text1"/>
                <w:sz w:val="16"/>
                <w:szCs w:val="16"/>
                <w:u w:val="single"/>
                <w:lang w:val="en-US"/>
              </w:rPr>
              <w:t>Systematic Reviews</w:t>
            </w:r>
          </w:p>
        </w:tc>
      </w:tr>
      <w:tr w:rsidR="004C28F5" w:rsidRPr="00387818" w:rsidTr="00EF4B76">
        <w:trPr>
          <w:trHeight w:val="878"/>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spacing w:line="360" w:lineRule="auto"/>
              <w:rPr>
                <w:rFonts w:cstheme="minorHAnsi"/>
                <w:sz w:val="16"/>
                <w:szCs w:val="16"/>
                <w:lang w:val="en-US"/>
              </w:rPr>
            </w:pPr>
            <w:r w:rsidRPr="004C28F5">
              <w:rPr>
                <w:rFonts w:cstheme="minorHAnsi"/>
                <w:sz w:val="16"/>
                <w:szCs w:val="16"/>
                <w:lang w:val="en-US"/>
              </w:rPr>
              <w:t>Primary study</w:t>
            </w:r>
          </w:p>
          <w:p w:rsidR="004C28F5" w:rsidRPr="004C28F5" w:rsidRDefault="004C28F5" w:rsidP="004C28F5">
            <w:pPr>
              <w:rPr>
                <w:rFonts w:cstheme="minorHAnsi"/>
                <w:sz w:val="16"/>
                <w:szCs w:val="16"/>
                <w:lang w:val="en-US"/>
              </w:rPr>
            </w:pPr>
          </w:p>
        </w:tc>
        <w:tc>
          <w:tcPr>
            <w:tcW w:w="740"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Type of primary study</w:t>
            </w:r>
          </w:p>
        </w:tc>
        <w:tc>
          <w:tcPr>
            <w:tcW w:w="709"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Cui 2017</w:t>
            </w:r>
            <w:r w:rsidRPr="004C28F5">
              <w:rPr>
                <w:sz w:val="20"/>
                <w:szCs w:val="20"/>
                <w:lang w:val="en-US"/>
              </w:rPr>
              <w:fldChar w:fldCharType="begin" w:fldLock="1"/>
            </w:r>
            <w:r w:rsidRPr="004C28F5">
              <w:rPr>
                <w:sz w:val="20"/>
                <w:szCs w:val="20"/>
                <w:lang w:val="en-US"/>
              </w:rPr>
              <w:instrText>ADDIN CSL_CITATION { "citationItems" : [ { "id" : "ITEM-1", "itemData" : { "abstract" : "PURPOSEThe purpose of this study was to conduct a meta-analysis comparing rigid gas permeable lenses (RGP) with soft contact lenses (SCL), spectacles and orthokeratology (OK) lenses for myopia control with respect to axial length elongation, spherical equivalent and measures of corneal curvature.METHODSMedline, Cochrane, EMBASE, and Google Scholar databases were searched to September 29, 2015 using the following keywords: rigid gas permeable contact lens; refractive error; and refractive abnormalities. Randomized controlled trials, two-arm prospective studies and retrospective studies of children with myopia treated with RGP lenses compared with spectacles, SCL, and OK lenses were included. Outcome measures were changes of axial length, spherical equivalent, flatter meridian, steeper meridian and corneal apical radius.RESULTSFive studies were included. Three studies reported axial length change after 2-3 years of treatment with RGP lenses and SCL/spectacles and no difference between the groups was noted (pooled mean difference = -0.077, 95% confidence interval [CI]: -0.120 to 0.097, p = 0.840). Two studies reported a change of spherical equivalent after 2-3 years of treatment with RGP lenses and SCL/spectacles, and no difference between the groups was noted (pooled mean difference = 0.275, 95% CI: -0.390 to 0.941, p = 0.417). Two studies compared corneal curvature measures between RGP and OK lenses after 3-6 months of treatment and no differences in any measures of corneal curvature were seen.CONCLUSIONSThe effect of RGP lenses and SCL/spectacles on axial length elongation and spherical equivalent and of RGP and OK lenses on corneal curvature in children with myopia was similar.", "author" : [ { "dropping-particle" : "", "family" : "Cui", "given" : "Yanhui", "non-dropping-particle" : "", "parse-names" : false, "suffix" : "" }, { "dropping-particle" : "", "family" : "Li", "given" : "Li", "non-dropping-particle" : "", "parse-names" : false, "suffix" : "" }, { "dropping-particle" : "", "family" : "Wu", "given" : "Qian", "non-dropping-particle" : "", "parse-names" : false, "suffix" : "" }, { "dropping-particle" : "", "family" : "Zhao", "given" : "Junyang", "non-dropping-particle" : "", "parse-names" : false, "suffix" : "" }, { "dropping-particle" : "", "family" : "Chu", "given" : "Huihui", "non-dropping-particle" : "", "parse-names" : false, "suffix" : "" }, { "dropping-particle" : "", "family" : "Yu", "given" : "Gang", "non-dropping-particle" : "", "parse-names" : false, "suffix" : "" }, { "dropping-particle" : "", "family" : "Wei", "given" : "Wenbin", "non-dropping-particle" : "", "parse-names" : false, "suffix" : "" } ], "container-title" : "Clinical and investigative medicine. Medecine clinique et experimentale", "id" : "ITEM-1", "issue" : "3", "issued" : { "date-parts" : [ [ "2017" ] ] }, "note" : "Meta-analysis!!!\n\nMONO abstract available??!!\n\nTH B\u03a1\u0397\u039a\u0391!", "page" : "E117", "title" : "Myopia correction in children: a meta-analysis.", "type" : "article-journal", "volume" : "40" }, "uris" : [ "http://www.mendeley.com/documents/?uuid=dc8223e9-aa6e-450d-ad1f-34c3d10be417" ] } ], "mendeley" : { "formattedCitation" : "&lt;sup&gt;26&lt;/sup&gt;", "plainTextFormattedCitation" : "26", "previouslyFormattedCitation" : "&lt;sup&gt;26&lt;/sup&gt;" }, "properties" : {  }, "schema" : "https://github.com/citation-style-language/schema/raw/master/csl-citation.json" }</w:instrText>
            </w:r>
            <w:r w:rsidRPr="004C28F5">
              <w:rPr>
                <w:sz w:val="20"/>
                <w:szCs w:val="20"/>
                <w:lang w:val="en-US"/>
              </w:rPr>
              <w:fldChar w:fldCharType="separate"/>
            </w:r>
            <w:r w:rsidRPr="004C28F5">
              <w:rPr>
                <w:noProof/>
                <w:sz w:val="20"/>
                <w:szCs w:val="20"/>
                <w:vertAlign w:val="superscript"/>
                <w:lang w:val="en-US"/>
              </w:rPr>
              <w:t>26</w:t>
            </w:r>
            <w:r w:rsidRPr="004C28F5">
              <w:rPr>
                <w:sz w:val="20"/>
                <w:szCs w:val="20"/>
                <w:lang w:val="en-US"/>
              </w:rPr>
              <w:fldChar w:fldCharType="end"/>
            </w:r>
          </w:p>
        </w:tc>
        <w:tc>
          <w:tcPr>
            <w:tcW w:w="710"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Gong 2017</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"abstract" : "ImportanceSome uncertainty about the clinical value and dosing of atropine for the treatment of myopia in children remains.ObjectiveTo evaluate the efficacy vs the adverse effects of various doses of atropine in the therapy for myopia in children.Data SourcesData were obtained from PubMed, EMBASE, and the Cochrane Central Register of Controlled Trials, from inception to April 30, 2016. The reference lists of published reviews and clinicaltrials.gov were searched for additional relevant studies. Key search terms included myopia, refractive errors, and atropine. Only studies published in English were included.Study SelectionRandomized clinical trials and cohort studies that enrolled patients younger than 18 years with myopia who received atropine in at least 1 treatment arm and that reported the annual rate of myopia progression and/or any adverse effects of atropine therapy were included in the analysis.Data Extraction and SynthesisTwo reviewers independently abstracted the data. Heterogeneity was statistically quantified by Q, H, and I2 statistics, and a meta-analysis was performed using the random-effects model. The Cochrane Collaboration 6 aspects of bias and the Newcastle-Ottawa Scale were used to assess the risk for bias.Main Outcomes and MeasuresThe primary outcome was a difference in efficacy and the presence of adverse effects at different doses of atropine vs control conditions. The secondary outcomes included the differences in adverse effects between Asian and white patients.ResultsNineteen unique studies involving 3137 unique children were included in the analysis. The weighted mean differences between the atropine and control groups in myopia progression were 0.50 diopters (D) per year (95% CI, 0.24-0.76 D per year) for low-dose atropine, 0.57 D per year (95% CI, 0.43-0.71 D per year) for moderate-dose atropine, and 0.62 D per year (95% CI, 0.45-0.79 D per year) for high-dose atropine (P\u2009&lt;\u2009.001), which translated to a high effect size (Cohen d, 0.97, 1.76, and 1.94, respectively). All doses of atropine, therefore, were equally beneficial with respect to myopia progression (P\u2009=\u2009.15). High-dose atropine were associated with more adverse effects, such as the 43.1% incidence of photophobia compared with 6.3% for low-dose atropine and 17.8% for moderate-dose atropine (\u03c722\u2009=\u20097.05; P\u2009=\u2009.03). In addition, differences in the incidence of adverse effects between Asian and white patients were not identified (\u03c721\u2009=\u20090.81; P\u2009=\u2009.37 for photophobia).Conclus\u2026", "author" : [ { "dropping-particle" : "", "family" : "Gong", "given" : "Qianwen", "non-dropping-particle" : "", "parse-names" : false, "suffix" : "" }, { "dropping-particle" : "", "family" : "Janowski", "given" : "Miroslaw", "non-dropping-particle" : "", "parse-names" : false, "suffix" : "" }, { "dropping-particle" : "", "family" : "Luo", "given" : "Mi", "non-dropping-particle" : "", "parse-names" : false, "suffix" : "" }, { "dropping-particle" : "", "family" : "Wei", "given" : "Hong", "non-dropping-particle" : "", "parse-names" : false, "suffix" : "" }, { "dropping-particle" : "", "family" : "Chen", "given" : "Bingjie", "non-dropping-particle" : "", "parse-names" : false, "suffix" : "" }, { "dropping-particle" : "", "family" : "Yang", "given" : "Guoyuan", "non-dropping-particle" : "", "parse-names" : false, "suffix" : "" }, { "dropping-particle" : "", "family" : "Liu", "given" : "Longqian", "non-dropping-particle" : "", "parse-names" : false, "suffix" : "" } ], "container-title" : "JAMA ophthalmology", "id" : "ITEM-1", "issue" : "6", "issued" : { "date-parts" : [ [ "2017" ] ] }, "page" : "624-630", "title" : "Efficacy and Adverse Effects of Atropine in Childhood Myopia: A Meta-analysis.", "type" : "article-journal", "volume" : "135" }, "uris" : [ "http://www.mendeley.com/documents/?uuid=83363564-9454-4cd8-ae56-3e8623aec8f1" ] } ], "mendeley" : { "formattedCitation" : "&lt;sup&gt;12&lt;/sup&gt;", "plainTextFormattedCitation" : "12", "previouslyFormattedCitation" : "&lt;sup&gt;12&lt;/sup&gt;"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12</w:t>
            </w:r>
            <w:r w:rsidRPr="004C28F5">
              <w:rPr>
                <w:rFonts w:cstheme="minorHAnsi"/>
                <w:b/>
                <w:sz w:val="18"/>
                <w:szCs w:val="18"/>
                <w:lang w:val="en-GB"/>
              </w:rPr>
              <w:fldChar w:fldCharType="end"/>
            </w:r>
          </w:p>
        </w:tc>
        <w:tc>
          <w:tcPr>
            <w:tcW w:w="710"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Li 2017</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"abstract" : "To evaluate the effect of soft contact lens with concentric ring bifocal and peripheral add multifocal designs on controlling myopia progression in school-aged children.          We systematically searched MEDLINE, EMBASE, Cochrane Library and reference lists of included trials. Methodological quality of included trials was assessed using Jadad Scale and Newcastle-Ottawa Quality Assessment Scale items. We identified five randomised controlled trials (RCTs) and three cohort studies with a total of 587 myopic children. Compared with the control group, concentric ring bifocal soft contact lenses showed less myopia progression with a weighted mean difference (WMD) of 0.31 D (95% CI, 0.05~0.57 D, p = 0.02) and less axial elongation with a WMD of -0.12 mm (95% CI, approximately -0.18 to -0.07 mm, p &lt; 0.0001) at 12 months. Relative to the control group, peripheral add multifocal soft contact lenses showed less myopia progression with a WMD of 0.22 D (95% CI 0.14~0.31 D, p &lt; 0.0001) and less axial elongation of -0.10 mm (95% CI -0.13~0.07 mm, p &lt; 0.0001) at 12 months, respectively. The soft contact lenses with concentric ring bifocal and peripheral add multifocal designs produced additional myopia control rates of 30~38% for slowing myopia progression and 31~51% for lessening axial elongation within 24 months. Both concentric ring bifocal and peripheral add multifocal soft contact lenses are clinically effective for controlling myopia in school-aged children, with an overall myopia control rates of 30~50% over 2 years. Concentric ring bifocal soft contact lenses seem to have greater effect than peripheral add multifocal soft contact lenses.          \u00a9 2016 The Authors Ophthalmic &amp; Physiological Optics \u00a9 2016 The College of Optometrists.", "author" : [ { "dropping-particle" : "", "family" : "Li", "given" : "Shi-Ming", "non-dropping-particle" : "", "parse-names" : false, "suffix" : "" }, { "dropping-particle" : "", "family" : "Kang", "given" : "Meng-Tian", "non-dropping-particle" : "", "parse-names" : false, "suffix" : "" }, { "dropping-particle" : "", "family" : "Wu", "given" : "Shan-Shan", "non-dropping-particle" : "", "parse-names" : false, "suffix" : "" }, { "dropping-particle" : "", "family" : "Meng", "given" : "Bo", "non-dropping-particle" : "", "parse-names" : false, "suffix" : "" }, { "dropping-particle" : "", "family" : "Sun", "given" : "Yun-Yun", "non-dropping-particle" : "", "parse-names" : false, "suffix" : "" }, { "dropping-particle" : "", "family" : "Wei", "given" : "Shi-Fei", "non-dropping-particle" : "", "parse-names" : false, "suffix" : "" }, { "dropping-particle" : "", "family" : "Liu", "given" : "Luoru", "non-dropping-particle" : "", "parse-names" : false, "suffix" : "" }, { "dropping-particle" : "", "family" : "Peng", "given" : "Xiaoxia", "non-dropping-particle" : "", "parse-names" : false, "suffix" : "" }, { "dropping-particle" : "", "family" : "Chen", "given" : "Zhuo", "non-dropping-particle" : "", "parse-names" : false, "suffix" : "" }, { "dropping-particle" : "", "family" : "Zhang", "given" : "Fengju", "non-dropping-particle" : "", "parse-names" : false, "suffix" : "" }, { "dropping-particle" : "", "family" : "Wang", "given" : "Ningli", "non-dropping-particle" : "", "parse-names" : false, "suffix" : "" } ], "container-title" : "Ophthalmic &amp; physiological optics : the journal of the British College of Ophthalmic Opticians (Optometrists)", "id" : "ITEM-1", "issue" : "1", "issued" : { "date-parts" : [ [ "2017" ] ] }, "note" : "NULL", "page" : "51-59", "title" : "Studies using concentric ring bifocal and peripheral add multifocal contact lenses to slow myopia progression in school-aged children: a meta-analysis.", "type" : "article-journal", "volume" : "37" }, "uris" : [ "http://www.mendeley.com/documents/?uuid=cf1e1ce1-7c48-4387-b88d-62370c549daa" ] } ], "mendeley" : { "formattedCitation" : "&lt;sup&gt;14&lt;/sup&gt;", "plainTextFormattedCitation" : "14", "previouslyFormattedCitation" : "&lt;sup&gt;14&lt;/sup&gt;"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14</w:t>
            </w:r>
            <w:r w:rsidRPr="004C28F5">
              <w:rPr>
                <w:rFonts w:cstheme="minorHAnsi"/>
                <w:b/>
                <w:sz w:val="18"/>
                <w:szCs w:val="18"/>
                <w:lang w:val="en-GB"/>
              </w:rPr>
              <w:fldChar w:fldCharType="end"/>
            </w:r>
          </w:p>
        </w:tc>
        <w:tc>
          <w:tcPr>
            <w:tcW w:w="711"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Xiong 2017</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"10.1111/aos.13403", "ISSN" : "1755375X", "PMID" : "28251836", "author" : [ { "dropping-particle" : "", "family" : "Xiong", "given" : "Shuyu", "non-dropping-particle" : "", "parse-names" : false, "suffix" : "" }, { "dropping-particle" : "", "family" : "Sankaridurg", "given" : "Padmaja", "non-dropping-particle" : "", "parse-names" : false, "suffix" : "" }, { "dropping-particle" : "", "family" : "Naduvilath", "given" : "Thomas", "non-dropping-particle" : "", "parse-names" : false, "suffix" : "" }, { "dropping-particle" : "", "family" : "Zang", "given" : "Jiajie", "non-dropping-particle" : "", "parse-names" : false, "suffix" : "" }, { "dropping-particle" : "", "family" : "Zou", "given" : "Haidong", "non-dropping-particle" : "", "parse-names" : false, "suffix" : "" }, { "dropping-particle" : "", "family" : "Zhu", "given" : "Jianfeng", "non-dropping-particle" : "", "parse-names" : false, "suffix" : "" }, { "dropping-particle" : "", "family" : "Lv", "given" : "Minzhi", "non-dropping-particle" : "", "parse-names" : false, "suffix" : "" }, { "dropping-particle" : "", "family" : "He", "given" : "Xiangui", "non-dropping-particle" : "", "parse-names" : false, "suffix" : "" }, { "dropping-particle" : "", "family" : "Xu", "given" : "Xun", "non-dropping-particle" : "", "parse-names" : false, "suffix" : "" } ], "container-title" : "Acta Ophthalmologica", "id" : "ITEM-1", "issued" : { "date-parts" : [ [ "2017" ] ] }, "page" : "1-16", "title" : "Time spent in outdoor activities in relation to myopia prevention and control: a meta-analysis and systematic review", "type" : "article-journal" }, "uris" : [ "http://www.mendeley.com/documents/?uuid=5a3bcf86-855d-44c8-9f4b-42932d9ad3ff" ] } ], "mendeley" : { "formattedCitation" : "&lt;sup&gt;15&lt;/sup&gt;", "plainTextFormattedCitation" : "15", "previouslyFormattedCitation" : "&lt;sup&gt;15&lt;/sup&gt;"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15</w:t>
            </w:r>
            <w:r w:rsidRPr="004C28F5">
              <w:rPr>
                <w:rFonts w:cstheme="minorHAnsi"/>
                <w:b/>
                <w:sz w:val="18"/>
                <w:szCs w:val="18"/>
                <w:lang w:val="en-GB"/>
              </w:rPr>
              <w:fldChar w:fldCharType="end"/>
            </w:r>
          </w:p>
        </w:tc>
        <w:tc>
          <w:tcPr>
            <w:tcW w:w="713"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Huang 2016</w:t>
            </w:r>
            <w:r w:rsidRPr="004C28F5">
              <w:rPr>
                <w:rFonts w:cstheme="minorHAnsi"/>
                <w:b/>
                <w:noProof/>
                <w:sz w:val="18"/>
                <w:szCs w:val="18"/>
                <w:lang w:val="en-GB"/>
              </w:rPr>
              <w:fldChar w:fldCharType="begin" w:fldLock="1"/>
            </w:r>
            <w:r w:rsidRPr="004C28F5">
              <w:rPr>
                <w:rFonts w:cstheme="minorHAnsi"/>
                <w:b/>
                <w:noProof/>
                <w:sz w:val="18"/>
                <w:szCs w:val="18"/>
                <w:lang w:val="en-GB"/>
              </w:rPr>
              <w:instrText>ADDIN CSL_CITATION { "citationItems" : [ { "id" : "ITEM-1", "itemData" : { "DOI" : "10.1016/j.ophtha.2015.11.010", "ISBN" : "1549-4713 (Electronic)\\r0161-6420 (Linking)", "ISSN" : "15494713", "PMID" : "26826749", "abstract" : "Purpose To determine the effectiveness of different interventions to slow down the progression of myopia in children. Methods We searched MEDLINE, EMBASE, Cochrane Central Register of Controlled Trials, World Health Organization International Clinical Trials Registry Platform, and ClinicalTrials.gov from inception to August 2014. We selected randomized controlled trials (RCTs) involving interventions for controlling the progression of myopia in children with a treatment duration of at least 1 year for analysis. Main Outcome Measures The primary outcomes were mean annual change in refraction (diopters/year) and mean annual change in axial length (millimeters/year). Results Thirty RCTs (involving 5422 eyes) were identified. Network meta-analysis showed that in comparison with placebo or single vision spectacle lenses, high-dose atropine (refraction change: 0.68 [0.52-0.84]; axial length change: -0.21 [-0.28 to -0.16]), moderate-dose atropine (refraction change: 0.53 [0.28-0.77]; axial length change: -0.21 [-0.32 to -0.12]), and low-dose atropine (refraction change: 0.53 [0.21-0.85]; axial length change: -0.15 [-0.25 to -0.05]) markedly slowed myopia progression. Pirenzepine (refraction change: 0.29 [0.05-0.52]; axial length change: -0.09 [-0.17 to -0.01]), orthokeratology (axial length change: -0.15 [-0.22 to -0.08]), and peripheral defocus modifying contact lenses (axial length change: -0.11 [-0.20 to -0.03]) showed moderate effects. Progressive addition spectacle lenses (refraction change: 0.14 [0.02-0.26]; axial length change: -0.04 [-0.09 to -0.01]) showed slight effects. Conclusions This network analysis indicates that a range of interventions can significantly reduce myopia progression when compared with single vision spectacle lenses or placebo. In terms of refraction, atropine, pirenzepine, and progressive addition spectacle lenses were effective. In terms of axial length, atropine, orthokeratology, peripheral defocus modifying contact lenses, pirenzepine, and progressive addition spectacle lenses were effective. The most effective interventions were pharmacologic, that is, muscarinic antagonists such as atropine and pirenzepine. Certain specially designed contact lenses, including orthokeratology and peripheral defocus modifying contact lenses, had moderate effects, whereas specially designed spectacle lenses showed minimal effect.", "author" : [ { "dropping-particle" : "", "family" : "Huang", "given" : "Jinhai", "non-dropping-particle" : "", "parse-names" : false, "suffix" : "" }, { "dropping-particle" : "", "family" : "Wen", "given" : "Daizong", "non-dropping-particle" : "", "parse-names" : false, "suffix" : "" }, { "dropping-particle" : "", "family" : "Wang", "given" : "Qinmei", "non-dropping-particle" : "", "parse-names" : false, "suffix" : "" }, { "dropping-particle" : "", "family" : "McAlinden", "given" : "Colm", "non-dropping-particle" : "", "parse-names" : false, "suffix" : "" }, { "dropping-particle" : "", "family" : "Flitcroft", "given" : "Ian", "non-dropping-particle" : "", "parse-names" : false, "suffix" : "" }, { "dropping-particle" : "", "family" : "Chen", "given" : "Haisi", "non-dropping-particle" : "", "parse-names" : false, "suffix" : "" }, { "dropping-particle" : "", "family" : "Saw", "given" : "Seang Mei", "non-dropping-particle" : "", "parse-names" : false, "suffix" : "" }, { "dropping-particle" : "", "family" : "Chen", "given" : "Hao", "non-dropping-particle" : "", "parse-names" : false, "suffix" : "" }, { "dropping-particle" : "", "family" : "Bao", "given" : "Fangjun", "non-dropping-particle" : "", "parse-names" : false, "suffix" : "" }, { "dropping-particle" : "", "family" : "Zhao", "given" : "Yune", "non-dropping-particle" : "", "parse-names" : false, "suffix" : "" }, { "dropping-particle" : "", "family" : "Hu", "given" : "Liang", "non-dropping-particle" : "", "parse-names" : false, "suffix" : "" }, { "dropping-particle" : "", "family" : "Li", "given" : "Xuexi", "non-dropping-particle" : "", "parse-names" : false, "suffix" : "" }, { "dropping-particle" : "", "family" : "Gao", "given" : "Rongrong", "non-dropping-particle" : "", "parse-names" : false, "suffix" : "" }, { "dropping-particle" : "", "family" : "Lu", "given" : "Weicong", "non-dropping-particle" : "", "parse-names" : false, "suffix" : "" }, { "dropping-particle" : "", "family" : "Du", "given" : "Yaoqiang", "non-dropping-particle" : "", "parse-names" : false, "suffix" : "" }, { "dropping-particle" : "", "family" : "Jinag", "given" : "Zhengxuan", "non-dropping-particle" : "", "parse-names" : false, "suffix" : "" }, { "dropping-particle" : "", "family" : "Yu", "given" : "Ayong", "non-dropping-particle" : "", "parse-names" : false, "suffix" : "" }, { "dropping-particle" : "", "family" : "Lian", "given" : "Hengli", "non-dropping-particle" : "", "parse-names" : false, "suffix" : "" }, { "dropping-particle" : "", "family" : "Jiang", "given" : "Qiuruo", "non-dropping-particle" : "", "parse-names" : false, "suffix" : "" }, { "dropping-particle" : "", "family" : "Yu", "given" : "Ye", "non-dropping-particle" : "", "parse-names" : false, "suffix" : "" }, { "dropping-particle" : "", "family" : "Qu", "given" : "Jia", "non-dropping-particle" : "", "parse-names" : false, "suffix" : "" } ], "container-title" : "Ophthalmology", "id" : "ITEM-1", "issue" : "4", "issued" : { "date-parts" : [ [ "2016" ] ] }, "page" : "697-708", "title" : "Efficacy comparison of 16 interventions for myopia control in children: A network meta-analysis.", "type" : "article-journal", "volume" : "123" }, "uris" : [ "http://www.mendeley.com/documents/?uuid=87add124-c7d5-450c-b892-e8e1b9b5f2c1" ] } ], "mendeley" : { "formattedCitation" : "&lt;sup&gt;25&lt;/sup&gt;", "plainTextFormattedCitation" : "25", "previouslyFormattedCitation" : "&lt;sup&gt;25&lt;/sup&gt;" }, "properties" : {  }, "schema" : "https://github.com/citation-style-language/schema/raw/master/csl-citation.json" }</w:instrText>
            </w:r>
            <w:r w:rsidRPr="004C28F5">
              <w:rPr>
                <w:rFonts w:cstheme="minorHAnsi"/>
                <w:b/>
                <w:noProof/>
                <w:sz w:val="18"/>
                <w:szCs w:val="18"/>
                <w:lang w:val="en-GB"/>
              </w:rPr>
              <w:fldChar w:fldCharType="separate"/>
            </w:r>
            <w:r w:rsidRPr="004C28F5">
              <w:rPr>
                <w:rFonts w:cstheme="minorHAnsi"/>
                <w:noProof/>
                <w:sz w:val="18"/>
                <w:szCs w:val="18"/>
                <w:vertAlign w:val="superscript"/>
                <w:lang w:val="en-GB"/>
              </w:rPr>
              <w:t>25</w:t>
            </w:r>
            <w:r w:rsidRPr="004C28F5">
              <w:rPr>
                <w:rFonts w:cstheme="minorHAnsi"/>
                <w:b/>
                <w:noProof/>
                <w:sz w:val="18"/>
                <w:szCs w:val="18"/>
                <w:lang w:val="en-GB"/>
              </w:rPr>
              <w:fldChar w:fldCharType="end"/>
            </w:r>
          </w:p>
        </w:tc>
        <w:tc>
          <w:tcPr>
            <w:tcW w:w="710"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Li 2016</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"abstract" : "Abstract: Purpose: To compare the efficacy, safety and acceptability of a treatment group (Orthokeratology) to a control group (single vision Spectacles) on slowing axial elongation in children. Methods: We searched studies in MEDLINE, EMBASE and the Cochrane Library up to January 2015 for randomized controlled trials (RCTs) and observational studies. We pooled the mean differences between the Orthokeratology and Control groups for axial elongation and the OR for rates of adverse events and dropout. Results: Three RCTs and six cohort studies with 667 children aged 6-16 years old were included. Two years' mean differences in axial elongation were -0.27 mm (95% confidence intervals [CI], -0.32 to -0.23) in all studies, -0.28 mm (95% CI, -0.35 to -0.20) in RCTs and -0.27 mm (95% CI, -0.32 to -0.22) in cohort studies (p &lt; 0.01). At 6 months, 1 year, 1.5 years and 2 years, mean differences in axial elongation were -0.13 mm, -0.19 mm, -0.23 mm, and -0.27 mm (p &lt; 0.01), respectively. The effect was greater in Asian children than Caucasian (-0.28 mm versus -0.22 mm) and in children with moderate to high myopia when compared to children with low myopia (-0.35 mm versus -0.25 mm). Orthokeratology had more non-significant adverse events (odd ratio [OR], 8.87; 95% CI, 3.79-20.74; p &lt; 0.01) but comparable dropout rates (OR = 0.84, 95% CI, 0.40-1.74, p = 0.64) than control. Conclusion: Orthokeratology has significantly greater efficacy in controlling axial elongation in children compared to Spectacle correction. The safety and acceptability results are good, and there appears to be a greater myopia control effect in Chinese children compared to Caucasians, and in those with higher initial myopia. Copyright &amp;#xa9; 2016 Taylor &amp; Francis Group, LLC.", "author" : [ { "dropping-particle" : "", "family" : "Li", "given" : "Shi-Ming", "non-dropping-particle" : "", "parse-names" : false, "suffix" : "" }, { "dropping-particle" : "", "family" : "Kang", "given" : "Meng-Tian", "non-dropping-particle" : "", "parse-names" : false, "suffix" : "" }, { "dropping-particle" : "", "family" : "Wu", "given" : "Shan-Shan", "non-dropping-particle" : "", "parse-names" : false, "suffix" : "" }, { "dropping-particle" : "", "family" : "Liu", "given" : "Luo-Ru", "non-dropping-particle" : "", "parse-names" : false, "suffix" : "" }, { "dropping-particle" : "", "family" : "Li", "given" : "He", "non-dropping-particle" : "", "parse-names" : false, "suffix" : "" }, { "dropping-particle" : "", "family" : "Chen", "given" : "Zhuo", "non-dropping-particle" : "", "parse-names" : false, "suffix" : "" }, { "dropping-particle" : "", "family" : "Wang", "given" : "Ningli", "non-dropping-particle" : "", "parse-names" : false, "suffix" : "" } ], "container-title" : "Current Eye Research", "id" : "ITEM-1", "issue" : "5", "issued" : { "date-parts" : [ [ "2016" ] ] }, "page" : "600-608", "publisher" : "Taylor and Francis Ltd (E-mail: healthcare.enquiries@informa.com)", "title" : "Efficacy, Safety and Acceptability of Orthokeratology on Slowing Axial Elongation in Myopic Children by Meta-Analysis", "type" : "article-journal", "volume" : "41" }, "uris" : [ "http://www.mendeley.com/documents/?uuid=36dba487-7993-42ed-baa3-e08914625ea2" ] } ], "mendeley" : { "formattedCitation" : "&lt;sup&gt;13&lt;/sup&gt;", "plainTextFormattedCitation" : "13", "previouslyFormattedCitation" : "&lt;sup&gt;13&lt;/sup&gt;"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13</w:t>
            </w:r>
            <w:r w:rsidRPr="004C28F5">
              <w:rPr>
                <w:rFonts w:cstheme="minorHAnsi"/>
                <w:b/>
                <w:sz w:val="18"/>
                <w:szCs w:val="18"/>
                <w:lang w:val="en-GB"/>
              </w:rPr>
              <w:fldChar w:fldCharType="end"/>
            </w:r>
          </w:p>
        </w:tc>
        <w:tc>
          <w:tcPr>
            <w:tcW w:w="710"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Shih 2016</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"10.1097/ICL.0000000000000189", "ISBN" : "1542-233X (Electronic)\\r1542-2321 (Linking)", "ISSN" : "1542-233X", "PMID" : "26340385", "abstract" : "OBJECTIVE: The most effective strategy to reduce myopia-related complications is to prevent myopia progression during childhood. This review article examines the latest published evidence on the use of atropine in childhood myopia control and discusses practical aspects of applying the findings to clinical practice. Future directions including possible forms of combination therapy are examined. METHODS: A literature search with a focus on randomized controlled trials (RCTs) and meta-analyses on the subject was conducted. Observational studies with control groups were also reviewed to discuss issues regarding feasibility of using atropine for myopia control in clinical practice. RESULTS: Five RCTs and 2 meta-analyses were found. The studies all found beneficial effects of atropine in myopia control, as well as a clear but perhaps clinically insignificant dose-response relationship between atropine and myopia progression rates. Available evidence however is focused on predominantly Chinese populations, and there is a current lack of guidance on timing of therapy initiation, duration of therapy, and treatment cessation. For future directions, combining atropine with other forms of myopia control would be worth considering. CONCLUSIONS: Atropine is robust option for childhood myopia control. Further evidence including RCTs in different populations as well as the upcoming 5-year atropine for the treatment of myopia 2 trial results will provide much needed answers for wider acceptance of its use.", "author" : [ { "dropping-particle" : "", "family" : "Shih", "given" : "Kendrick Co", "non-dropping-particle" : "", "parse-names" : false, "suffix" : "" }, { "dropping-particle" : "", "family" : "Chan", "given" : "Tommy Chung-Yan", "non-dropping-particle" : "", "parse-names" : false, "suffix" : "" }, { "dropping-particle" : "", "family" : "Ng", "given" : "Alex Lap-Ki", "non-dropping-particle" : "", "parse-names" : false, "suffix" : "" }, { "dropping-particle" : "", "family" : "Lai", "given" : "Jimmy Shiu-Ming", "non-dropping-particle" : "", "parse-names" : false, "suffix" : "" }, { "dropping-particle" : "", "family" : "Li", "given" : "Walton Wai-Tat", "non-dropping-particle" : "", "parse-names" : false, "suffix" : "" }, { "dropping-particle" : "", "family" : "Cheng", "given" : "Arthur Chak-Kwan", "non-dropping-particle" : "", "parse-names" : false, "suffix" : "" }, { "dropping-particle" : "", "family" : "Fan", "given" : "Dorothy Shu-Ping", "non-dropping-particle" : "", "parse-names" : false, "suffix" : "" } ], "container-title" : "Eye &amp; contact lens", "id" : "ITEM-1", "issue" : "1", "issued" : { "date-parts" : [ [ "2016" ] ] }, "page" : "16-23", "publisher" : "Lippincott Williams and Wilkins (E-mail: kathiest.clai@apta.org)", "title" : "Use of Atropine for Prevention of Childhood Myopia Progression in Clinical Practice.", "type" : "article-journal", "volume" : "42" }, "uris" : [ "http://www.mendeley.com/documents/?uuid=7ca89a7c-a170-4a7b-8f4e-72d8ab1fc6a4" ] } ], "mendeley" : { "formattedCitation" : "&lt;sup&gt;19&lt;/sup&gt;", "plainTextFormattedCitation" : "19", "previouslyFormattedCitation" : "&lt;sup&gt;19&lt;/sup&gt;"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19</w:t>
            </w:r>
            <w:r w:rsidRPr="004C28F5">
              <w:rPr>
                <w:rFonts w:cstheme="minorHAnsi"/>
                <w:b/>
                <w:sz w:val="18"/>
                <w:szCs w:val="18"/>
                <w:lang w:val="en-GB"/>
              </w:rPr>
              <w:fldChar w:fldCharType="end"/>
            </w:r>
          </w:p>
        </w:tc>
        <w:tc>
          <w:tcPr>
            <w:tcW w:w="799"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Chassine 2015</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"10.5301/ejo.5000571", "ISSN" : "1724-6016", "PMID" : "25655598", "abstract" : "PURPOSE Myopia has increased worldwide during recent years and is becoming a serious public health problem. In East Asia, the prevalence can reach 80% of the population. The focus for screening and interventions should be on early life during childhood when myopia progression is faster. METHODS Review and discussion of the recent literature on potential interventions for preventing the development of myopia or slowing its progression. RESULTS Increased time spent outdoors is a protective factor for myopia progression. Undercorrection increased myopia progression and optimal correction is mandatory. The use of progressive or bifocal lenses (spectacles or contact lenses) may yield a slowing of myopia by limiting eye accommodation. Rigid gas permeable contact lenses were found to have few effects on myopic eye growth. A marked slowing of myopia was observed with orthokeratology by temporarily changing the curvature radius of the cornea. The largest positive effects for slowing myopia progression were observed with atropine eyedrops with an interesting dose effect. The benefit of surgical scleral reinforcement is reserved for severe and progressive myopia. CONCLUSIONS In this review, we discuss optical and pharmacologic interventions that can be used in myopia management.", "author" : [ { "dropping-particle" : "", "family" : "Chassine", "given" : "Thomas", "non-dropping-particle" : "", "parse-names" : false, "suffix" : "" }, { "dropping-particle" : "", "family" : "Villain", "given" : "Max", "non-dropping-particle" : "", "parse-names" : false, "suffix" : "" }, { "dropping-particle" : "", "family" : "Hamel", "given" : "Christian P", "non-dropping-particle" : "", "parse-names" : false, "suffix" : "" }, { "dropping-particle" : "", "family" : "Daien", "given" : "Vincent", "non-dropping-particle" : "", "parse-names" : false, "suffix" : "" } ], "container-title" : "European journal of ophthalmology", "id" : "ITEM-1", "issue" : "4", "issued" : { "date-parts" : [ [ "0" ] ] }, "note" : "NULL", "page" : "280-5", "title" : "How can we prevent myopia progression?", "type" : "article-journal", "volume" : "25" }, "uris" : [ "http://www.mendeley.com/documents/?uuid=ad911618-f1e6-35d2-8cb9-c91c7a0c8a0e" ] } ], "mendeley" : { "formattedCitation" : "&lt;sup&gt;29&lt;/sup&gt;", "plainTextFormattedCitation" : "29", "previouslyFormattedCitation" : "&lt;sup&gt;29&lt;/sup&gt;"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29</w:t>
            </w:r>
            <w:r w:rsidRPr="004C28F5">
              <w:rPr>
                <w:rFonts w:cstheme="minorHAnsi"/>
                <w:b/>
                <w:sz w:val="18"/>
                <w:szCs w:val="18"/>
                <w:lang w:val="en-GB"/>
              </w:rPr>
              <w:fldChar w:fldCharType="end"/>
            </w:r>
          </w:p>
        </w:tc>
        <w:tc>
          <w:tcPr>
            <w:tcW w:w="715"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Si 2015</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"abstract" : "PURPOSE: To conduct a meta-analysis on the effects of orthokeratology in slowing myopia progression.METHODS: A literature search was performed in PubMed, Embase, and the Cochrane Library. Methodological quality of the literature was evaluated according to the Jadad score. The statistical analysis was carried out using RevMan 5.2.6 software.RESULTS: The present meta-analysis included seven studies (two randomized controlled trials and five nonrandomized controlled trials) with 435 subjects (orthokeratology group, 218; control group, 217) aged 6 to 16 years. The follow-up time was 2 years for the seven studies. The weighted mean difference was -0.26 mm (95% confidence interval, -0.31 to -0.21; p &lt; 0.001) for axial length elongation based on data from seven studies and -0.18 mm (95% confidence interval, -0.33 to -0.03; p = 0.02) for vitreous chamber depth elongation based on data from two studies.CONCLUSIONS: Our results suggest that orthokeratology may slow myopia progression in children. Further large-scale studies are needed to substantiate the current result and to investigate the long-term effects of orthokeratology in myopia control.", "author" : [ { "dropping-particle" : "", "family" : "Si", "given" : "J.-K.", "non-dropping-particle" : "", "parse-names" : false, "suffix" : "" }, { "dropping-particle" : "", "family" : "Tang", "given" : "K.", "non-dropping-particle" : "", "parse-names" : false, "suffix" : "" }, { "dropping-particle" : "", "family" : "Bi", "given" : "H.-S.", "non-dropping-particle" : "", "parse-names" : false, "suffix" : "" }, { "dropping-particle" : "", "family" : "Guo", "given" : "D.-D.", "non-dropping-particle" : "", "parse-names" : false, "suffix" : "" }, { "dropping-particle" : "", "family" : "Guo", "given" : "J.-G.", "non-dropping-particle" : "", "parse-names" : false, "suffix" : "" }, { "dropping-particle" : "", "family" : "Wang", "given" : "X.-R.", "non-dropping-particle" : "", "parse-names" : false, "suffix" : "" } ], "container-title" : "Optometry and vision science : official publication of the American Academy of Optometry", "id" : "ITEM-1", "issue" : "3", "issued" : { "date-parts" : [ [ "2015" ] ] }, "page" : "252-257", "title" : "Orthokeratology for myopia control: a meta-analysis", "type" : "article-journal", "volume" : "92" }, "uris" : [ "http://www.mendeley.com/documents/?uuid=d8b2ab6b-b7cb-475e-841e-3062e0be93db" ] } ], "mendeley" : { "formattedCitation" : "&lt;sup&gt;23&lt;/sup&gt;", "plainTextFormattedCitation" : "23", "previouslyFormattedCitation" : "&lt;sup&gt;23&lt;/sup&gt;"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23</w:t>
            </w:r>
            <w:r w:rsidRPr="004C28F5">
              <w:rPr>
                <w:rFonts w:cstheme="minorHAnsi"/>
                <w:b/>
                <w:sz w:val="18"/>
                <w:szCs w:val="18"/>
                <w:lang w:val="en-GB"/>
              </w:rPr>
              <w:fldChar w:fldCharType="end"/>
            </w:r>
          </w:p>
        </w:tc>
        <w:tc>
          <w:tcPr>
            <w:tcW w:w="715"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Sun 2015</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"10.1371/journal.pone.0124535", "ISSN" : "1932-6203", "PMID" : "25855979", "abstract" : "OBJECTIVE To evaluate the clinical treatment effects of orthokeratology to slow the progression of myopia. METHODS Several well-designed controlled studies have investigated the effects of orthokeratology in school-aged children. We conducted this meta-analysis to better evaluate the existing evidence. Relevant studies were identified in the Medline and Embase database without language limitations. The main outcomes included axial length and vitreous chamber depth reported as the mean \u00b1 standard deviation. The results were pooled and assessed with a fixed-effects model analysis. Subgroup analyses were performed according to geographical location and study design. RESULTS Of the seven eligible studies, all reported axial length changes after 2 years, while two studies reported vitreous chamber depth changes. The pooled estimates indicated that change in axial length in the ortho-k group was 0.27 mm (95% confidence interval [CI]: 0.22, 0.32) less than the control group. Myopic progression was reduced by approximately 45%. The combined results revealed that the difference in vitreous chamber depth between the two groups was 0.22 mm (95% confidence interval [CI]: 0.14, 0.31). None of the studies reported severe adverse events. CONCLUSION The overall findings suggest that ortho-k can slow myopia progression in school-aged children.", "author" : [ { "dropping-particle" : "", "family" : "Sun", "given" : "Yuan", "non-dropping-particle" : "", "parse-names" : false, "suffix" : "" }, { "dropping-particle" : "", "family" : "Xu", "given" : "Fan", "non-dropping-particle" : "", "parse-names" : false, "suffix" : "" }, { "dropping-particle" : "", "family" : "Zhang", "given" : "Ting", "non-dropping-particle" : "", "parse-names" : false, "suffix" : "" }, { "dropping-particle" : "", "family" : "Liu", "given" : "Manli", "non-dropping-particle" : "", "parse-names" : false, "suffix" : "" }, { "dropping-particle" : "", "family" : "Wang", "given" : "Danyang", "non-dropping-particle" : "", "parse-names" : false, "suffix" : "" }, { "dropping-particle" : "", "family" : "Chen", "given" : "Yile", "non-dropping-particle" : "", "parse-names" : false, "suffix" : "" }, { "dropping-particle" : "", "family" : "Liu", "given" : "Quan", "non-dropping-particle" : "", "parse-names" : false, "suffix" : "" } ], "container-title" : "PLOS ONE", "editor" : [ { "dropping-particle" : "", "family" : "Al-Ghoul", "given" : "Kristin J.", "non-dropping-particle" : "", "parse-names" : false, "suffix" : "" } ], "id" : "ITEM-1", "issue" : "4", "issued" : { "date-parts" : [ [ "2015", "4", "9" ] ] }, "page" : "e0124535", "title" : "Orthokeratology to Control Myopia Progression: A Meta-Analysis.", "type" : "article-journal", "volume" : "10" }, "uris" : [ "http://www.mendeley.com/documents/?uuid=5cbd4f63-f505-3c2e-99b7-601c37ee9a70" ] } ], "mendeley" : { "formattedCitation" : "&lt;sup&gt;22&lt;/sup&gt;", "plainTextFormattedCitation" : "22", "previouslyFormattedCitation" : "&lt;sup&gt;22&lt;/sup&gt;"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22</w:t>
            </w:r>
            <w:r w:rsidRPr="004C28F5">
              <w:rPr>
                <w:rFonts w:cstheme="minorHAnsi"/>
                <w:b/>
                <w:sz w:val="18"/>
                <w:szCs w:val="18"/>
                <w:lang w:val="en-GB"/>
              </w:rPr>
              <w:fldChar w:fldCharType="end"/>
            </w:r>
          </w:p>
        </w:tc>
        <w:tc>
          <w:tcPr>
            <w:tcW w:w="715"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sz w:val="16"/>
                <w:szCs w:val="16"/>
                <w:lang w:val="en-US"/>
              </w:rPr>
              <w:t>Wen 2015</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"10.1155/2015/360806", "ISSN" : "2090-004X", "PMID" : "26221539", "abstract" : "Background. To evaluate the efficacy and acceptability of orthokeratology for slowing myopic progression in children with a well conducted evidence-based analysis. Design. Meta-analysis. Participants. Children from previously reported comparative studies were treated by orthokeratology versus control. Methods. A systematic literature retrieval was conducted in MEDLINE, EMBASE, Cochrane Library, World Health Organization International Clinical Trials Registry Platform, and ClinicalTrials.gov. The included studies were subjected to meta-analysis using Stata version 10.1. Main Outcome Measures. Axial length change (efficacy) and dropout rates (acceptability) during 2-year follow-up. Results. Eight studies involving 769 subjects were included. At 2-year follow-up, a statistically significant difference was observed in axial length change between the orthokeratology and control groups, with a weighted mean difference (WMD) of -0.25\u2009mm (95% CI, -0.30 to -0.21). The pooled myopic control rate declined with time, with 55, 51, 51, and 41% obtained after 6, 12, 18, and 24 months of treatment, respectively. No statistically significant difference was obtained for dropout rates between the orthokeratology and control groups at 2-year follow-up (OR, 0.79; 95% CI, 0.52 to 1.22). Conclusions. Orthokeratology is effective and acceptable for slowing myopic progression in children with careful education and monitoring.", "author" : [ { "dropping-particle" : "", "family" : "Wen", "given" : "Daizong", "non-dropping-particle" : "", "parse-names" : false, "suffix" : "" }, { "dropping-particle" : "", "family" : "Huang", "given" : "Jinhai", "non-dropping-particle" : "", "parse-names" : false, "suffix" : "" }, { "dropping-particle" : "", "family" : "Chen", "given" : "Hao", "non-dropping-particle" : "", "parse-names" : false, "suffix" : "" }, { "dropping-particle" : "", "family" : "Bao", "given" : "Fangjun", "non-dropping-particle" : "", "parse-names" : false, "suffix" : "" }, { "dropping-particle" : "", "family" : "Savini", "given" : "Giacomo", "non-dropping-particle" : "", "parse-names" : false, "suffix" : "" }, { "dropping-particle" : "", "family" : "Calossi", "given" : "Antonio", "non-dropping-particle" : "", "parse-names" : false, "suffix" : "" }, { "dropping-particle" : "", "family" : "Chen", "given" : "Haisi", "non-dropping-particle" : "", "parse-names" : false, "suffix" : "" }, { "dropping-particle" : "", "family" : "Li", "given" : "Xuexi", "non-dropping-particle" : "", "parse-names" : false, "suffix" : "" }, { "dropping-particle" : "", "family" : "Wang", "given" : "Qinmei", "non-dropping-particle" : "", "parse-names" : false, "suffix" : "" } ], "container-title" : "Journal of ophthalmology", "id" : "ITEM-1", "issued" : { "date-parts" : [ [ "2015" ] ] }, "page" : "360806", "title" : "Efficacy and Acceptability of Orthokeratology for Slowing Myopic Progression in Children: A Systematic Review and Meta-Analysis.", "type" : "article-journal", "volume" : "2015" }, "uris" : [ "http://www.mendeley.com/documents/?uuid=fad6f54b-6d19-3e49-936e-1f7b70cecc1d" ] } ], "mendeley" : { "formattedCitation" : "&lt;sup&gt;24&lt;/sup&gt;", "plainTextFormattedCitation" : "24", "previouslyFormattedCitation" : "&lt;sup&gt;24&lt;/sup&gt;"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24</w:t>
            </w:r>
            <w:r w:rsidRPr="004C28F5">
              <w:rPr>
                <w:rFonts w:cstheme="minorHAnsi"/>
                <w:b/>
                <w:sz w:val="18"/>
                <w:szCs w:val="18"/>
                <w:lang w:val="en-GB"/>
              </w:rPr>
              <w:fldChar w:fldCharType="end"/>
            </w:r>
          </w:p>
        </w:tc>
        <w:tc>
          <w:tcPr>
            <w:tcW w:w="715"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Li 2014</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"10.1097/OPX.0000000000000178.", "ISBN" : "1538-9235", "ISSN" : "10405488", "abstract" : "Purpose. To conduct a meta-analysis on the effects of atropine in slowing myopia progression and to compare Asian and white children and randomized controlled trials (RCTs) and observational studies. Methods. Randomized controlled trials and observational studies that assessed the effects of all concentrations of atropine in slowing myopia progression in children were searched from MEDLINE, EMBASE, and the Cochrane Library up to April 2013. Jadad scoring was used to evaluate the quality of RCTs, and the Newcastle-Ottawa Scale was used for observational studies. Results. Four RCTs and seven cohort studies (a kind of observational study) with 1815 children aged 5 to 15 years were included. The children had a baseline refraction of j0.50 to j9.75 diopters (D) and were followed up for 22.0 months (range, 12.0 to 36.5 months). The weighted mean differences in myopia progression in RCTs and cohort studies of Asian children were 0.55 D per year (p G 0.01) and 0.54 D per year (p G 0.001), respectively, and 0.35 D per year (p = 0.01) in cohort studies of white children.Compared with placebo, the risk of fast myopia progression (91.0Dper year) using atropine was significantly decreased in both RCTs (odds ratio [OR], 0.14; p G 0.01) and cohort studies (OR, 0.08; p G 0.01), and the benefit of slowmyopia progression (G0.50 D per year) using atropine was significantly increased in both RCTs (OR, 6.73; p G 0.01) and cohort studies (OR, 22.10; p G 0.01). Conclusions. Atropine could significantly slow myopia progression in children, with greater effects in Asian than in white children. Randomized controlled trials and cohort studies provided comparable effects. (Optom", "author" : [ { "dropping-particle" : "", "family" : "Li", "given" : "Shi-Ming", "non-dropping-particle" : "", "parse-names" : false, "suffix" : "" }, { "dropping-particle" : "", "family" : "Wu", "given" : "Shan-Shan", "non-dropping-particle" : "", "parse-names" : false, "suffix" : "" }, { "dropping-particle" : "", "family" : "Kang", "given" : "Meng-Tian", "non-dropping-particle" : "", "parse-names" : false, "suffix" : "" }, { "dropping-particle" : "", "family" : "Liu", "given" : "Ying", "non-dropping-particle" : "", "parse-names" : false, "suffix" : "" }, { "dropping-particle" : "", "family" : "Jia", "given" : "Shu-Mei", "non-dropping-particle" : "", "parse-names" : false, "suffix" : "" }, { "dropping-particle" : "", "family" : "Li", "given" : "Si-Yuan", "non-dropping-particle" : "", "parse-names" : false, "suffix" : "" }, { "dropping-particle" : "", "family" : "Zhan", "given" : "Si-Yan", "non-dropping-particle" : "", "parse-names" : false, "suffix" : "" }, { "dropping-particle" : "", "family" : "Liu", "given" : "Luo-Ru", "non-dropping-particle" : "", "parse-names" : false, "suffix" : "" }, { "dropping-particle" : "", "family" : "Li", "given" : "He", "non-dropping-particle" : "", "parse-names" : false, "suffix" : "" }, { "dropping-particle" : "", "family" : "Chen", "given" : "Wei", "non-dropping-particle" : "", "parse-names" : false, "suffix" : "" }, { "dropping-particle" : "", "family" : "Yang", "given" : "Zhou", "non-dropping-particle" : "", "parse-names" : false, "suffix" : "" }, { "dropping-particle" : "", "family" : "Sun", "given" : "Yun-Yun", "non-dropping-particle" : "", "parse-names" : false, "suffix" : "" }, { "dropping-particle" : "", "family" : "Wang", "given" : "Ningli", "non-dropping-particle" : "", "parse-names" : false, "suffix" : "" }, { "dropping-particle" : "", "family" : "Millodot", "given" : "Michel", "non-dropping-particle" : "", "parse-names" : false, "suffix" : "" } ], "container-title" : "Optometry and vision science : official publication of the American Academy of Optometry", "id" : "ITEM-1", "issue" : "3", "issued" : { "date-parts" : [ [ "2014" ] ] }, "page" : "342-350", "title" : "Atropine slows myopia progression more in Asian than white children by meta-analysis.", "type" : "article-journal", "volume" : "91" }, "uris" : [ "http://www.mendeley.com/documents/?uuid=e1a19ee2-40ef-454c-8fd9-d30b76e2d1c6" ] } ], "mendeley" : { "formattedCitation" : "&lt;sup&gt;28&lt;/sup&gt;", "plainTextFormattedCitation" : "28", "previouslyFormattedCitation" : "&lt;sup&gt;28&lt;/sup&gt;"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28</w:t>
            </w:r>
            <w:r w:rsidRPr="004C28F5">
              <w:rPr>
                <w:rFonts w:cstheme="minorHAnsi"/>
                <w:b/>
                <w:sz w:val="18"/>
                <w:szCs w:val="18"/>
                <w:lang w:val="en-GB"/>
              </w:rPr>
              <w:fldChar w:fldCharType="end"/>
            </w:r>
          </w:p>
        </w:tc>
        <w:tc>
          <w:tcPr>
            <w:tcW w:w="760"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Sherwin 2012</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"10.1016/j.ophtha.2012.04.020", "ISSN" : "01616420", "author" : [ { "dropping-particle" : "", "family" : "Sherwin", "given" : "Justin C.", "non-dropping-particle" : "", "parse-names" : false, "suffix" : "" }, { "dropping-particle" : "", "family" : "Reacher", "given" : "Mark H.", "non-dropping-particle" : "", "parse-names" : false, "suffix" : "" }, { "dropping-particle" : "", "family" : "Keogh", "given" : "Ruth H.", "non-dropping-particle" : "", "parse-names" : false, "suffix" : "" }, { "dropping-particle" : "", "family" : "Khawaja", "given" : "Anthony P.", "non-dropping-particle" : "", "parse-names" : false, "suffix" : "" }, { "dropping-particle" : "", "family" : "Mackey", "given" : "David A.", "non-dropping-particle" : "", "parse-names" : false, "suffix" : "" }, { "dropping-particle" : "", "family" : "Foster", "given" : "Paul J.", "non-dropping-particle" : "", "parse-names" : false, "suffix" : "" } ], "container-title" : "Ophthalmology", "id" : "ITEM-1", "issue" : "10", "issued" : { "date-parts" : [ [ "2012", "10" ] ] }, "page" : "2141-2151", "title" : "The association between time spent outdoors and myopia in children and adolescents: a systematic review and meta-analysis.", "type" : "article-journal", "volume" : "119" }, "uris" : [ "http://www.mendeley.com/documents/?uuid=730efe70-2cc3-372c-aeaf-7838e105a61a" ] } ], "mendeley" : { "formattedCitation" : "&lt;sup&gt;27&lt;/sup&gt;", "plainTextFormattedCitation" : "27", "previouslyFormattedCitation" : "&lt;sup&gt;27&lt;/sup&gt;"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27</w:t>
            </w:r>
            <w:r w:rsidRPr="004C28F5">
              <w:rPr>
                <w:rFonts w:cstheme="minorHAnsi"/>
                <w:b/>
                <w:sz w:val="18"/>
                <w:szCs w:val="18"/>
                <w:lang w:val="en-GB"/>
              </w:rPr>
              <w:fldChar w:fldCharType="end"/>
            </w:r>
          </w:p>
        </w:tc>
        <w:tc>
          <w:tcPr>
            <w:tcW w:w="717"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Li 2011</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"10.1016/j.survophthal.2011.06.002", "ISSN" : "1879-3304", "PMID" : "21813146", "abstract" : "Myopia in school-aged children is a major public health problem in Asians that has been extensively studied. Multifocal lenses (MLs) are advocated as a substitute for single vision lenses (SVLs) to slow myopia progression in children, but results vary greatly across studies. We systematically searched currently available randomized controlled trials that compared the effects of MLs and SVLs in children. A meta-analysis of nine of these trials showed that MLs with powers ranging from +1.50 to +2.00D were associated with a statistically significantly decrease in myopia progression in school-aged children compared with SVLs. The benefit was greater in children with a higher level of myopia at baseline and sustained for a minimum of 24 months. Asian children appeared to have greater benefit from intervention with MLs than white children.Copyright \u00a9 2011 Elsevier Inc. All rights reserved.", "author" : [ { "dropping-particle" : "", "family" : "Li", "given" : "Shi-Ming", "non-dropping-particle" : "", "parse-names" : false, "suffix" : "" }, { "dropping-particle" : "", "family" : "Ji", "given" : "Ya-Zhou", "non-dropping-particle" : "", "parse-names" : false, "suffix" : "" }, { "dropping-particle" : "", "family" : "Wu", "given" : "Shan-Shan", "non-dropping-particle" : "", "parse-names" : false, "suffix" : "" }, { "dropping-particle" : "", "family" : "Zhan", "given" : "Si-Yan", "non-dropping-particle" : "", "parse-names" : false, "suffix" : "" }, { "dropping-particle" : "", "family" : "Wang", "given" : "Bo", "non-dropping-particle" : "", "parse-names" : false, "suffix" : "" }, { "dropping-particle" : "", "family" : "Liu", "given" : "Luo-Ru", "non-dropping-particle" : "", "parse-names" : false, "suffix" : "" }, { "dropping-particle" : "", "family" : "Li", "given" : "Si-Yuan", "non-dropping-particle" : "", "parse-names" : false, "suffix" : "" }, { "dropping-particle" : "", "family" : "Wang", "given" : "Ning-Li", "non-dropping-particle" : "", "parse-names" : false, "suffix" : "" }, { "dropping-particle" : "", "family" : "Wang", "given" : "Jie Jin", "non-dropping-particle" : "", "parse-names" : false, "suffix" : "" } ], "container-title" : "Survey of ophthalmology", "id" : "ITEM-1", "issue" : "5", "issued" : { "date-parts" : [ [ "2011", "9" ] ] }, "note" : "From Duplicate 1 (Multifocal versus single vision lenses intervention to slow progression of myopia in school-age children: a meta-analysis. - Li, Shi-Ming; Ji, Ya-Zhou; Wu, Shan-Shan; Zhan, Si-Yan; Wang, Bo; Liu, Luo-Ru; Li, Si-Yuan; Wang, Ning-Li; Wang, Jie Jin)\n\nNULL\n\nFrom Duplicate 2 (Multifocal versus single vision lenses intervention to slow progression of myopia in school-age children: a meta-analysis. - Li, Si-Yuan Shi-Ming; Ji, Ya-Zhou; Wu, Shan-Shan; Zhan, Si-Yan; Wang, Bo; Liu, Luo-Ru; Li, Si-Yuan Shi-Ming; Wang, Ning-Li; Wang, Jie Jin)\n\nFrom Duplicate 1 (Multifocal versus single vision lenses intervention to slow progression of myopia in school-age children: a meta-analysis. - Li, Shi-Ming; Ji, Ya-Zhou; Wu, Shan-Shan; Zhan, Si-Yan; Wang, Bo; Liu, Luo-Ru; Li, Si-Yuan; Wang, Ning-Li; Wang, Jie Jin)\n\nNULL", "page" : "451-460", "title" : "Multifocal versus single vision lenses intervention to slow progression of myopia in school-age children: a meta-analysis.", "type" : "article-journal", "volume" : "56" }, "uris" : [ "http://www.mendeley.com/documents/?uuid=4def0773-a1f9-4e5a-ba6f-55d2a431c7ba" ] } ], "mendeley" : { "formattedCitation" : "&lt;sup&gt;21&lt;/sup&gt;", "plainTextFormattedCitation" : "21", "previouslyFormattedCitation" : "&lt;sup&gt;21&lt;/sup&gt;"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21</w:t>
            </w:r>
            <w:r w:rsidRPr="004C28F5">
              <w:rPr>
                <w:rFonts w:cstheme="minorHAnsi"/>
                <w:b/>
                <w:sz w:val="18"/>
                <w:szCs w:val="18"/>
                <w:lang w:val="en-GB"/>
              </w:rPr>
              <w:fldChar w:fldCharType="end"/>
            </w:r>
          </w:p>
        </w:tc>
        <w:tc>
          <w:tcPr>
            <w:tcW w:w="717"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Song 2011</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"10.1089/jop.2011.0017", "ISSN" : "1080-7683", "abstract" : "Objectives: Myopia is the most common ocular disorder associated with increasing risk for chorioretinal degeneration, retinal detachment, and other vision-threatening abnormalities worldwide. Recently, atropine has been becoming a focus of attention due to its role in ameliorating the myopia progression in children. This meta-analysis was conducted to address the efficacy and safety of atropine on myopia in children and the dose-response relationship between atropine and annual rate of myopia progression. Methods: Controlled clinical trials were retrospectively analyzed to compare atropine and placebo for the treatment of myopia. The primary outcome measure was annual rate of myopia progression after daily atropine application over 1 year. Data were extracted from 6 randomized clinical trials and analyzed using standard meta-analysis and meta-regression methods. Results: Comparing with placebo, the effect size of atropine for retarding myopia progression was 0.773 diopters (D)/year [95% confidence interval (CI): 0.699-0.848]. Regression model, -0.728+1.281log (dose+1), revealed the dose-response relationship between atropine and myopia progression. The estimate of effect for 0.05%, 0.1%, and 0.25% atropine was -0.665 (95% CI: -1.070 to -0.260), -0.606 (95% CI: -0.967 to -0.245), and -0.442 (95% CI: -0.701 to -0.183) D/year respectively, whereas that for 0.5% and 1% was -0.208 (95% CI: -0.435-0.018) and 0.160 (95% CI: -0.293-0.613), respectively, suggesting that myopia might deteriorate at low dose of atropine but not at 0.5% atropine and 1% atropine within the duration of 6-24 months. No serious adverse event was reported during the period of treatment. The major adverse reactions associated with 0.5% and 1% atropine were photophobia, glare, and recurrent allergic blepharitis. Photochromatic lenses or sunglasses with ultraviolet protection could be used to minimize the glare and photophobia. Conclusion: In summary, 0.5% and 1% atropine was demonstrated to be effective and safe to ameliorate myopia progression in childhood with low-to-moderate myopia. &amp;#xa9; Copyright 2011, Mary Ann Liebert, Inc.", "author" : [ { "dropping-particle" : "", "family" : "Song", "given" : "Yan-yan", "non-dropping-particle" : "", "parse-names" : false, "suffix" : "" }, { "dropping-particle" : "", "family" : "Wang", "given" : "Hao", "non-dropping-particle" : "", "parse-names" : false, "suffix" : "" }, { "dropping-particle" : "", "family" : "Wang", "given" : "Bai-song", "non-dropping-particle" : "", "parse-names" : false, "suffix" : "" }, { "dropping-particle" : "", "family" : "Qi", "given" : "Hong", "non-dropping-particle" : "", "parse-names" : false, "suffix" : "" }, { "dropping-particle" : "", "family" : "Rong", "given" : "Zheng-xing", "non-dropping-particle" : "", "parse-names" : false, "suffix" : "" }, { "dropping-particle" : "", "family" : "Chen", "given" : "Hong-zhuan", "non-dropping-particle" : "", "parse-names" : false, "suffix" : "" }, { "dropping-particle" : "", "family" : "Y.-Y.", "given" : "Song", "non-dropping-particle" : "", "parse-names" : false, "suffix" : "" }, { "dropping-particle" : "", "family" : "H.", "given" : "Wang", "non-dropping-particle" : "", "parse-names" : false, "suffix" : "" }, { "dropping-particle" : "", "family" : "B.-S.", "given" : "Wang", "non-dropping-particle" : "", "parse-names" : false, "suffix" : "" }, { "dropping-particle" : "", "family" : "H.", "given" : "Qi", "non-dropping-particle" : "", "parse-names" : false, "suffix" : "" }, { "dropping-particle" : "", "family" : "Z.-X.", "given" : "Rong", "non-dropping-particle" : "", "parse-names" : false, "suffix" : "" }, { "dropping-particle" : "", "family" : "H.-Z.", "given" : "Chen", "non-dropping-particle" : "", "parse-names" : false, "suffix" : "" } ], "container-title" : "Journal of Ocular Pharmacology and Therapeutics", "id" : "ITEM-1", "issue" : "4", "issued" : { "date-parts" : [ [ "2011", "8" ] ] }, "page" : "361-368", "publisher" : "Mary Ann Liebert Inc. (140 Huguenot Street, New Rochelle NY 10801-5215, United States)", "publisher-place" : "United States", "title" : "Atropine in ameliorating the progression of myopia in children with mild to moderate myopia: A meta-analysis of controlled clinical trials.", "type" : "article-journal", "volume" : "27" }, "uris" : [ "http://www.mendeley.com/documents/?uuid=ec9176ce-a239-4741-a674-e7a43d3ec3ab" ] } ], "mendeley" : { "formattedCitation" : "&lt;sup&gt;20&lt;/sup&gt;", "plainTextFormattedCitation" : "20", "previouslyFormattedCitation" : "&lt;sup&gt;20&lt;/sup&gt;"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20</w:t>
            </w:r>
            <w:r w:rsidRPr="004C28F5">
              <w:rPr>
                <w:rFonts w:cstheme="minorHAnsi"/>
                <w:b/>
                <w:sz w:val="18"/>
                <w:szCs w:val="18"/>
                <w:lang w:val="en-GB"/>
              </w:rPr>
              <w:fldChar w:fldCharType="end"/>
            </w:r>
          </w:p>
        </w:tc>
        <w:tc>
          <w:tcPr>
            <w:tcW w:w="725"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Walline 2011</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"abstract" : "Nearsightedness (myopia) causes blurry vision when looking at distant objects. Highly nearsighted people are at greater risk of several vision-threatening problems such as retinal detachments, choroidal atrophy, cataracts and glaucoma. Interventions that have been explored to slow the progression of myopia include bifocal spectacles, cycloplegic drops, intraocular pressure-lowering drugs, muscarinic receptor antagonists and contact lenses. The purpose of this review was to systematically assess the effectiveness of strategies to control progression of myopia in children.          To assess the effects of several types of interventions, including eye drops, undercorrection of nearsightedness, multifocal spectacles and contact lenses, on the progression of nearsightedness in myopic children younger than 18 years. We compared the interventions of interest with each other, to single vision lenses (SVLs) (spectacles), placebo or no treatment. We searched CENTRAL (which contains the Cochrane Eyes and Vision Group Trials Register) (The Cochrane Library 2011, Issue 10), MEDLINE (January 1950 to October 2011), EMBASE (January 1980 to October 2011), Latin American and Caribbean Literature on Health Sciences (LILACS) (January 1982 to October 2011), the metaRegister of Controlled Trials (mRCT) (www.controlled-trials.com) and ClinicalTrials.gov (http://clinicaltrials.gov). There were no date or language restrictions in the electronic searches for trials. The electronic databases were last searched on 11 October 2011. We also searched the reference lists and Science Citation Index for additional, potentially relevant studies.          We included randomized controlled trials (RCTs) in which participants were treated with spectacles, contact lenses or pharmaceutical agents for the purpose of controlling progression of myopia. We excluded trials where participants were older than 18 years at baseline or participants had less than -0.25 diopters (D) spherical equivalent myopia. Two review authors independently extracted data and assessed the risk of bias for each included study. When possible, we analyzed data with the inverse variance method using a fixed-effect or random-effects model, depending on the number of studies and amount of heterogeneity detected.          We included 23 studies (4696 total participants) in this review, with 17 of these studies included in quantitative analysis. Since we only included RCTs in the review, the studies were generally at low ris\u2026", "author" : [ { "dropping-particle" : "", "family" : "Walline", "given" : "Jeffrey J", "non-dropping-particle" : "", "parse-names" : false, "suffix" : "" }, { "dropping-particle" : "", "family" : "Lindsley", "given" : "Kristina", "non-dropping-particle" : "", "parse-names" : false, "suffix" : "" }, { "dropping-particle" : "", "family" : "Vedula", "given" : "Satyanarayana S", "non-dropping-particle" : "", "parse-names" : false, "suffix" : "" }, { "dropping-particle" : "", "family" : "Cotter", "given" : "Susan A", "non-dropping-particle" : "", "parse-names" : false, "suffix" : "" }, { "dropping-particle" : "", "family" : "Mutti", "given" : "Donald O", "non-dropping-particle" : "", "parse-names" : false, "suffix" : "" }, { "dropping-particle" : "", "family" : "Twelker", "given" : "J Daniel", "non-dropping-particle" : "", "parse-names" : false, "suffix" : "" } ], "container-title" : "The Cochrane database of systematic reviews", "id" : "ITEM-1", "issue" : "12", "issued" : { "date-parts" : [ [ "2011" ] ] }, "note" : "NULL", "page" : "CD004916", "title" : "Interventions to slow progression of myopia in children.", "type" : "article-journal" }, "uris" : [ "http://www.mendeley.com/documents/?uuid=e8f104dd-6237-4ceb-8768-27bad4874341" ] } ], "mendeley" : { "formattedCitation" : "&lt;sup&gt;8&lt;/sup&gt;", "plainTextFormattedCitation" : "8", "previouslyFormattedCitation" : "&lt;sup&gt;8&lt;/sup&gt;"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8</w:t>
            </w:r>
            <w:r w:rsidRPr="004C28F5">
              <w:rPr>
                <w:rFonts w:cstheme="minorHAnsi"/>
                <w:b/>
                <w:sz w:val="18"/>
                <w:szCs w:val="18"/>
                <w:lang w:val="en-GB"/>
              </w:rPr>
              <w:fldChar w:fldCharType="end"/>
            </w:r>
          </w:p>
        </w:tc>
        <w:tc>
          <w:tcPr>
            <w:tcW w:w="663"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Wei 2011</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"10.1002/14651858.CD007842.pub2", "ISBN" : "1469-493X", "ISSN" : "1469-493X", "PMID" : "21901710", "abstract" : "Myopia (near-sightedness or short-sightedness) is one of the three commonly detected refractive (focusing) errors. Acupuncture is the stimulation of acupuncture points by various methods including needle insertion and acupressure. It is often used by traditional Chinese medicine practitioners to treat myopia in children.", "author" : [ { "dropping-particle" : "", "family" : "Wei", "given" : "Mao Ling", "non-dropping-particle" : "", "parse-names" : false, "suffix" : "" }, { "dropping-particle" : "", "family" : "Liu", "given" : "Jian Ping", "non-dropping-particle" : "", "parse-names" : false, "suffix" : "" }, { "dropping-particle" : "", "family" : "Li", "given" : "Ni", "non-dropping-particle" : "", "parse-names" : false, "suffix" : "" }, { "dropping-particle" : "", "family" : "Liu", "given" : "Ming", "non-dropping-particle" : "", "parse-names" : false, "suffix" : "" } ], "container-title" : "Cochrane database of systematic reviews (Online)", "id" : "ITEM-1", "issue" : "9", "issued" : { "date-parts" : [ [ "2011" ] ] }, "note" : "SR", "page" : "CD007842", "title" : "Acupuncture for slowing the progression of myopia in children and adolescents.", "type" : "article-journal", "volume" : "9" }, "uris" : [ "http://www.mendeley.com/documents/?uuid=ad1f7a89-f82d-4cb3-af6d-fa625b768658" ] } ], "mendeley" : { "formattedCitation" : "&lt;sup&gt;18&lt;/sup&gt;", "plainTextFormattedCitation" : "18", "previouslyFormattedCitation" : "&lt;sup&gt;18&lt;/sup&gt;"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18</w:t>
            </w:r>
            <w:r w:rsidRPr="004C28F5">
              <w:rPr>
                <w:rFonts w:cstheme="minorHAnsi"/>
                <w:b/>
                <w:sz w:val="18"/>
                <w:szCs w:val="18"/>
                <w:lang w:val="en-GB"/>
              </w:rPr>
              <w:fldChar w:fldCharType="end"/>
            </w:r>
          </w:p>
        </w:tc>
        <w:tc>
          <w:tcPr>
            <w:tcW w:w="602"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Saw 2002</w:t>
            </w:r>
            <w:r w:rsidRPr="004C28F5">
              <w:rPr>
                <w:rFonts w:cstheme="minorHAnsi"/>
                <w:b/>
                <w:sz w:val="18"/>
                <w:szCs w:val="18"/>
                <w:lang w:val="en-GB"/>
              </w:rPr>
              <w:fldChar w:fldCharType="begin" w:fldLock="1"/>
            </w:r>
            <w:r w:rsidRPr="004C28F5">
              <w:rPr>
                <w:rFonts w:cstheme="minorHAnsi"/>
                <w:b/>
                <w:sz w:val="18"/>
                <w:szCs w:val="18"/>
                <w:lang w:val="en-GB"/>
              </w:rPr>
              <w:instrText>ADDIN CSL_CITATION { "citationItems" : [ { "id" : "ITEM-1", "itemData" : { "DOI" : "10.1016/S0161-6420%2801%2900972-1", "ISSN" : "0161-6420", "PMID" : "11874738", "abstract" : "Topic: To evaluate the efficacy of interventions such as eyedrops, bifocal lenses, or contact lenses in retarding the progression of myopia in myopic children. Clinical Relevance: Myopia is a common ocular disorder, and high myopia (myopia at least -6.0 diopters) is associated with potentially blinding conditions. At present, there are no general guidelines on interventions that may decrease myopia progression in children, but some interventions such as contact lenses are offered on an ad hoc basis. Methods or Literature Reviewed: English and non-English language articles published from 1968 to 2000 were retrieved using a keyword search of MEDLINE, Embase, Cochrane Library, and Science Citation Index databases. Randomized controlled trials with comparisons of the effectiveness of interventions to decrease myopia progression in myopic children were reviewed. Results: Ten clinical trials of different interventions to retard myopia progression were reviewed, including three trials that evaluated atropine and one trial that evaluated soft contact lenses. Atropine eye drops of 0.5% concentration were effective in clinical trials, but no significant effect was found for tropicamide or timolol eyedrops. Five of the six trials on bifocal spectacle lenses with various additions failed to show significant retardation, and results of the remaining trial were barely significant (P = 0.047). A trial of soft contact lenses failed to show significant effects. Conclusions: The latest evidence from randomized clinical trials does not provide sufficient information to support interventions to prevent the progression of myopia. Long-term large-scale double-masked randomized clinical trials, including cycloplegic refraction, are needed before any recommendations about interventions in clinical practice to prevent high myopia in myopic children are considered. &amp;#xa9; 2002 by the American Academy of Ophthalmology.", "author" : [ { "dropping-particle" : "", "family" : "Saw", "given" : "Seang-Mei", "non-dropping-particle" : "", "parse-names" : false, "suffix" : "" }, { "dropping-particle" : "", "family" : "Shih-Yen", "given" : "Edwin Chan", "non-dropping-particle" : "", "parse-names" : false, "suffix" : "" }, { "dropping-particle" : "", "family" : "Koh", "given" : "Adrian", "non-dropping-particle" : "", "parse-names" : false, "suffix" : "" }, { "dropping-particle" : "", "family" : "Tan", "given" : "Donald", "non-dropping-particle" : "", "parse-names" : false, "suffix" : "" }, { "dropping-particle" : "", "family" : "S.-M.", "given" : "Saw", "non-dropping-particle" : "", "parse-names" : false, "suffix" : "" }, { "dropping-particle" : "", "family" : "A.", "given" : "Koh", "non-dropping-particle" : "", "parse-names" : false, "suffix" : "" }, { "dropping-particle" : "", "family" : "D.", "given" : "Tan", "non-dropping-particle" : "", "parse-names" : false, "suffix" : "" }, { "dropping-particle" : "", "family" : "E.C.", "given" : "Shih-Yen", "non-dropping-particle" : "", "parse-names" : false, "suffix" : "" }, { "dropping-particle" : "", "family" : "Saw", "given" : "Seang-Mei", "non-dropping-particle" : "", "parse-names" : false, "suffix" : "" }, { "dropping-particle" : "", "family" : "Shih-Yen", "given" : "Edwin Chan", "non-dropping-particle" : "", "parse-names" : false, "suffix" : "" }, { "dropping-particle" : "", "family" : "Koh", "given" : "Adrian", "non-dropping-particle" : "", "parse-names" : false, "suffix" : "" }, { "dropping-particle" : "", "family" : "Tan", "given" : "Donald", "non-dropping-particle" : "", "parse-names" : false, "suffix" : "" } ], "container-title" : "Ophthalmology", "id" : "ITEM-1", "issue" : "3", "issued" : { "date-parts" : [ [ "2002", "3" ] ] }, "page" : "415-421", "publisher" : "Elsevier Inc. (360 Park Avenue South, New York NY 10010, United States)", "publisher-place" : "United States", "title" : "Interventions to retard myopia progression in children: An evidence-based update", "type" : "article-journal", "volume" : "109" }, "uris" : [ "http://www.mendeley.com/documents/?uuid=2e1c25d7-7dbe-45fd-9c38-b7d01d4b09db" ] } ], "mendeley" : { "formattedCitation" : "&lt;sup&gt;9&lt;/sup&gt;", "plainTextFormattedCitation" : "9", "previouslyFormattedCitation" : "&lt;sup&gt;9&lt;/sup&gt;" }, "properties" : {  }, "schema" : "https://github.com/citation-style-language/schema/raw/master/csl-citation.json" }</w:instrText>
            </w:r>
            <w:r w:rsidRPr="004C28F5">
              <w:rPr>
                <w:rFonts w:cstheme="minorHAnsi"/>
                <w:b/>
                <w:sz w:val="18"/>
                <w:szCs w:val="18"/>
                <w:lang w:val="en-GB"/>
              </w:rPr>
              <w:fldChar w:fldCharType="separate"/>
            </w:r>
            <w:r w:rsidRPr="004C28F5">
              <w:rPr>
                <w:rFonts w:cstheme="minorHAnsi"/>
                <w:noProof/>
                <w:sz w:val="18"/>
                <w:szCs w:val="18"/>
                <w:vertAlign w:val="superscript"/>
                <w:lang w:val="en-GB"/>
              </w:rPr>
              <w:t>9</w:t>
            </w:r>
            <w:r w:rsidRPr="004C28F5">
              <w:rPr>
                <w:rFonts w:cstheme="minorHAnsi"/>
                <w:b/>
                <w:sz w:val="18"/>
                <w:szCs w:val="18"/>
                <w:lang w:val="en-GB"/>
              </w:rPr>
              <w:fldChar w:fldCharType="end"/>
            </w:r>
          </w:p>
        </w:tc>
        <w:tc>
          <w:tcPr>
            <w:tcW w:w="1276" w:type="dxa"/>
            <w:shd w:val="clear" w:color="auto" w:fill="auto"/>
          </w:tcPr>
          <w:p w:rsidR="004C28F5" w:rsidRPr="004C28F5" w:rsidRDefault="004C28F5" w:rsidP="004C28F5">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6"/>
                <w:lang w:val="en-US"/>
              </w:rPr>
            </w:pPr>
            <w:r w:rsidRPr="004C28F5">
              <w:rPr>
                <w:rFonts w:cstheme="minorHAnsi"/>
                <w:b/>
                <w:color w:val="000000" w:themeColor="text1"/>
                <w:sz w:val="16"/>
                <w:szCs w:val="16"/>
                <w:lang w:val="en-US"/>
              </w:rPr>
              <w:t>Total number of reviews (/18)</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Adler 2006</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Aller 2006</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Aller 2016</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Anstice 2011</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Bartlett 2003</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Berntsen 2012</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Chan 2014</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Charm 2013</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5</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Cheng 2010</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Cheng 2014</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Cheng 2016</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 xml:space="preserve">Chia 2012 </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4</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Chia 2014</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Cho and Cheung 2012</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5</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Chua 2006</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7</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Chung 2002</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Edwards 2002</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3</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Fujikado 2014</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Fulk 1996</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lastRenderedPageBreak/>
              <w:t>Fulk 2000</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Fulk 2002</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Grosvenor 1987</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Gwiazda 2003</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4</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Hasebe 2008</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387818"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He 2015</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387818"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Horner 1999</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 xml:space="preserve">Hsiao 2005 </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Jensen 1991</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JIn 2015</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Kang 2011</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Katz 2003</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Khoo 1999</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Kumaran 2015</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Lam 2014</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Leung 1999</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Liang 2008</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Parssinen 1989</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4</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Paune 2015</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Sankaridurg 2010</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Schwartz 1981</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Shih 1999</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7</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Shih 2000</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Shih 2001</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5</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 xml:space="preserve">Siatkowski 2008 </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Swarbrick 2015</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lastRenderedPageBreak/>
              <w:t>Tan 2005</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Walline 2004</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4</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Walline 2008</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Wu 2013</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Yang 2009</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Yeh 2008</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Yen 1989</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7</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Yi 2015</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85"/>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Yi &amp; Lee 2011</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RCT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Blacker 2009</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Brodstein 1984</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Chen 2013</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5</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Cho 2005</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4</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Chou 1997</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Chua 2015</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Clark and Clark 2015</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Deng 2010</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Dirani 2009</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Fan 2007</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Fang 2010</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French 2013</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Guggenheim 2012</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Guo 2013</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color w:val="FF0000"/>
                <w:sz w:val="16"/>
                <w:szCs w:val="16"/>
                <w:lang w:val="en-US"/>
              </w:rPr>
            </w:pPr>
            <w:r w:rsidRPr="004C28F5">
              <w:rPr>
                <w:sz w:val="16"/>
                <w:szCs w:val="16"/>
                <w:lang w:val="en-US"/>
              </w:rPr>
              <w:t>Guo 2015</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Hiraoka 2012</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Ip 2008</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Ip 2008 (2)</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Jones 2007</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Jones - Jordan 2011</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lastRenderedPageBreak/>
              <w:t>Kakita 2011</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4</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Kennedy 2000</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Khader 2006</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Lee 2006</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Lee 2015</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Li 2015</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Lin 2013</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Lin 2014</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Low 2010</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Lu 2009</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Ma 2010</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Mutti 2002</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Onal 2007</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Oner 2015</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Pan 2015</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Parssinen &amp; Lyra 1993</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Peckham 1977</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Rose 2008</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Rose 2008 (2)</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Sankaridurg 2011</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Santodomingo - Rubido 2012</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4</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Saw 2000</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Saw 2001</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Saw 2002</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Saw 2006</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Tan 2000</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Vasudevan 2014</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Walline 2009</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3</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Walline 2013</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Wu 2010</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lastRenderedPageBreak/>
              <w:t>Wu 2011</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2</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Zhang 2010</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Zhou 2014</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Zhou 2015</w:t>
            </w:r>
          </w:p>
        </w:tc>
        <w:tc>
          <w:tcPr>
            <w:tcW w:w="74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b/>
                <w:sz w:val="16"/>
                <w:szCs w:val="16"/>
                <w:lang w:val="en-US"/>
              </w:rPr>
              <w:t>+</w:t>
            </w:r>
          </w:p>
        </w:tc>
        <w:tc>
          <w:tcPr>
            <w:tcW w:w="71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000000" w:firstRow="0" w:lastRow="0" w:firstColumn="0" w:lastColumn="0" w:oddVBand="0" w:evenVBand="0" w:oddHBand="0" w:evenHBand="0" w:firstRowFirstColumn="0" w:firstRowLastColumn="0" w:lastRowFirstColumn="0" w:lastRowLastColumn="0"/>
              <w:rPr>
                <w:b/>
                <w:sz w:val="16"/>
                <w:szCs w:val="16"/>
                <w:lang w:val="en-US"/>
              </w:rPr>
            </w:pPr>
            <w:r w:rsidRPr="004C28F5">
              <w:rPr>
                <w:b/>
                <w:sz w:val="16"/>
                <w:szCs w:val="16"/>
                <w:lang w:val="en-US"/>
              </w:rPr>
              <w:t>1</w:t>
            </w:r>
          </w:p>
        </w:tc>
      </w:tr>
      <w:tr w:rsidR="004C28F5" w:rsidRPr="004C28F5" w:rsidTr="00EF4B7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188" w:type="dxa"/>
            <w:shd w:val="clear" w:color="auto" w:fill="auto"/>
          </w:tcPr>
          <w:p w:rsidR="004C28F5" w:rsidRPr="004C28F5" w:rsidRDefault="004C28F5" w:rsidP="004C28F5">
            <w:pPr>
              <w:rPr>
                <w:sz w:val="16"/>
                <w:szCs w:val="16"/>
                <w:lang w:val="en-US"/>
              </w:rPr>
            </w:pPr>
            <w:r w:rsidRPr="004C28F5">
              <w:rPr>
                <w:sz w:val="16"/>
                <w:szCs w:val="16"/>
                <w:lang w:val="en-US"/>
              </w:rPr>
              <w:t>Zhu 2014</w:t>
            </w:r>
          </w:p>
        </w:tc>
        <w:tc>
          <w:tcPr>
            <w:tcW w:w="74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cohort</w:t>
            </w:r>
          </w:p>
        </w:tc>
        <w:tc>
          <w:tcPr>
            <w:tcW w:w="70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1"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b/>
                <w:sz w:val="16"/>
                <w:szCs w:val="16"/>
                <w:lang w:val="en-US"/>
              </w:rPr>
              <w:t>+</w:t>
            </w:r>
          </w:p>
        </w:tc>
        <w:tc>
          <w:tcPr>
            <w:tcW w:w="71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99"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60"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17"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725"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663"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4C28F5">
              <w:rPr>
                <w:sz w:val="16"/>
                <w:szCs w:val="16"/>
                <w:lang w:val="en-US"/>
              </w:rPr>
              <w:t>-</w:t>
            </w:r>
          </w:p>
        </w:tc>
        <w:tc>
          <w:tcPr>
            <w:tcW w:w="602"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sz w:val="16"/>
                <w:szCs w:val="16"/>
              </w:rPr>
            </w:pPr>
            <w:r w:rsidRPr="004C28F5">
              <w:rPr>
                <w:sz w:val="16"/>
                <w:szCs w:val="16"/>
                <w:lang w:val="en-US"/>
              </w:rPr>
              <w:t>-</w:t>
            </w:r>
          </w:p>
        </w:tc>
        <w:tc>
          <w:tcPr>
            <w:tcW w:w="1276" w:type="dxa"/>
            <w:shd w:val="clear" w:color="auto" w:fill="auto"/>
          </w:tcPr>
          <w:p w:rsidR="004C28F5" w:rsidRPr="004C28F5" w:rsidRDefault="004C28F5" w:rsidP="004C28F5">
            <w:pPr>
              <w:jc w:val="center"/>
              <w:cnfStyle w:val="000000100000" w:firstRow="0" w:lastRow="0" w:firstColumn="0" w:lastColumn="0" w:oddVBand="0" w:evenVBand="0" w:oddHBand="1" w:evenHBand="0" w:firstRowFirstColumn="0" w:firstRowLastColumn="0" w:lastRowFirstColumn="0" w:lastRowLastColumn="0"/>
              <w:rPr>
                <w:b/>
                <w:sz w:val="16"/>
                <w:szCs w:val="16"/>
                <w:lang w:val="en-US"/>
              </w:rPr>
            </w:pPr>
            <w:r w:rsidRPr="004C28F5">
              <w:rPr>
                <w:b/>
                <w:sz w:val="16"/>
                <w:szCs w:val="16"/>
                <w:lang w:val="en-US"/>
              </w:rPr>
              <w:t>1</w:t>
            </w:r>
          </w:p>
        </w:tc>
      </w:tr>
    </w:tbl>
    <w:p w:rsidR="00DD2B5C" w:rsidRPr="00276249" w:rsidRDefault="00DD2B5C" w:rsidP="00276249">
      <w:pPr>
        <w:spacing w:line="240" w:lineRule="auto"/>
        <w:rPr>
          <w:rFonts w:ascii="Arial" w:hAnsi="Arial" w:cs="Arial"/>
          <w:sz w:val="16"/>
          <w:szCs w:val="16"/>
          <w:lang w:val="en-GB"/>
        </w:rPr>
      </w:pPr>
    </w:p>
    <w:p w:rsidR="00276249" w:rsidRPr="009D7AFB" w:rsidRDefault="00276249" w:rsidP="00276249">
      <w:pPr>
        <w:autoSpaceDE w:val="0"/>
        <w:autoSpaceDN w:val="0"/>
        <w:adjustRightInd w:val="0"/>
        <w:spacing w:after="0" w:line="240" w:lineRule="auto"/>
        <w:rPr>
          <w:rFonts w:cstheme="minorHAnsi"/>
          <w:sz w:val="16"/>
          <w:szCs w:val="16"/>
          <w:lang w:val="en-US"/>
        </w:rPr>
      </w:pPr>
      <w:r w:rsidRPr="009D7AFB">
        <w:rPr>
          <w:rFonts w:cstheme="minorHAnsi"/>
          <w:b/>
          <w:bCs/>
          <w:sz w:val="16"/>
          <w:szCs w:val="16"/>
          <w:lang w:val="en-US"/>
        </w:rPr>
        <w:t>e</w:t>
      </w:r>
      <w:r w:rsidR="009D7AFB">
        <w:rPr>
          <w:rFonts w:cstheme="minorHAnsi"/>
          <w:b/>
          <w:bCs/>
          <w:sz w:val="16"/>
          <w:szCs w:val="16"/>
          <w:lang w:val="en-US"/>
        </w:rPr>
        <w:t>-</w:t>
      </w:r>
      <w:r w:rsidRPr="009D7AFB">
        <w:rPr>
          <w:rFonts w:cstheme="minorHAnsi"/>
          <w:b/>
          <w:bCs/>
          <w:sz w:val="16"/>
          <w:szCs w:val="16"/>
          <w:lang w:val="en-US"/>
        </w:rPr>
        <w:t>Table 5. Citation Matrix</w:t>
      </w:r>
      <w:r w:rsidRPr="009D7AFB">
        <w:rPr>
          <w:rFonts w:cstheme="minorHAnsi"/>
          <w:sz w:val="16"/>
          <w:szCs w:val="16"/>
          <w:lang w:val="en-US"/>
        </w:rPr>
        <w:t>. Systematic reviews are represented in columns and primary studies in rows. (+) indicates primary studies contained in a systematic review and (-) studies not</w:t>
      </w:r>
    </w:p>
    <w:p w:rsidR="00D615A8" w:rsidRPr="009D7AFB" w:rsidRDefault="00276249" w:rsidP="00276249">
      <w:pPr>
        <w:spacing w:line="240" w:lineRule="auto"/>
        <w:rPr>
          <w:rFonts w:cstheme="minorHAnsi"/>
          <w:sz w:val="16"/>
          <w:szCs w:val="16"/>
          <w:lang w:val="en-US"/>
        </w:rPr>
      </w:pPr>
      <w:r w:rsidRPr="009D7AFB">
        <w:rPr>
          <w:rFonts w:cstheme="minorHAnsi"/>
          <w:sz w:val="16"/>
          <w:szCs w:val="16"/>
          <w:lang w:val="en-US"/>
        </w:rPr>
        <w:t>included in a systematic review.</w:t>
      </w: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7124C">
      <w:pPr>
        <w:rPr>
          <w:lang w:val="en-GB"/>
        </w:rPr>
      </w:pPr>
    </w:p>
    <w:p w:rsidR="00D615A8" w:rsidRDefault="00D615A8" w:rsidP="00D615A8">
      <w:pPr>
        <w:shd w:val="clear" w:color="auto" w:fill="FFFFFF" w:themeFill="background1"/>
        <w:spacing w:line="276" w:lineRule="auto"/>
        <w:jc w:val="center"/>
        <w:rPr>
          <w:b/>
          <w:color w:val="000000" w:themeColor="text1"/>
          <w:sz w:val="23"/>
          <w:szCs w:val="23"/>
          <w:lang w:val="en-GB"/>
        </w:rPr>
        <w:sectPr w:rsidR="00D615A8" w:rsidSect="004C28F5">
          <w:pgSz w:w="16838" w:h="11906" w:orient="landscape"/>
          <w:pgMar w:top="1797" w:right="1440" w:bottom="1797" w:left="1440" w:header="709" w:footer="709" w:gutter="0"/>
          <w:cols w:space="708"/>
          <w:docGrid w:linePitch="360"/>
        </w:sectPr>
      </w:pPr>
    </w:p>
    <w:p w:rsidR="00D615A8" w:rsidRPr="009D7AFB" w:rsidRDefault="00C5734E" w:rsidP="00D615A8">
      <w:pPr>
        <w:shd w:val="clear" w:color="auto" w:fill="FFFFFF" w:themeFill="background1"/>
        <w:spacing w:line="276" w:lineRule="auto"/>
        <w:jc w:val="center"/>
        <w:rPr>
          <w:rFonts w:cstheme="minorHAnsi"/>
          <w:b/>
          <w:color w:val="000000" w:themeColor="text1"/>
          <w:sz w:val="24"/>
          <w:szCs w:val="24"/>
          <w:lang w:val="en-US"/>
        </w:rPr>
      </w:pPr>
      <w:r>
        <w:rPr>
          <w:rFonts w:cstheme="minorHAnsi"/>
          <w:b/>
          <w:color w:val="000000" w:themeColor="text1"/>
          <w:sz w:val="24"/>
          <w:szCs w:val="24"/>
          <w:lang w:val="en-GB"/>
        </w:rPr>
        <w:lastRenderedPageBreak/>
        <w:t>Table S5</w:t>
      </w:r>
      <w:r w:rsidR="00D615A8" w:rsidRPr="009D7AFB">
        <w:rPr>
          <w:rFonts w:cstheme="minorHAnsi"/>
          <w:b/>
          <w:color w:val="000000" w:themeColor="text1"/>
          <w:sz w:val="24"/>
          <w:szCs w:val="24"/>
          <w:lang w:val="en-GB"/>
        </w:rPr>
        <w:t xml:space="preserve">. Methodological quality of included systematic reviews and meta-analyses </w:t>
      </w:r>
      <w:r w:rsidR="00D615A8" w:rsidRPr="009D7AFB">
        <w:rPr>
          <w:rFonts w:cstheme="minorHAnsi"/>
          <w:b/>
          <w:color w:val="000000" w:themeColor="text1"/>
          <w:sz w:val="24"/>
          <w:szCs w:val="24"/>
          <w:lang w:val="en-US"/>
        </w:rPr>
        <w:t>based on ROBIS tool.</w:t>
      </w:r>
    </w:p>
    <w:p w:rsidR="008853A2" w:rsidRPr="009D7AFB" w:rsidRDefault="008853A2" w:rsidP="00D615A8">
      <w:pPr>
        <w:shd w:val="clear" w:color="auto" w:fill="FFFFFF" w:themeFill="background1"/>
        <w:spacing w:line="276" w:lineRule="auto"/>
        <w:jc w:val="center"/>
        <w:rPr>
          <w:rFonts w:cstheme="minorHAnsi"/>
          <w:b/>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559"/>
        <w:gridCol w:w="1276"/>
        <w:gridCol w:w="1276"/>
        <w:gridCol w:w="1219"/>
      </w:tblGrid>
      <w:tr w:rsidR="00D615A8" w:rsidRPr="009D7AFB" w:rsidTr="004C1886">
        <w:trPr>
          <w:jc w:val="center"/>
        </w:trPr>
        <w:tc>
          <w:tcPr>
            <w:tcW w:w="1555" w:type="dxa"/>
            <w:vMerge w:val="restart"/>
            <w:shd w:val="clear" w:color="auto" w:fill="auto"/>
          </w:tcPr>
          <w:p w:rsidR="00D615A8" w:rsidRPr="009D7AFB" w:rsidRDefault="00D615A8" w:rsidP="008853A2">
            <w:pPr>
              <w:spacing w:line="240" w:lineRule="auto"/>
              <w:rPr>
                <w:rFonts w:cstheme="minorHAnsi"/>
                <w:b/>
                <w:sz w:val="20"/>
                <w:szCs w:val="20"/>
                <w:lang w:val="en-US"/>
              </w:rPr>
            </w:pPr>
            <w:r w:rsidRPr="009D7AFB">
              <w:rPr>
                <w:rFonts w:cstheme="minorHAnsi"/>
                <w:b/>
                <w:sz w:val="20"/>
                <w:szCs w:val="20"/>
                <w:lang w:val="en-US"/>
              </w:rPr>
              <w:t>Review and year</w:t>
            </w:r>
          </w:p>
        </w:tc>
        <w:tc>
          <w:tcPr>
            <w:tcW w:w="6747" w:type="dxa"/>
            <w:gridSpan w:val="5"/>
            <w:shd w:val="clear" w:color="auto" w:fill="auto"/>
          </w:tcPr>
          <w:p w:rsidR="00D615A8" w:rsidRPr="009D7AFB" w:rsidRDefault="00D615A8" w:rsidP="008853A2">
            <w:pPr>
              <w:spacing w:line="240" w:lineRule="auto"/>
              <w:jc w:val="center"/>
              <w:rPr>
                <w:rFonts w:cstheme="minorHAnsi"/>
                <w:b/>
                <w:sz w:val="20"/>
                <w:szCs w:val="20"/>
                <w:lang w:val="en-US"/>
              </w:rPr>
            </w:pPr>
            <w:r w:rsidRPr="009D7AFB">
              <w:rPr>
                <w:rFonts w:cstheme="minorHAnsi"/>
                <w:b/>
                <w:sz w:val="20"/>
                <w:szCs w:val="20"/>
                <w:lang w:val="en-US"/>
              </w:rPr>
              <w:t xml:space="preserve">ROBIS Assessment </w:t>
            </w:r>
          </w:p>
        </w:tc>
      </w:tr>
      <w:tr w:rsidR="00D615A8" w:rsidRPr="009D7AFB" w:rsidTr="004C1886">
        <w:trPr>
          <w:jc w:val="center"/>
        </w:trPr>
        <w:tc>
          <w:tcPr>
            <w:tcW w:w="1555" w:type="dxa"/>
            <w:vMerge/>
            <w:shd w:val="clear" w:color="auto" w:fill="auto"/>
          </w:tcPr>
          <w:p w:rsidR="00D615A8" w:rsidRPr="009D7AFB" w:rsidRDefault="00D615A8" w:rsidP="008853A2">
            <w:pPr>
              <w:spacing w:line="240" w:lineRule="auto"/>
              <w:rPr>
                <w:rFonts w:cstheme="minorHAnsi"/>
                <w:sz w:val="20"/>
                <w:szCs w:val="20"/>
                <w:lang w:val="en-US"/>
              </w:rPr>
            </w:pPr>
          </w:p>
        </w:tc>
        <w:tc>
          <w:tcPr>
            <w:tcW w:w="1417" w:type="dxa"/>
            <w:shd w:val="clear" w:color="auto" w:fill="auto"/>
          </w:tcPr>
          <w:p w:rsidR="00D615A8" w:rsidRPr="009D7AFB" w:rsidRDefault="00D615A8" w:rsidP="008853A2">
            <w:pPr>
              <w:spacing w:after="0" w:line="240" w:lineRule="auto"/>
              <w:ind w:left="177"/>
              <w:contextualSpacing/>
              <w:rPr>
                <w:rFonts w:cstheme="minorHAnsi"/>
                <w:b/>
                <w:sz w:val="20"/>
                <w:szCs w:val="20"/>
              </w:rPr>
            </w:pPr>
            <w:r w:rsidRPr="009D7AFB">
              <w:rPr>
                <w:rFonts w:cstheme="minorHAnsi"/>
                <w:b/>
                <w:sz w:val="20"/>
                <w:szCs w:val="20"/>
              </w:rPr>
              <w:t>Domain 1</w:t>
            </w:r>
            <w:r w:rsidRPr="009D7AFB">
              <w:rPr>
                <w:rFonts w:cstheme="minorHAnsi"/>
                <w:b/>
                <w:sz w:val="20"/>
                <w:szCs w:val="20"/>
                <w:lang w:val="en-US"/>
              </w:rPr>
              <w:t>:</w:t>
            </w:r>
            <w:r w:rsidRPr="009D7AFB">
              <w:rPr>
                <w:rFonts w:cstheme="minorHAnsi"/>
                <w:b/>
                <w:sz w:val="20"/>
                <w:szCs w:val="20"/>
              </w:rPr>
              <w:t xml:space="preserve"> Study eligibility criteria</w:t>
            </w:r>
          </w:p>
        </w:tc>
        <w:tc>
          <w:tcPr>
            <w:tcW w:w="1559" w:type="dxa"/>
            <w:shd w:val="clear" w:color="auto" w:fill="auto"/>
          </w:tcPr>
          <w:p w:rsidR="00D615A8" w:rsidRPr="009D7AFB" w:rsidRDefault="00D615A8" w:rsidP="008853A2">
            <w:pPr>
              <w:spacing w:after="0" w:line="240" w:lineRule="auto"/>
              <w:rPr>
                <w:rFonts w:eastAsia="Times New Roman" w:cstheme="minorHAnsi"/>
                <w:b/>
                <w:bCs/>
                <w:sz w:val="20"/>
                <w:szCs w:val="20"/>
                <w:lang w:val="en-US"/>
              </w:rPr>
            </w:pPr>
            <w:r w:rsidRPr="009D7AFB">
              <w:rPr>
                <w:rFonts w:eastAsia="Times New Roman" w:cstheme="minorHAnsi"/>
                <w:b/>
                <w:bCs/>
                <w:sz w:val="20"/>
                <w:szCs w:val="20"/>
                <w:lang w:val="en-US"/>
              </w:rPr>
              <w:t xml:space="preserve">Domain 2:  Identification </w:t>
            </w:r>
          </w:p>
          <w:p w:rsidR="00D615A8" w:rsidRPr="009D7AFB" w:rsidRDefault="00D615A8" w:rsidP="008853A2">
            <w:pPr>
              <w:spacing w:after="0" w:line="240" w:lineRule="auto"/>
              <w:rPr>
                <w:rFonts w:eastAsia="Times New Roman" w:cstheme="minorHAnsi"/>
                <w:b/>
                <w:bCs/>
                <w:sz w:val="20"/>
                <w:szCs w:val="20"/>
                <w:lang w:val="en-US"/>
              </w:rPr>
            </w:pPr>
            <w:r w:rsidRPr="009D7AFB">
              <w:rPr>
                <w:rFonts w:eastAsia="Times New Roman" w:cstheme="minorHAnsi"/>
                <w:b/>
                <w:bCs/>
                <w:sz w:val="20"/>
                <w:szCs w:val="20"/>
                <w:lang w:val="en-US"/>
              </w:rPr>
              <w:t xml:space="preserve">and selection </w:t>
            </w:r>
          </w:p>
          <w:p w:rsidR="00D615A8" w:rsidRPr="009D7AFB" w:rsidRDefault="00D615A8" w:rsidP="008853A2">
            <w:pPr>
              <w:spacing w:line="240" w:lineRule="auto"/>
              <w:rPr>
                <w:rFonts w:cstheme="minorHAnsi"/>
                <w:sz w:val="20"/>
                <w:szCs w:val="20"/>
                <w:lang w:val="en-US"/>
              </w:rPr>
            </w:pPr>
            <w:r w:rsidRPr="009D7AFB">
              <w:rPr>
                <w:rFonts w:eastAsia="Times New Roman" w:cstheme="minorHAnsi"/>
                <w:b/>
                <w:bCs/>
                <w:sz w:val="20"/>
                <w:szCs w:val="20"/>
                <w:lang w:val="en-US"/>
              </w:rPr>
              <w:t>of studies</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eastAsia="Times New Roman" w:cstheme="minorHAnsi"/>
                <w:b/>
                <w:bCs/>
                <w:sz w:val="20"/>
                <w:szCs w:val="20"/>
                <w:lang w:val="en-US"/>
              </w:rPr>
              <w:t>Domain 3: Data collection and study appraisal</w:t>
            </w:r>
          </w:p>
        </w:tc>
        <w:tc>
          <w:tcPr>
            <w:tcW w:w="1276" w:type="dxa"/>
            <w:shd w:val="clear" w:color="auto" w:fill="auto"/>
          </w:tcPr>
          <w:p w:rsidR="00D615A8" w:rsidRPr="009D7AFB" w:rsidRDefault="00D615A8" w:rsidP="008853A2">
            <w:pPr>
              <w:spacing w:line="240" w:lineRule="auto"/>
              <w:rPr>
                <w:rFonts w:cstheme="minorHAnsi"/>
                <w:sz w:val="20"/>
                <w:szCs w:val="20"/>
              </w:rPr>
            </w:pPr>
            <w:r w:rsidRPr="009D7AFB">
              <w:rPr>
                <w:rFonts w:eastAsia="Times New Roman" w:cstheme="minorHAnsi"/>
                <w:b/>
                <w:bCs/>
                <w:sz w:val="20"/>
                <w:szCs w:val="20"/>
              </w:rPr>
              <w:t>Domain 4:  Synthesis and findings</w:t>
            </w:r>
          </w:p>
        </w:tc>
        <w:tc>
          <w:tcPr>
            <w:tcW w:w="1219" w:type="dxa"/>
            <w:shd w:val="clear" w:color="auto" w:fill="auto"/>
          </w:tcPr>
          <w:p w:rsidR="00D615A8" w:rsidRPr="009D7AFB" w:rsidRDefault="00D615A8" w:rsidP="008853A2">
            <w:pPr>
              <w:spacing w:line="240" w:lineRule="auto"/>
              <w:rPr>
                <w:rFonts w:cstheme="minorHAnsi"/>
                <w:sz w:val="20"/>
                <w:szCs w:val="20"/>
              </w:rPr>
            </w:pPr>
            <w:r w:rsidRPr="009D7AFB">
              <w:rPr>
                <w:rFonts w:eastAsia="Times New Roman" w:cstheme="minorHAnsi"/>
                <w:b/>
                <w:bCs/>
                <w:sz w:val="20"/>
                <w:szCs w:val="20"/>
              </w:rPr>
              <w:t xml:space="preserve">Risk of bias </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lang w:val="en-US"/>
              </w:rPr>
              <w:t>Cui 2017</w:t>
            </w:r>
          </w:p>
        </w:tc>
        <w:tc>
          <w:tcPr>
            <w:tcW w:w="1417"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lang w:val="en-US"/>
              </w:rPr>
              <w:t>Low</w:t>
            </w:r>
          </w:p>
        </w:tc>
        <w:tc>
          <w:tcPr>
            <w:tcW w:w="1559"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lang w:val="en-US"/>
              </w:rPr>
              <w:t xml:space="preserve">Low </w:t>
            </w:r>
          </w:p>
        </w:tc>
        <w:tc>
          <w:tcPr>
            <w:tcW w:w="1219"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Gong 2017</w:t>
            </w:r>
          </w:p>
        </w:tc>
        <w:tc>
          <w:tcPr>
            <w:tcW w:w="1417"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 xml:space="preserve">Low </w:t>
            </w:r>
          </w:p>
        </w:tc>
        <w:tc>
          <w:tcPr>
            <w:tcW w:w="1559"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c>
          <w:tcPr>
            <w:tcW w:w="1276"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c>
          <w:tcPr>
            <w:tcW w:w="1276"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c>
          <w:tcPr>
            <w:tcW w:w="1219"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Li 2017</w:t>
            </w:r>
          </w:p>
        </w:tc>
        <w:tc>
          <w:tcPr>
            <w:tcW w:w="1417"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 xml:space="preserve">Low </w:t>
            </w:r>
          </w:p>
        </w:tc>
        <w:tc>
          <w:tcPr>
            <w:tcW w:w="1559"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c>
          <w:tcPr>
            <w:tcW w:w="1276"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c>
          <w:tcPr>
            <w:tcW w:w="1276"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c>
          <w:tcPr>
            <w:tcW w:w="1219"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Xiong 2017</w:t>
            </w:r>
          </w:p>
        </w:tc>
        <w:tc>
          <w:tcPr>
            <w:tcW w:w="1417"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 xml:space="preserve">Low </w:t>
            </w:r>
          </w:p>
        </w:tc>
        <w:tc>
          <w:tcPr>
            <w:tcW w:w="1559"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c>
          <w:tcPr>
            <w:tcW w:w="1276"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Low</w:t>
            </w:r>
          </w:p>
        </w:tc>
        <w:tc>
          <w:tcPr>
            <w:tcW w:w="1276"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Unclear</w:t>
            </w:r>
          </w:p>
        </w:tc>
        <w:tc>
          <w:tcPr>
            <w:tcW w:w="1219" w:type="dxa"/>
            <w:shd w:val="clear" w:color="auto" w:fill="auto"/>
          </w:tcPr>
          <w:p w:rsidR="00D615A8" w:rsidRPr="009D7AFB" w:rsidRDefault="00D615A8" w:rsidP="008853A2">
            <w:pPr>
              <w:spacing w:line="240" w:lineRule="auto"/>
              <w:rPr>
                <w:rFonts w:cstheme="minorHAnsi"/>
                <w:sz w:val="20"/>
                <w:szCs w:val="20"/>
              </w:rPr>
            </w:pPr>
            <w:r w:rsidRPr="009D7AFB">
              <w:rPr>
                <w:rFonts w:cstheme="minorHAnsi"/>
                <w:sz w:val="20"/>
                <w:szCs w:val="20"/>
              </w:rPr>
              <w:t>Unclear</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rPr>
              <w:t>Huang 2016</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 xml:space="preserve">Low </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Li 2016</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 xml:space="preserve">Low </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Shih 2016</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 xml:space="preserve">Low </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Unclear</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Chassine 2015</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High</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Unclear</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High</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High</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High</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Si 2015</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 xml:space="preserve">Low </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Sun 2015</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 xml:space="preserve">Low </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Wen 2015</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 xml:space="preserve">Low </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Li 2014</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High</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Unclear</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Sherwin 2012</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High</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Unclear</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Li 2011</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Song 2011</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Unclear</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Walline 2011</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 xml:space="preserve">Low </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 xml:space="preserve">Low </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Wei 2011</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r w:rsidR="00D615A8" w:rsidRPr="009D7AFB" w:rsidTr="004C1886">
        <w:trPr>
          <w:jc w:val="center"/>
        </w:trPr>
        <w:tc>
          <w:tcPr>
            <w:tcW w:w="1555"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Saw 2002</w:t>
            </w:r>
          </w:p>
        </w:tc>
        <w:tc>
          <w:tcPr>
            <w:tcW w:w="1417"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High</w:t>
            </w:r>
          </w:p>
        </w:tc>
        <w:tc>
          <w:tcPr>
            <w:tcW w:w="155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Unclear</w:t>
            </w:r>
          </w:p>
        </w:tc>
        <w:tc>
          <w:tcPr>
            <w:tcW w:w="1276"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c>
          <w:tcPr>
            <w:tcW w:w="1219" w:type="dxa"/>
            <w:shd w:val="clear" w:color="auto" w:fill="auto"/>
          </w:tcPr>
          <w:p w:rsidR="00D615A8" w:rsidRPr="009D7AFB" w:rsidRDefault="00D615A8" w:rsidP="008853A2">
            <w:pPr>
              <w:spacing w:line="240" w:lineRule="auto"/>
              <w:rPr>
                <w:rFonts w:cstheme="minorHAnsi"/>
                <w:sz w:val="20"/>
                <w:szCs w:val="20"/>
                <w:lang w:val="en-US"/>
              </w:rPr>
            </w:pPr>
            <w:r w:rsidRPr="009D7AFB">
              <w:rPr>
                <w:rFonts w:cstheme="minorHAnsi"/>
                <w:sz w:val="20"/>
                <w:szCs w:val="20"/>
                <w:lang w:val="en-US"/>
              </w:rPr>
              <w:t>Low</w:t>
            </w:r>
          </w:p>
        </w:tc>
      </w:tr>
    </w:tbl>
    <w:p w:rsidR="00D615A8" w:rsidRDefault="00D615A8" w:rsidP="00D7124C">
      <w:pPr>
        <w:rPr>
          <w:lang w:val="en-GB"/>
        </w:rPr>
      </w:pPr>
    </w:p>
    <w:p w:rsidR="00D615A8" w:rsidRDefault="00D615A8" w:rsidP="00D615A8">
      <w:pPr>
        <w:rPr>
          <w:lang w:val="en-GB"/>
        </w:rPr>
      </w:pPr>
    </w:p>
    <w:p w:rsidR="00D615A8" w:rsidRDefault="00D615A8" w:rsidP="00D615A8">
      <w:pPr>
        <w:rPr>
          <w:lang w:val="en-GB"/>
        </w:rPr>
      </w:pPr>
    </w:p>
    <w:p w:rsidR="00D615A8" w:rsidRDefault="00D615A8" w:rsidP="00D615A8">
      <w:pPr>
        <w:rPr>
          <w:lang w:val="en-GB"/>
        </w:rPr>
      </w:pPr>
    </w:p>
    <w:p w:rsidR="004C1886" w:rsidRDefault="004C1886" w:rsidP="00D615A8">
      <w:pPr>
        <w:rPr>
          <w:lang w:val="en-GB"/>
        </w:rPr>
      </w:pPr>
    </w:p>
    <w:p w:rsidR="00D615A8" w:rsidRDefault="00D615A8" w:rsidP="00D615A8">
      <w:pPr>
        <w:rPr>
          <w:lang w:val="en-GB"/>
        </w:rPr>
      </w:pPr>
    </w:p>
    <w:p w:rsidR="00D615A8" w:rsidRPr="009D7AFB" w:rsidRDefault="00D615A8" w:rsidP="00D615A8">
      <w:pPr>
        <w:rPr>
          <w:rFonts w:cstheme="minorHAnsi"/>
          <w:lang w:val="en-GB"/>
        </w:rPr>
      </w:pPr>
    </w:p>
    <w:p w:rsidR="00D615A8" w:rsidRPr="009D7AFB" w:rsidRDefault="00C5734E" w:rsidP="00D615A8">
      <w:pPr>
        <w:jc w:val="center"/>
        <w:rPr>
          <w:rFonts w:cstheme="minorHAnsi"/>
          <w:b/>
          <w:sz w:val="24"/>
          <w:szCs w:val="24"/>
          <w:lang w:val="en-GB"/>
        </w:rPr>
      </w:pPr>
      <w:r>
        <w:rPr>
          <w:rFonts w:cstheme="minorHAnsi"/>
          <w:b/>
          <w:sz w:val="24"/>
          <w:szCs w:val="24"/>
          <w:lang w:val="en-GB"/>
        </w:rPr>
        <w:lastRenderedPageBreak/>
        <w:t>Table S6</w:t>
      </w:r>
      <w:r w:rsidR="00D615A8" w:rsidRPr="009D7AFB">
        <w:rPr>
          <w:rFonts w:cstheme="minorHAnsi"/>
          <w:b/>
          <w:sz w:val="24"/>
          <w:szCs w:val="24"/>
          <w:lang w:val="en-GB"/>
        </w:rPr>
        <w:t>. Methodological quality of included RCTs assessed using the Cochrane Collaboration Risk of Bias tool.</w:t>
      </w:r>
    </w:p>
    <w:p w:rsidR="00D615A8" w:rsidRDefault="00D615A8" w:rsidP="00D615A8">
      <w:pPr>
        <w:rPr>
          <w:b/>
          <w:sz w:val="24"/>
          <w:szCs w:val="24"/>
          <w:lang w:val="en-GB"/>
        </w:rPr>
      </w:pPr>
    </w:p>
    <w:p w:rsidR="00D615A8" w:rsidRDefault="00D615A8" w:rsidP="00D615A8">
      <w:pPr>
        <w:jc w:val="center"/>
        <w:rPr>
          <w:b/>
          <w:sz w:val="24"/>
          <w:szCs w:val="24"/>
          <w:lang w:val="en-US"/>
        </w:rPr>
      </w:pPr>
      <w:r w:rsidRPr="0067643E">
        <w:rPr>
          <w:b/>
          <w:noProof/>
          <w:sz w:val="24"/>
          <w:szCs w:val="24"/>
          <w:lang w:eastAsia="el-GR"/>
        </w:rPr>
        <w:drawing>
          <wp:inline distT="0" distB="0" distL="0" distR="0" wp14:anchorId="3D8CB686" wp14:editId="5A42FB36">
            <wp:extent cx="2345013" cy="743902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355928" cy="7473650"/>
                    </a:xfrm>
                    <a:prstGeom prst="rect">
                      <a:avLst/>
                    </a:prstGeom>
                  </pic:spPr>
                </pic:pic>
              </a:graphicData>
            </a:graphic>
          </wp:inline>
        </w:drawing>
      </w:r>
    </w:p>
    <w:p w:rsidR="00D615A8" w:rsidRDefault="00D615A8" w:rsidP="00D615A8">
      <w:pPr>
        <w:spacing w:line="360" w:lineRule="auto"/>
        <w:rPr>
          <w:sz w:val="18"/>
          <w:szCs w:val="18"/>
          <w:lang w:val="en-US"/>
        </w:rPr>
      </w:pPr>
    </w:p>
    <w:p w:rsidR="00B708D0" w:rsidRDefault="00D615A8" w:rsidP="00B708D0">
      <w:pPr>
        <w:spacing w:line="360" w:lineRule="auto"/>
        <w:rPr>
          <w:rFonts w:ascii="Arial" w:hAnsi="Arial" w:cs="Arial"/>
          <w:sz w:val="16"/>
          <w:szCs w:val="16"/>
          <w:lang w:val="en-US"/>
        </w:rPr>
      </w:pPr>
      <w:r w:rsidRPr="008853A2">
        <w:rPr>
          <w:rFonts w:ascii="Arial" w:hAnsi="Arial" w:cs="Arial"/>
          <w:sz w:val="16"/>
          <w:szCs w:val="16"/>
          <w:lang w:val="en-US"/>
        </w:rPr>
        <w:t>+, low risk of bias; ?, unclear risk of bias; -, high risk of bias; RC</w:t>
      </w:r>
      <w:r w:rsidR="00B708D0">
        <w:rPr>
          <w:rFonts w:ascii="Arial" w:hAnsi="Arial" w:cs="Arial"/>
          <w:sz w:val="16"/>
          <w:szCs w:val="16"/>
          <w:lang w:val="en-US"/>
        </w:rPr>
        <w:t>Ts, randomized controlled trial</w:t>
      </w:r>
    </w:p>
    <w:p w:rsidR="00061B18" w:rsidRPr="009D7AFB" w:rsidRDefault="00C5734E" w:rsidP="00B708D0">
      <w:pPr>
        <w:spacing w:line="360" w:lineRule="auto"/>
        <w:jc w:val="center"/>
        <w:rPr>
          <w:rFonts w:cstheme="minorHAnsi"/>
          <w:sz w:val="24"/>
          <w:szCs w:val="24"/>
          <w:lang w:val="en-US"/>
        </w:rPr>
      </w:pPr>
      <w:r>
        <w:rPr>
          <w:rFonts w:cstheme="minorHAnsi"/>
          <w:b/>
          <w:sz w:val="24"/>
          <w:szCs w:val="24"/>
          <w:lang w:val="en-GB"/>
        </w:rPr>
        <w:lastRenderedPageBreak/>
        <w:t>Table S7</w:t>
      </w:r>
      <w:r w:rsidR="00061B18" w:rsidRPr="009D7AFB">
        <w:rPr>
          <w:rFonts w:cstheme="minorHAnsi"/>
          <w:b/>
          <w:sz w:val="24"/>
          <w:szCs w:val="24"/>
          <w:lang w:val="en-GB"/>
        </w:rPr>
        <w:t>. Methodological quality of included RCTs assessed using Jadad Scale.</w:t>
      </w:r>
    </w:p>
    <w:tbl>
      <w:tblPr>
        <w:tblStyle w:val="TableGrid"/>
        <w:tblW w:w="8784" w:type="dxa"/>
        <w:tblLayout w:type="fixed"/>
        <w:tblLook w:val="04A0" w:firstRow="1" w:lastRow="0" w:firstColumn="1" w:lastColumn="0" w:noHBand="0" w:noVBand="1"/>
      </w:tblPr>
      <w:tblGrid>
        <w:gridCol w:w="1271"/>
        <w:gridCol w:w="1559"/>
        <w:gridCol w:w="993"/>
        <w:gridCol w:w="1134"/>
        <w:gridCol w:w="1417"/>
        <w:gridCol w:w="1276"/>
        <w:gridCol w:w="1134"/>
      </w:tblGrid>
      <w:tr w:rsidR="00061B18" w:rsidRPr="005F4CD3" w:rsidTr="009D7AFB">
        <w:tc>
          <w:tcPr>
            <w:tcW w:w="1271" w:type="dxa"/>
          </w:tcPr>
          <w:p w:rsidR="00061B18" w:rsidRPr="009D7AFB" w:rsidRDefault="00061B18" w:rsidP="00B708D0">
            <w:pPr>
              <w:rPr>
                <w:rFonts w:cstheme="minorHAnsi"/>
                <w:b/>
                <w:sz w:val="20"/>
                <w:szCs w:val="20"/>
                <w:lang w:val="en-GB"/>
              </w:rPr>
            </w:pPr>
            <w:r w:rsidRPr="009D7AFB">
              <w:rPr>
                <w:rFonts w:cstheme="minorHAnsi"/>
                <w:b/>
                <w:sz w:val="20"/>
                <w:szCs w:val="20"/>
                <w:lang w:val="en-GB"/>
              </w:rPr>
              <w:t xml:space="preserve">Primary study </w:t>
            </w:r>
          </w:p>
        </w:tc>
        <w:tc>
          <w:tcPr>
            <w:tcW w:w="1559" w:type="dxa"/>
          </w:tcPr>
          <w:p w:rsidR="00061B18" w:rsidRPr="009D7AFB" w:rsidRDefault="00061B18" w:rsidP="00B708D0">
            <w:pPr>
              <w:rPr>
                <w:rFonts w:cstheme="minorHAnsi"/>
                <w:b/>
                <w:sz w:val="20"/>
                <w:szCs w:val="20"/>
                <w:lang w:val="en-GB"/>
              </w:rPr>
            </w:pPr>
            <w:r w:rsidRPr="009D7AFB">
              <w:rPr>
                <w:rFonts w:cstheme="minorHAnsi"/>
                <w:b/>
                <w:sz w:val="20"/>
                <w:szCs w:val="20"/>
                <w:lang w:val="en-GB"/>
              </w:rPr>
              <w:t>Randomisation</w:t>
            </w:r>
          </w:p>
        </w:tc>
        <w:tc>
          <w:tcPr>
            <w:tcW w:w="993" w:type="dxa"/>
          </w:tcPr>
          <w:p w:rsidR="00061B18" w:rsidRPr="009D7AFB" w:rsidRDefault="00061B18" w:rsidP="00B708D0">
            <w:pPr>
              <w:rPr>
                <w:rFonts w:cstheme="minorHAnsi"/>
                <w:b/>
                <w:sz w:val="20"/>
                <w:szCs w:val="20"/>
                <w:lang w:val="en-GB"/>
              </w:rPr>
            </w:pPr>
            <w:r w:rsidRPr="009D7AFB">
              <w:rPr>
                <w:rFonts w:cstheme="minorHAnsi"/>
                <w:b/>
                <w:sz w:val="20"/>
                <w:szCs w:val="20"/>
                <w:lang w:val="en-GB"/>
              </w:rPr>
              <w:t>Blinding</w:t>
            </w:r>
          </w:p>
        </w:tc>
        <w:tc>
          <w:tcPr>
            <w:tcW w:w="1134" w:type="dxa"/>
          </w:tcPr>
          <w:p w:rsidR="00061B18" w:rsidRPr="009D7AFB" w:rsidRDefault="00061B18" w:rsidP="00B708D0">
            <w:pPr>
              <w:rPr>
                <w:rFonts w:cstheme="minorHAnsi"/>
                <w:b/>
                <w:sz w:val="20"/>
                <w:szCs w:val="20"/>
                <w:lang w:val="en-GB"/>
              </w:rPr>
            </w:pPr>
            <w:r w:rsidRPr="009D7AFB">
              <w:rPr>
                <w:rFonts w:cstheme="minorHAnsi"/>
                <w:b/>
                <w:sz w:val="20"/>
                <w:szCs w:val="20"/>
                <w:lang w:val="en-GB"/>
              </w:rPr>
              <w:t>Lost to follow up</w:t>
            </w:r>
          </w:p>
        </w:tc>
        <w:tc>
          <w:tcPr>
            <w:tcW w:w="1417" w:type="dxa"/>
          </w:tcPr>
          <w:p w:rsidR="00061B18" w:rsidRPr="009D7AFB" w:rsidRDefault="00061B18" w:rsidP="00B708D0">
            <w:pPr>
              <w:rPr>
                <w:rFonts w:cstheme="minorHAnsi"/>
                <w:b/>
                <w:sz w:val="20"/>
                <w:szCs w:val="20"/>
                <w:lang w:val="en-GB"/>
              </w:rPr>
            </w:pPr>
            <w:r w:rsidRPr="009D7AFB">
              <w:rPr>
                <w:rFonts w:cstheme="minorHAnsi"/>
                <w:b/>
                <w:sz w:val="20"/>
                <w:szCs w:val="20"/>
                <w:lang w:val="en-GB"/>
              </w:rPr>
              <w:t>Allocation concealment</w:t>
            </w:r>
          </w:p>
        </w:tc>
        <w:tc>
          <w:tcPr>
            <w:tcW w:w="1276" w:type="dxa"/>
          </w:tcPr>
          <w:p w:rsidR="00061B18" w:rsidRPr="009D7AFB" w:rsidRDefault="00061B18" w:rsidP="00B708D0">
            <w:pPr>
              <w:rPr>
                <w:rFonts w:cstheme="minorHAnsi"/>
                <w:b/>
                <w:sz w:val="20"/>
                <w:szCs w:val="20"/>
                <w:lang w:val="en-GB"/>
              </w:rPr>
            </w:pPr>
            <w:r w:rsidRPr="009D7AFB">
              <w:rPr>
                <w:rFonts w:cstheme="minorHAnsi"/>
                <w:b/>
                <w:sz w:val="20"/>
                <w:szCs w:val="20"/>
                <w:lang w:val="en-GB"/>
              </w:rPr>
              <w:t xml:space="preserve">Analysis method </w:t>
            </w:r>
          </w:p>
        </w:tc>
        <w:tc>
          <w:tcPr>
            <w:tcW w:w="1134" w:type="dxa"/>
          </w:tcPr>
          <w:p w:rsidR="00061B18" w:rsidRPr="009D7AFB" w:rsidRDefault="00061B18" w:rsidP="00B708D0">
            <w:pPr>
              <w:rPr>
                <w:rFonts w:cstheme="minorHAnsi"/>
                <w:b/>
                <w:sz w:val="20"/>
                <w:szCs w:val="20"/>
                <w:lang w:val="en-GB"/>
              </w:rPr>
            </w:pPr>
            <w:r w:rsidRPr="009D7AFB">
              <w:rPr>
                <w:rFonts w:cstheme="minorHAnsi"/>
                <w:b/>
                <w:sz w:val="20"/>
                <w:szCs w:val="20"/>
                <w:lang w:val="en-GB"/>
              </w:rPr>
              <w:t>Jadad score</w:t>
            </w:r>
          </w:p>
        </w:tc>
      </w:tr>
      <w:tr w:rsidR="00061B18" w:rsidRPr="005F4CD3" w:rsidTr="009D7AFB">
        <w:tc>
          <w:tcPr>
            <w:tcW w:w="1271" w:type="dxa"/>
          </w:tcPr>
          <w:p w:rsidR="00061B18" w:rsidRPr="009D7AFB" w:rsidRDefault="00061B18" w:rsidP="00B708D0">
            <w:pPr>
              <w:rPr>
                <w:rFonts w:cstheme="minorHAnsi"/>
                <w:sz w:val="20"/>
                <w:szCs w:val="20"/>
                <w:lang w:val="en-GB"/>
              </w:rPr>
            </w:pPr>
            <w:r w:rsidRPr="009D7AFB">
              <w:rPr>
                <w:rFonts w:cstheme="minorHAnsi"/>
                <w:sz w:val="20"/>
                <w:szCs w:val="20"/>
                <w:lang w:val="en-GB"/>
              </w:rPr>
              <w:t>Aller 2016</w:t>
            </w:r>
          </w:p>
        </w:tc>
        <w:tc>
          <w:tcPr>
            <w:tcW w:w="1559"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993" w:type="dxa"/>
          </w:tcPr>
          <w:p w:rsidR="00061B18" w:rsidRPr="009D7AFB" w:rsidRDefault="00061B18" w:rsidP="00B708D0">
            <w:pPr>
              <w:rPr>
                <w:rFonts w:cstheme="minorHAnsi"/>
                <w:sz w:val="20"/>
                <w:szCs w:val="20"/>
                <w:lang w:val="en-GB"/>
              </w:rPr>
            </w:pPr>
            <w:r w:rsidRPr="009D7AFB">
              <w:rPr>
                <w:rFonts w:cstheme="minorHAnsi"/>
                <w:sz w:val="20"/>
                <w:szCs w:val="20"/>
                <w:lang w:val="en-GB"/>
              </w:rPr>
              <w:t>DB</w:t>
            </w:r>
          </w:p>
        </w:tc>
        <w:tc>
          <w:tcPr>
            <w:tcW w:w="1134"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1417"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1276" w:type="dxa"/>
          </w:tcPr>
          <w:p w:rsidR="00061B18" w:rsidRPr="009D7AFB" w:rsidRDefault="00061B18" w:rsidP="00B708D0">
            <w:pPr>
              <w:rPr>
                <w:rFonts w:cstheme="minorHAnsi"/>
                <w:sz w:val="20"/>
                <w:szCs w:val="20"/>
                <w:lang w:val="en-GB"/>
              </w:rPr>
            </w:pPr>
            <w:r w:rsidRPr="009D7AFB">
              <w:rPr>
                <w:rFonts w:cstheme="minorHAnsi"/>
                <w:sz w:val="20"/>
                <w:szCs w:val="20"/>
                <w:lang w:val="en-GB"/>
              </w:rPr>
              <w:t>ITT</w:t>
            </w:r>
          </w:p>
        </w:tc>
        <w:tc>
          <w:tcPr>
            <w:tcW w:w="1134" w:type="dxa"/>
          </w:tcPr>
          <w:p w:rsidR="00061B18" w:rsidRPr="009D7AFB" w:rsidRDefault="00061B18" w:rsidP="00B708D0">
            <w:pPr>
              <w:rPr>
                <w:rFonts w:cstheme="minorHAnsi"/>
                <w:sz w:val="20"/>
                <w:szCs w:val="20"/>
                <w:lang w:val="en-GB"/>
              </w:rPr>
            </w:pPr>
            <w:r w:rsidRPr="009D7AFB">
              <w:rPr>
                <w:rFonts w:cstheme="minorHAnsi"/>
                <w:sz w:val="20"/>
                <w:szCs w:val="20"/>
                <w:lang w:val="en-GB"/>
              </w:rPr>
              <w:t>5</w:t>
            </w:r>
          </w:p>
        </w:tc>
      </w:tr>
      <w:tr w:rsidR="00061B18" w:rsidRPr="005F4CD3" w:rsidTr="009D7AFB">
        <w:tc>
          <w:tcPr>
            <w:tcW w:w="1271" w:type="dxa"/>
          </w:tcPr>
          <w:p w:rsidR="00061B18" w:rsidRPr="009D7AFB" w:rsidRDefault="00061B18" w:rsidP="00B708D0">
            <w:pPr>
              <w:rPr>
                <w:rFonts w:cstheme="minorHAnsi"/>
                <w:sz w:val="20"/>
                <w:szCs w:val="20"/>
                <w:lang w:val="en-GB"/>
              </w:rPr>
            </w:pPr>
            <w:r w:rsidRPr="009D7AFB">
              <w:rPr>
                <w:rFonts w:cstheme="minorHAnsi"/>
                <w:sz w:val="20"/>
                <w:szCs w:val="20"/>
                <w:lang w:val="en-GB"/>
              </w:rPr>
              <w:t>Chan 2014</w:t>
            </w:r>
          </w:p>
        </w:tc>
        <w:tc>
          <w:tcPr>
            <w:tcW w:w="1559" w:type="dxa"/>
          </w:tcPr>
          <w:p w:rsidR="00061B18" w:rsidRPr="009D7AFB" w:rsidRDefault="00061B18" w:rsidP="00B708D0">
            <w:pPr>
              <w:rPr>
                <w:rFonts w:cstheme="minorHAnsi"/>
                <w:sz w:val="20"/>
                <w:szCs w:val="20"/>
                <w:lang w:val="en-GB"/>
              </w:rPr>
            </w:pPr>
            <w:r w:rsidRPr="009D7AFB">
              <w:rPr>
                <w:rFonts w:cstheme="minorHAnsi"/>
                <w:sz w:val="20"/>
                <w:szCs w:val="20"/>
                <w:lang w:val="en-GB"/>
              </w:rPr>
              <w:t>Unclear</w:t>
            </w:r>
          </w:p>
        </w:tc>
        <w:tc>
          <w:tcPr>
            <w:tcW w:w="993" w:type="dxa"/>
          </w:tcPr>
          <w:p w:rsidR="00061B18" w:rsidRPr="009D7AFB" w:rsidRDefault="00061B18" w:rsidP="00B708D0">
            <w:pPr>
              <w:rPr>
                <w:rFonts w:cstheme="minorHAnsi"/>
                <w:sz w:val="20"/>
                <w:szCs w:val="20"/>
                <w:lang w:val="en-GB"/>
              </w:rPr>
            </w:pPr>
            <w:r w:rsidRPr="009D7AFB">
              <w:rPr>
                <w:rFonts w:cstheme="minorHAnsi"/>
                <w:sz w:val="20"/>
                <w:szCs w:val="20"/>
                <w:lang w:val="en-GB"/>
              </w:rPr>
              <w:t>NO</w:t>
            </w:r>
          </w:p>
        </w:tc>
        <w:tc>
          <w:tcPr>
            <w:tcW w:w="1134"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1417" w:type="dxa"/>
          </w:tcPr>
          <w:p w:rsidR="00061B18" w:rsidRPr="009D7AFB" w:rsidRDefault="00061B18" w:rsidP="00B708D0">
            <w:pPr>
              <w:rPr>
                <w:rFonts w:cstheme="minorHAnsi"/>
                <w:sz w:val="20"/>
                <w:szCs w:val="20"/>
                <w:lang w:val="en-GB"/>
              </w:rPr>
            </w:pPr>
            <w:r w:rsidRPr="009D7AFB">
              <w:rPr>
                <w:rFonts w:cstheme="minorHAnsi"/>
                <w:sz w:val="20"/>
                <w:szCs w:val="20"/>
                <w:lang w:val="en-GB"/>
              </w:rPr>
              <w:t>NO</w:t>
            </w:r>
          </w:p>
        </w:tc>
        <w:tc>
          <w:tcPr>
            <w:tcW w:w="1276" w:type="dxa"/>
          </w:tcPr>
          <w:p w:rsidR="00061B18" w:rsidRPr="009D7AFB" w:rsidRDefault="00061B18" w:rsidP="00B708D0">
            <w:pPr>
              <w:rPr>
                <w:rFonts w:cstheme="minorHAnsi"/>
                <w:sz w:val="20"/>
                <w:szCs w:val="20"/>
                <w:lang w:val="en-GB"/>
              </w:rPr>
            </w:pPr>
            <w:r w:rsidRPr="009D7AFB">
              <w:rPr>
                <w:rFonts w:cstheme="minorHAnsi"/>
                <w:sz w:val="20"/>
                <w:szCs w:val="20"/>
                <w:lang w:val="en-GB"/>
              </w:rPr>
              <w:t>ITT</w:t>
            </w:r>
          </w:p>
        </w:tc>
        <w:tc>
          <w:tcPr>
            <w:tcW w:w="1134" w:type="dxa"/>
          </w:tcPr>
          <w:p w:rsidR="00061B18" w:rsidRPr="009D7AFB" w:rsidRDefault="00061B18" w:rsidP="00B708D0">
            <w:pPr>
              <w:rPr>
                <w:rFonts w:cstheme="minorHAnsi"/>
                <w:sz w:val="20"/>
                <w:szCs w:val="20"/>
                <w:lang w:val="en-GB"/>
              </w:rPr>
            </w:pPr>
            <w:r w:rsidRPr="009D7AFB">
              <w:rPr>
                <w:rFonts w:cstheme="minorHAnsi"/>
                <w:sz w:val="20"/>
                <w:szCs w:val="20"/>
                <w:lang w:val="en-GB"/>
              </w:rPr>
              <w:t>2</w:t>
            </w:r>
          </w:p>
        </w:tc>
      </w:tr>
      <w:tr w:rsidR="00061B18" w:rsidRPr="005F4CD3" w:rsidTr="009D7AFB">
        <w:tc>
          <w:tcPr>
            <w:tcW w:w="1271" w:type="dxa"/>
          </w:tcPr>
          <w:p w:rsidR="00061B18" w:rsidRPr="009D7AFB" w:rsidRDefault="00061B18" w:rsidP="00B708D0">
            <w:pPr>
              <w:rPr>
                <w:rFonts w:cstheme="minorHAnsi"/>
                <w:sz w:val="20"/>
                <w:szCs w:val="20"/>
                <w:lang w:val="en-GB"/>
              </w:rPr>
            </w:pPr>
            <w:r w:rsidRPr="009D7AFB">
              <w:rPr>
                <w:rFonts w:cstheme="minorHAnsi"/>
                <w:sz w:val="20"/>
                <w:szCs w:val="20"/>
                <w:lang w:val="en-GB"/>
              </w:rPr>
              <w:t>Cheng 2016</w:t>
            </w:r>
          </w:p>
        </w:tc>
        <w:tc>
          <w:tcPr>
            <w:tcW w:w="1559"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993" w:type="dxa"/>
          </w:tcPr>
          <w:p w:rsidR="00061B18" w:rsidRPr="009D7AFB" w:rsidRDefault="00061B18" w:rsidP="00B708D0">
            <w:pPr>
              <w:rPr>
                <w:rFonts w:cstheme="minorHAnsi"/>
                <w:sz w:val="20"/>
                <w:szCs w:val="20"/>
                <w:lang w:val="en-GB"/>
              </w:rPr>
            </w:pPr>
            <w:r w:rsidRPr="009D7AFB">
              <w:rPr>
                <w:rFonts w:cstheme="minorHAnsi"/>
                <w:sz w:val="20"/>
                <w:szCs w:val="20"/>
                <w:lang w:val="en-GB"/>
              </w:rPr>
              <w:t>DB</w:t>
            </w:r>
          </w:p>
        </w:tc>
        <w:tc>
          <w:tcPr>
            <w:tcW w:w="1134"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1417"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1276" w:type="dxa"/>
          </w:tcPr>
          <w:p w:rsidR="00061B18" w:rsidRPr="009D7AFB" w:rsidRDefault="00061B18" w:rsidP="00B708D0">
            <w:pPr>
              <w:rPr>
                <w:rFonts w:cstheme="minorHAnsi"/>
                <w:sz w:val="20"/>
                <w:szCs w:val="20"/>
                <w:lang w:val="en-GB"/>
              </w:rPr>
            </w:pPr>
            <w:r w:rsidRPr="009D7AFB">
              <w:rPr>
                <w:rFonts w:cstheme="minorHAnsi"/>
                <w:sz w:val="20"/>
                <w:szCs w:val="20"/>
                <w:lang w:val="en-GB"/>
              </w:rPr>
              <w:t>ITT</w:t>
            </w:r>
          </w:p>
        </w:tc>
        <w:tc>
          <w:tcPr>
            <w:tcW w:w="1134" w:type="dxa"/>
          </w:tcPr>
          <w:p w:rsidR="00061B18" w:rsidRPr="009D7AFB" w:rsidRDefault="00061B18" w:rsidP="00B708D0">
            <w:pPr>
              <w:rPr>
                <w:rFonts w:cstheme="minorHAnsi"/>
                <w:sz w:val="20"/>
                <w:szCs w:val="20"/>
                <w:lang w:val="en-GB"/>
              </w:rPr>
            </w:pPr>
            <w:r w:rsidRPr="009D7AFB">
              <w:rPr>
                <w:rFonts w:cstheme="minorHAnsi"/>
                <w:sz w:val="20"/>
                <w:szCs w:val="20"/>
                <w:lang w:val="en-GB"/>
              </w:rPr>
              <w:t>5</w:t>
            </w:r>
          </w:p>
        </w:tc>
      </w:tr>
      <w:tr w:rsidR="00061B18" w:rsidRPr="005F4CD3" w:rsidTr="009D7AFB">
        <w:tc>
          <w:tcPr>
            <w:tcW w:w="1271" w:type="dxa"/>
          </w:tcPr>
          <w:p w:rsidR="00061B18" w:rsidRPr="009D7AFB" w:rsidRDefault="00061B18" w:rsidP="00B708D0">
            <w:pPr>
              <w:rPr>
                <w:rFonts w:cstheme="minorHAnsi"/>
                <w:sz w:val="20"/>
                <w:szCs w:val="20"/>
                <w:lang w:val="en-GB"/>
              </w:rPr>
            </w:pPr>
            <w:r w:rsidRPr="009D7AFB">
              <w:rPr>
                <w:rFonts w:cstheme="minorHAnsi"/>
                <w:sz w:val="20"/>
                <w:szCs w:val="20"/>
                <w:lang w:val="en-GB"/>
              </w:rPr>
              <w:t>Fujikado 2014</w:t>
            </w:r>
          </w:p>
        </w:tc>
        <w:tc>
          <w:tcPr>
            <w:tcW w:w="1559"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993" w:type="dxa"/>
          </w:tcPr>
          <w:p w:rsidR="00061B18" w:rsidRPr="009D7AFB" w:rsidRDefault="00061B18" w:rsidP="00B708D0">
            <w:pPr>
              <w:rPr>
                <w:rFonts w:cstheme="minorHAnsi"/>
                <w:sz w:val="20"/>
                <w:szCs w:val="20"/>
                <w:lang w:val="en-GB"/>
              </w:rPr>
            </w:pPr>
            <w:r w:rsidRPr="009D7AFB">
              <w:rPr>
                <w:rFonts w:cstheme="minorHAnsi"/>
                <w:sz w:val="20"/>
                <w:szCs w:val="20"/>
                <w:lang w:val="en-GB"/>
              </w:rPr>
              <w:t>SB</w:t>
            </w:r>
          </w:p>
        </w:tc>
        <w:tc>
          <w:tcPr>
            <w:tcW w:w="1134"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1417" w:type="dxa"/>
          </w:tcPr>
          <w:p w:rsidR="00061B18" w:rsidRPr="009D7AFB" w:rsidRDefault="00061B18" w:rsidP="00B708D0">
            <w:pPr>
              <w:rPr>
                <w:rFonts w:cstheme="minorHAnsi"/>
                <w:sz w:val="20"/>
                <w:szCs w:val="20"/>
                <w:lang w:val="en-GB"/>
              </w:rPr>
            </w:pPr>
            <w:r w:rsidRPr="009D7AFB">
              <w:rPr>
                <w:rFonts w:cstheme="minorHAnsi"/>
                <w:sz w:val="20"/>
                <w:szCs w:val="20"/>
                <w:lang w:val="en-GB"/>
              </w:rPr>
              <w:t>Adequate</w:t>
            </w:r>
          </w:p>
        </w:tc>
        <w:tc>
          <w:tcPr>
            <w:tcW w:w="1276" w:type="dxa"/>
          </w:tcPr>
          <w:p w:rsidR="00061B18" w:rsidRPr="009D7AFB" w:rsidRDefault="00061B18" w:rsidP="00B708D0">
            <w:pPr>
              <w:rPr>
                <w:rFonts w:cstheme="minorHAnsi"/>
                <w:sz w:val="20"/>
                <w:szCs w:val="20"/>
                <w:lang w:val="en-GB"/>
              </w:rPr>
            </w:pPr>
            <w:r w:rsidRPr="009D7AFB">
              <w:rPr>
                <w:rFonts w:cstheme="minorHAnsi"/>
                <w:sz w:val="20"/>
                <w:szCs w:val="20"/>
                <w:lang w:val="en-GB"/>
              </w:rPr>
              <w:t>PP</w:t>
            </w:r>
          </w:p>
        </w:tc>
        <w:tc>
          <w:tcPr>
            <w:tcW w:w="1134" w:type="dxa"/>
          </w:tcPr>
          <w:p w:rsidR="00061B18" w:rsidRPr="009D7AFB" w:rsidRDefault="00061B18" w:rsidP="00B708D0">
            <w:pPr>
              <w:rPr>
                <w:rFonts w:cstheme="minorHAnsi"/>
                <w:sz w:val="20"/>
                <w:szCs w:val="20"/>
                <w:lang w:val="en-GB"/>
              </w:rPr>
            </w:pPr>
            <w:r w:rsidRPr="009D7AFB">
              <w:rPr>
                <w:rFonts w:cstheme="minorHAnsi"/>
                <w:sz w:val="20"/>
                <w:szCs w:val="20"/>
                <w:lang w:val="en-GB"/>
              </w:rPr>
              <w:t>4</w:t>
            </w:r>
          </w:p>
        </w:tc>
      </w:tr>
    </w:tbl>
    <w:p w:rsidR="00061B18" w:rsidRDefault="00061B18" w:rsidP="00061B18">
      <w:pPr>
        <w:spacing w:line="240" w:lineRule="auto"/>
        <w:rPr>
          <w:sz w:val="18"/>
          <w:szCs w:val="18"/>
          <w:lang w:val="en-GB"/>
        </w:rPr>
      </w:pPr>
    </w:p>
    <w:p w:rsidR="00061B18" w:rsidRPr="00B708D0" w:rsidRDefault="00061B18" w:rsidP="00B708D0">
      <w:pPr>
        <w:spacing w:line="240" w:lineRule="auto"/>
        <w:rPr>
          <w:rFonts w:ascii="Arial" w:hAnsi="Arial" w:cs="Arial"/>
          <w:sz w:val="16"/>
          <w:szCs w:val="16"/>
          <w:lang w:val="en-GB"/>
        </w:rPr>
      </w:pPr>
      <w:r w:rsidRPr="00B708D0">
        <w:rPr>
          <w:rFonts w:ascii="Arial" w:hAnsi="Arial" w:cs="Arial"/>
          <w:sz w:val="16"/>
          <w:szCs w:val="16"/>
          <w:lang w:val="en-GB"/>
        </w:rPr>
        <w:t>DB, double binding; SB, single blinding; NO, no blinding or no allocation concealment; PP, per-protocol analysis; ITT, intention-to-treat analysis; RCTs, randomized controlled trials</w:t>
      </w:r>
    </w:p>
    <w:p w:rsidR="00D615A8" w:rsidRDefault="00D615A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9D7AFB" w:rsidRDefault="009D7AFB" w:rsidP="00D615A8">
      <w:pPr>
        <w:rPr>
          <w:lang w:val="en-US"/>
        </w:rPr>
      </w:pPr>
    </w:p>
    <w:p w:rsidR="009D7AFB" w:rsidRDefault="009D7AFB" w:rsidP="00D615A8">
      <w:pPr>
        <w:rPr>
          <w:lang w:val="en-US"/>
        </w:rPr>
      </w:pPr>
    </w:p>
    <w:p w:rsidR="00061B18" w:rsidRDefault="00061B18" w:rsidP="00D615A8">
      <w:pPr>
        <w:rPr>
          <w:lang w:val="en-US"/>
        </w:rPr>
      </w:pPr>
    </w:p>
    <w:p w:rsidR="00061B18" w:rsidRPr="009D7AFB" w:rsidRDefault="00061B18" w:rsidP="00061B18">
      <w:pPr>
        <w:jc w:val="center"/>
        <w:rPr>
          <w:rFonts w:cstheme="minorHAnsi"/>
          <w:b/>
          <w:sz w:val="24"/>
          <w:szCs w:val="24"/>
          <w:lang w:val="en-GB"/>
        </w:rPr>
      </w:pPr>
      <w:r w:rsidRPr="009D7AFB">
        <w:rPr>
          <w:rFonts w:cstheme="minorHAnsi"/>
          <w:b/>
          <w:sz w:val="24"/>
          <w:szCs w:val="24"/>
          <w:lang w:val="en-GB"/>
        </w:rPr>
        <w:lastRenderedPageBreak/>
        <w:t>Tab</w:t>
      </w:r>
      <w:r w:rsidR="00C5734E">
        <w:rPr>
          <w:rFonts w:cstheme="minorHAnsi"/>
          <w:b/>
          <w:sz w:val="24"/>
          <w:szCs w:val="24"/>
          <w:lang w:val="en-GB"/>
        </w:rPr>
        <w:t>le S8</w:t>
      </w:r>
      <w:r w:rsidRPr="009D7AFB">
        <w:rPr>
          <w:rFonts w:cstheme="minorHAnsi"/>
          <w:b/>
          <w:sz w:val="24"/>
          <w:szCs w:val="24"/>
          <w:lang w:val="en-GB"/>
        </w:rPr>
        <w:t>. Methodological quality of included cohort studies assessed using Newcastle-Ottawa Quality Assessment Scale.</w:t>
      </w:r>
    </w:p>
    <w:tbl>
      <w:tblPr>
        <w:tblStyle w:val="TableGrid"/>
        <w:tblW w:w="10017" w:type="dxa"/>
        <w:tblInd w:w="-755" w:type="dxa"/>
        <w:tblLook w:val="04A0" w:firstRow="1" w:lastRow="0" w:firstColumn="1" w:lastColumn="0" w:noHBand="0" w:noVBand="1"/>
      </w:tblPr>
      <w:tblGrid>
        <w:gridCol w:w="1234"/>
        <w:gridCol w:w="1264"/>
        <w:gridCol w:w="865"/>
        <w:gridCol w:w="1241"/>
        <w:gridCol w:w="881"/>
        <w:gridCol w:w="1219"/>
        <w:gridCol w:w="1050"/>
        <w:gridCol w:w="746"/>
        <w:gridCol w:w="902"/>
        <w:gridCol w:w="615"/>
      </w:tblGrid>
      <w:tr w:rsidR="00061B18" w:rsidRPr="009D7AFB" w:rsidTr="00EF4B76">
        <w:tc>
          <w:tcPr>
            <w:tcW w:w="0" w:type="auto"/>
          </w:tcPr>
          <w:p w:rsidR="00061B18" w:rsidRPr="009D7AFB" w:rsidRDefault="00061B18" w:rsidP="00EF4B76">
            <w:pPr>
              <w:rPr>
                <w:rFonts w:cstheme="minorHAnsi"/>
                <w:b/>
                <w:sz w:val="17"/>
                <w:szCs w:val="17"/>
                <w:lang w:val="en-GB"/>
              </w:rPr>
            </w:pPr>
          </w:p>
        </w:tc>
        <w:tc>
          <w:tcPr>
            <w:tcW w:w="0" w:type="auto"/>
            <w:gridSpan w:val="4"/>
          </w:tcPr>
          <w:p w:rsidR="00061B18" w:rsidRPr="009D7AFB" w:rsidRDefault="00061B18" w:rsidP="00EF4B76">
            <w:pPr>
              <w:rPr>
                <w:rFonts w:cstheme="minorHAnsi"/>
                <w:b/>
                <w:sz w:val="17"/>
                <w:szCs w:val="17"/>
                <w:lang w:val="en-GB"/>
              </w:rPr>
            </w:pPr>
            <w:r w:rsidRPr="009D7AFB">
              <w:rPr>
                <w:rFonts w:cstheme="minorHAnsi"/>
                <w:b/>
                <w:sz w:val="17"/>
                <w:szCs w:val="17"/>
                <w:lang w:val="en-GB"/>
              </w:rPr>
              <w:t>Selection</w:t>
            </w:r>
          </w:p>
        </w:tc>
        <w:tc>
          <w:tcPr>
            <w:tcW w:w="0" w:type="auto"/>
          </w:tcPr>
          <w:p w:rsidR="00061B18" w:rsidRPr="009D7AFB" w:rsidRDefault="00061B18" w:rsidP="00EF4B76">
            <w:pPr>
              <w:rPr>
                <w:rFonts w:cstheme="minorHAnsi"/>
                <w:b/>
                <w:sz w:val="17"/>
                <w:szCs w:val="17"/>
                <w:lang w:val="en-GB"/>
              </w:rPr>
            </w:pPr>
          </w:p>
        </w:tc>
        <w:tc>
          <w:tcPr>
            <w:tcW w:w="3313" w:type="dxa"/>
            <w:gridSpan w:val="4"/>
          </w:tcPr>
          <w:p w:rsidR="00061B18" w:rsidRPr="009D7AFB" w:rsidRDefault="00061B18" w:rsidP="00EF4B76">
            <w:pPr>
              <w:rPr>
                <w:rFonts w:cstheme="minorHAnsi"/>
                <w:b/>
                <w:sz w:val="17"/>
                <w:szCs w:val="17"/>
                <w:lang w:val="en-GB"/>
              </w:rPr>
            </w:pPr>
            <w:r w:rsidRPr="009D7AFB">
              <w:rPr>
                <w:rFonts w:cstheme="minorHAnsi"/>
                <w:b/>
                <w:sz w:val="17"/>
                <w:szCs w:val="17"/>
                <w:lang w:val="en-GB"/>
              </w:rPr>
              <w:t>Outcome</w:t>
            </w:r>
          </w:p>
        </w:tc>
      </w:tr>
      <w:tr w:rsidR="00061B18" w:rsidRPr="009D7AFB" w:rsidTr="00EF4B76">
        <w:tc>
          <w:tcPr>
            <w:tcW w:w="0" w:type="auto"/>
          </w:tcPr>
          <w:p w:rsidR="00061B18" w:rsidRPr="009D7AFB" w:rsidRDefault="00061B18" w:rsidP="00EF4B76">
            <w:pPr>
              <w:rPr>
                <w:rFonts w:cstheme="minorHAnsi"/>
                <w:b/>
                <w:sz w:val="17"/>
                <w:szCs w:val="17"/>
                <w:lang w:val="en-GB"/>
              </w:rPr>
            </w:pPr>
            <w:r w:rsidRPr="009D7AFB">
              <w:rPr>
                <w:rFonts w:cstheme="minorHAnsi"/>
                <w:b/>
                <w:sz w:val="17"/>
                <w:szCs w:val="17"/>
                <w:lang w:val="en-GB"/>
              </w:rPr>
              <w:t>Primary study</w:t>
            </w:r>
          </w:p>
        </w:tc>
        <w:tc>
          <w:tcPr>
            <w:tcW w:w="0" w:type="auto"/>
          </w:tcPr>
          <w:p w:rsidR="00061B18" w:rsidRPr="009D7AFB" w:rsidRDefault="00061B18" w:rsidP="00EF4B76">
            <w:pPr>
              <w:rPr>
                <w:rFonts w:cstheme="minorHAnsi"/>
                <w:b/>
                <w:sz w:val="17"/>
                <w:szCs w:val="17"/>
                <w:lang w:val="en-GB"/>
              </w:rPr>
            </w:pPr>
            <w:r w:rsidRPr="009D7AFB">
              <w:rPr>
                <w:rFonts w:cstheme="minorHAnsi"/>
                <w:b/>
                <w:sz w:val="17"/>
                <w:szCs w:val="17"/>
                <w:lang w:val="en-GB"/>
              </w:rPr>
              <w:t>Exposed cohort representative</w:t>
            </w:r>
          </w:p>
        </w:tc>
        <w:tc>
          <w:tcPr>
            <w:tcW w:w="0" w:type="auto"/>
          </w:tcPr>
          <w:p w:rsidR="00061B18" w:rsidRPr="009D7AFB" w:rsidRDefault="00061B18" w:rsidP="00EF4B76">
            <w:pPr>
              <w:rPr>
                <w:rFonts w:cstheme="minorHAnsi"/>
                <w:b/>
                <w:sz w:val="17"/>
                <w:szCs w:val="17"/>
                <w:lang w:val="en-GB"/>
              </w:rPr>
            </w:pPr>
            <w:r w:rsidRPr="009D7AFB">
              <w:rPr>
                <w:rFonts w:cstheme="minorHAnsi"/>
                <w:b/>
                <w:sz w:val="17"/>
                <w:szCs w:val="17"/>
                <w:lang w:val="en-GB"/>
              </w:rPr>
              <w:t>Non-exposed cohort selection</w:t>
            </w:r>
          </w:p>
        </w:tc>
        <w:tc>
          <w:tcPr>
            <w:tcW w:w="0" w:type="auto"/>
          </w:tcPr>
          <w:p w:rsidR="00061B18" w:rsidRPr="009D7AFB" w:rsidRDefault="00061B18" w:rsidP="00EF4B76">
            <w:pPr>
              <w:rPr>
                <w:rFonts w:cstheme="minorHAnsi"/>
                <w:b/>
                <w:sz w:val="17"/>
                <w:szCs w:val="17"/>
                <w:lang w:val="en-GB"/>
              </w:rPr>
            </w:pPr>
            <w:r w:rsidRPr="009D7AFB">
              <w:rPr>
                <w:rFonts w:cstheme="minorHAnsi"/>
                <w:b/>
                <w:sz w:val="17"/>
                <w:szCs w:val="17"/>
                <w:lang w:val="en-GB"/>
              </w:rPr>
              <w:t>Exposure ascertainment</w:t>
            </w:r>
          </w:p>
        </w:tc>
        <w:tc>
          <w:tcPr>
            <w:tcW w:w="0" w:type="auto"/>
          </w:tcPr>
          <w:p w:rsidR="00061B18" w:rsidRPr="009D7AFB" w:rsidRDefault="00061B18" w:rsidP="00EF4B76">
            <w:pPr>
              <w:rPr>
                <w:rFonts w:cstheme="minorHAnsi"/>
                <w:b/>
                <w:sz w:val="17"/>
                <w:szCs w:val="17"/>
                <w:lang w:val="en-GB"/>
              </w:rPr>
            </w:pPr>
            <w:r w:rsidRPr="009D7AFB">
              <w:rPr>
                <w:rFonts w:cstheme="minorHAnsi"/>
                <w:b/>
                <w:sz w:val="17"/>
                <w:szCs w:val="17"/>
                <w:lang w:val="en-GB"/>
              </w:rPr>
              <w:t>Outcome not present at start</w:t>
            </w:r>
          </w:p>
        </w:tc>
        <w:tc>
          <w:tcPr>
            <w:tcW w:w="0" w:type="auto"/>
          </w:tcPr>
          <w:p w:rsidR="00061B18" w:rsidRPr="009D7AFB" w:rsidRDefault="00061B18" w:rsidP="00EF4B76">
            <w:pPr>
              <w:rPr>
                <w:rFonts w:cstheme="minorHAnsi"/>
                <w:b/>
                <w:sz w:val="17"/>
                <w:szCs w:val="17"/>
                <w:lang w:val="en-GB"/>
              </w:rPr>
            </w:pPr>
            <w:r w:rsidRPr="009D7AFB">
              <w:rPr>
                <w:rFonts w:cstheme="minorHAnsi"/>
                <w:b/>
                <w:sz w:val="17"/>
                <w:szCs w:val="17"/>
                <w:lang w:val="en-GB"/>
              </w:rPr>
              <w:t>Comparability of cohorts</w:t>
            </w:r>
          </w:p>
        </w:tc>
        <w:tc>
          <w:tcPr>
            <w:tcW w:w="0" w:type="auto"/>
          </w:tcPr>
          <w:p w:rsidR="00061B18" w:rsidRPr="009D7AFB" w:rsidRDefault="00061B18" w:rsidP="00EF4B76">
            <w:pPr>
              <w:rPr>
                <w:rFonts w:cstheme="minorHAnsi"/>
                <w:b/>
                <w:sz w:val="17"/>
                <w:szCs w:val="17"/>
                <w:lang w:val="en-GB"/>
              </w:rPr>
            </w:pPr>
            <w:r w:rsidRPr="009D7AFB">
              <w:rPr>
                <w:rFonts w:cstheme="minorHAnsi"/>
                <w:b/>
                <w:sz w:val="17"/>
                <w:szCs w:val="17"/>
                <w:lang w:val="en-GB"/>
              </w:rPr>
              <w:t>Assessment</w:t>
            </w:r>
          </w:p>
        </w:tc>
        <w:tc>
          <w:tcPr>
            <w:tcW w:w="0" w:type="auto"/>
          </w:tcPr>
          <w:p w:rsidR="00061B18" w:rsidRPr="009D7AFB" w:rsidRDefault="00061B18" w:rsidP="00EF4B76">
            <w:pPr>
              <w:rPr>
                <w:rFonts w:cstheme="minorHAnsi"/>
                <w:b/>
                <w:sz w:val="17"/>
                <w:szCs w:val="17"/>
                <w:lang w:val="en-GB"/>
              </w:rPr>
            </w:pPr>
            <w:r w:rsidRPr="009D7AFB">
              <w:rPr>
                <w:rFonts w:cstheme="minorHAnsi"/>
                <w:b/>
                <w:sz w:val="17"/>
                <w:szCs w:val="17"/>
                <w:lang w:val="en-GB"/>
              </w:rPr>
              <w:t>Follow-up length</w:t>
            </w:r>
          </w:p>
        </w:tc>
        <w:tc>
          <w:tcPr>
            <w:tcW w:w="0" w:type="auto"/>
          </w:tcPr>
          <w:p w:rsidR="00061B18" w:rsidRPr="009D7AFB" w:rsidRDefault="00061B18" w:rsidP="00EF4B76">
            <w:pPr>
              <w:rPr>
                <w:rFonts w:cstheme="minorHAnsi"/>
                <w:b/>
                <w:sz w:val="17"/>
                <w:szCs w:val="17"/>
                <w:lang w:val="en-GB"/>
              </w:rPr>
            </w:pPr>
            <w:r w:rsidRPr="009D7AFB">
              <w:rPr>
                <w:rFonts w:cstheme="minorHAnsi"/>
                <w:b/>
                <w:sz w:val="17"/>
                <w:szCs w:val="17"/>
                <w:lang w:val="en-GB"/>
              </w:rPr>
              <w:t>Follow-up adequacy</w:t>
            </w:r>
          </w:p>
        </w:tc>
        <w:tc>
          <w:tcPr>
            <w:tcW w:w="615" w:type="dxa"/>
          </w:tcPr>
          <w:p w:rsidR="00061B18" w:rsidRPr="009D7AFB" w:rsidRDefault="00061B18" w:rsidP="00EF4B76">
            <w:pPr>
              <w:rPr>
                <w:rFonts w:cstheme="minorHAnsi"/>
                <w:b/>
                <w:sz w:val="17"/>
                <w:szCs w:val="17"/>
                <w:lang w:val="en-GB"/>
              </w:rPr>
            </w:pPr>
            <w:r w:rsidRPr="009D7AFB">
              <w:rPr>
                <w:rFonts w:cstheme="minorHAnsi"/>
                <w:b/>
                <w:sz w:val="17"/>
                <w:szCs w:val="17"/>
                <w:lang w:val="en-GB"/>
              </w:rPr>
              <w:t>NOS score</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Brodstein 1984</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8</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Chen 2013</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Cho 2005</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Clark 2015</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7</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Fan 2007</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Fang 2010</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Hiraoka 2012</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8</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Kakita 2011</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8</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Kennedy 2000</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Lee 2006</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Paune 2015</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Sankaridurg 2011</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Santodomingo – Rubido 2012</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Walline 2009</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US"/>
              </w:rPr>
            </w:pPr>
            <w:r w:rsidRPr="009D7AFB">
              <w:rPr>
                <w:rFonts w:cstheme="minorHAnsi"/>
                <w:sz w:val="18"/>
                <w:szCs w:val="18"/>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Walline 2013</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Wu 2011</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9</w:t>
            </w:r>
          </w:p>
        </w:tc>
      </w:tr>
      <w:tr w:rsidR="00061B18" w:rsidRPr="009D7AFB" w:rsidTr="00EF4B76">
        <w:tc>
          <w:tcPr>
            <w:tcW w:w="0" w:type="auto"/>
          </w:tcPr>
          <w:p w:rsidR="00061B18" w:rsidRPr="009D7AFB" w:rsidRDefault="00061B18" w:rsidP="00EF4B76">
            <w:pPr>
              <w:rPr>
                <w:rFonts w:cstheme="minorHAnsi"/>
                <w:sz w:val="17"/>
                <w:szCs w:val="17"/>
                <w:lang w:val="en-GB"/>
              </w:rPr>
            </w:pPr>
            <w:r w:rsidRPr="009D7AFB">
              <w:rPr>
                <w:rFonts w:cstheme="minorHAnsi"/>
                <w:sz w:val="17"/>
                <w:szCs w:val="17"/>
                <w:lang w:val="en-GB"/>
              </w:rPr>
              <w:t>Zhu 2014</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0" w:type="auto"/>
          </w:tcPr>
          <w:p w:rsidR="00061B18" w:rsidRPr="009D7AFB" w:rsidRDefault="00061B18" w:rsidP="00EF4B76">
            <w:pPr>
              <w:rPr>
                <w:rFonts w:cstheme="minorHAnsi"/>
                <w:sz w:val="24"/>
                <w:szCs w:val="24"/>
                <w:lang w:val="en-GB"/>
              </w:rPr>
            </w:pPr>
            <w:r w:rsidRPr="009D7AFB">
              <w:rPr>
                <w:rFonts w:cstheme="minorHAnsi"/>
                <w:sz w:val="24"/>
                <w:szCs w:val="24"/>
                <w:lang w:val="en-GB"/>
              </w:rPr>
              <w:t>*</w:t>
            </w:r>
          </w:p>
        </w:tc>
        <w:tc>
          <w:tcPr>
            <w:tcW w:w="615" w:type="dxa"/>
          </w:tcPr>
          <w:p w:rsidR="00061B18" w:rsidRPr="009D7AFB" w:rsidRDefault="00061B18" w:rsidP="00EF4B76">
            <w:pPr>
              <w:rPr>
                <w:rFonts w:cstheme="minorHAnsi"/>
                <w:sz w:val="18"/>
                <w:szCs w:val="18"/>
                <w:lang w:val="en-GB"/>
              </w:rPr>
            </w:pPr>
            <w:r w:rsidRPr="009D7AFB">
              <w:rPr>
                <w:rFonts w:cstheme="minorHAnsi"/>
                <w:sz w:val="18"/>
                <w:szCs w:val="18"/>
                <w:lang w:val="en-GB"/>
              </w:rPr>
              <w:t>8</w:t>
            </w:r>
          </w:p>
        </w:tc>
      </w:tr>
    </w:tbl>
    <w:p w:rsidR="00061B18" w:rsidRPr="009D7AFB" w:rsidRDefault="00061B18" w:rsidP="00061B18">
      <w:pPr>
        <w:autoSpaceDE w:val="0"/>
        <w:autoSpaceDN w:val="0"/>
        <w:adjustRightInd w:val="0"/>
        <w:spacing w:after="0" w:line="240" w:lineRule="auto"/>
        <w:rPr>
          <w:rFonts w:cstheme="minorHAnsi"/>
          <w:sz w:val="18"/>
          <w:szCs w:val="18"/>
          <w:lang w:val="en-US"/>
        </w:rPr>
      </w:pPr>
    </w:p>
    <w:p w:rsidR="00061B18" w:rsidRPr="009D7AFB" w:rsidRDefault="00061B18" w:rsidP="00061B18">
      <w:pPr>
        <w:autoSpaceDE w:val="0"/>
        <w:autoSpaceDN w:val="0"/>
        <w:adjustRightInd w:val="0"/>
        <w:spacing w:after="0" w:line="240" w:lineRule="auto"/>
        <w:rPr>
          <w:rFonts w:cstheme="minorHAnsi"/>
          <w:sz w:val="16"/>
          <w:szCs w:val="16"/>
          <w:lang w:val="en-US"/>
        </w:rPr>
      </w:pPr>
      <w:r w:rsidRPr="009D7AFB">
        <w:rPr>
          <w:rFonts w:cstheme="minorHAnsi"/>
          <w:sz w:val="16"/>
          <w:szCs w:val="16"/>
          <w:lang w:val="en-GB"/>
        </w:rPr>
        <w:t>*</w:t>
      </w:r>
      <w:r w:rsidRPr="009D7AFB">
        <w:rPr>
          <w:rFonts w:cstheme="minorHAnsi"/>
          <w:sz w:val="16"/>
          <w:szCs w:val="16"/>
          <w:lang w:val="en-US"/>
        </w:rPr>
        <w:t xml:space="preserve">indicates score. A study can be awarded a maximum of one star for each item in the Selection and Outcome categories. A maximum of two stars can be awarded for comparability. </w:t>
      </w:r>
    </w:p>
    <w:p w:rsidR="00061B18" w:rsidRPr="009D7AFB" w:rsidRDefault="00061B18" w:rsidP="00061B18">
      <w:pPr>
        <w:tabs>
          <w:tab w:val="left" w:pos="5775"/>
        </w:tabs>
        <w:autoSpaceDE w:val="0"/>
        <w:autoSpaceDN w:val="0"/>
        <w:adjustRightInd w:val="0"/>
        <w:spacing w:after="0" w:line="240" w:lineRule="auto"/>
        <w:rPr>
          <w:rFonts w:cstheme="minorHAnsi"/>
          <w:sz w:val="16"/>
          <w:szCs w:val="16"/>
          <w:lang w:val="en-US"/>
        </w:rPr>
      </w:pPr>
      <w:r w:rsidRPr="009D7AFB">
        <w:rPr>
          <w:rFonts w:cstheme="minorHAnsi"/>
          <w:sz w:val="16"/>
          <w:szCs w:val="16"/>
          <w:lang w:val="en-US"/>
        </w:rPr>
        <w:tab/>
      </w: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61B18" w:rsidRDefault="00061B18" w:rsidP="00D615A8">
      <w:pPr>
        <w:rPr>
          <w:lang w:val="en-US"/>
        </w:rPr>
      </w:pPr>
    </w:p>
    <w:p w:rsidR="000F3322" w:rsidRPr="009D7AFB" w:rsidRDefault="00C5734E" w:rsidP="000F3322">
      <w:pPr>
        <w:spacing w:line="360" w:lineRule="auto"/>
        <w:jc w:val="center"/>
        <w:rPr>
          <w:rFonts w:cstheme="minorHAnsi"/>
          <w:sz w:val="24"/>
          <w:szCs w:val="24"/>
          <w:lang w:val="en-GB"/>
        </w:rPr>
      </w:pPr>
      <w:r>
        <w:rPr>
          <w:rFonts w:cstheme="minorHAnsi"/>
          <w:b/>
          <w:sz w:val="24"/>
          <w:szCs w:val="24"/>
          <w:lang w:val="en-GB"/>
        </w:rPr>
        <w:lastRenderedPageBreak/>
        <w:t>Table S9</w:t>
      </w:r>
      <w:r w:rsidR="000F3322" w:rsidRPr="009D7AFB">
        <w:rPr>
          <w:rFonts w:cstheme="minorHAnsi"/>
          <w:b/>
          <w:sz w:val="24"/>
          <w:szCs w:val="24"/>
          <w:lang w:val="en-GB"/>
        </w:rPr>
        <w:t>. Summary of qualitative and quantitative findings of each study</w:t>
      </w:r>
      <w:r w:rsidR="005E369F" w:rsidRPr="009D7AFB">
        <w:rPr>
          <w:rFonts w:cstheme="minorHAnsi"/>
          <w:b/>
          <w:sz w:val="24"/>
          <w:szCs w:val="24"/>
          <w:lang w:val="en-GB"/>
        </w:rPr>
        <w:t xml:space="preserve">. </w:t>
      </w:r>
    </w:p>
    <w:tbl>
      <w:tblPr>
        <w:tblStyle w:val="TableGrid"/>
        <w:tblW w:w="9351" w:type="dxa"/>
        <w:jc w:val="center"/>
        <w:tblLayout w:type="fixed"/>
        <w:tblLook w:val="04A0" w:firstRow="1" w:lastRow="0" w:firstColumn="1" w:lastColumn="0" w:noHBand="0" w:noVBand="1"/>
      </w:tblPr>
      <w:tblGrid>
        <w:gridCol w:w="988"/>
        <w:gridCol w:w="2268"/>
        <w:gridCol w:w="2835"/>
        <w:gridCol w:w="3260"/>
      </w:tblGrid>
      <w:tr w:rsidR="000F3322" w:rsidRPr="009D7AFB" w:rsidTr="005E369F">
        <w:trPr>
          <w:cantSplit/>
          <w:tblHeader/>
          <w:jc w:val="center"/>
        </w:trPr>
        <w:tc>
          <w:tcPr>
            <w:tcW w:w="988" w:type="dxa"/>
            <w:shd w:val="clear" w:color="auto" w:fill="B4C6E7" w:themeFill="accent5" w:themeFillTint="66"/>
          </w:tcPr>
          <w:p w:rsidR="000F3322" w:rsidRPr="009D7AFB" w:rsidRDefault="000F3322" w:rsidP="005E369F">
            <w:pPr>
              <w:rPr>
                <w:rFonts w:cstheme="minorHAnsi"/>
                <w:b/>
                <w:sz w:val="20"/>
                <w:szCs w:val="20"/>
                <w:lang w:val="en-GB"/>
              </w:rPr>
            </w:pPr>
            <w:r w:rsidRPr="009D7AFB">
              <w:rPr>
                <w:rFonts w:cstheme="minorHAnsi"/>
                <w:b/>
                <w:sz w:val="20"/>
                <w:szCs w:val="20"/>
                <w:lang w:val="en-GB"/>
              </w:rPr>
              <w:t>Review</w:t>
            </w:r>
          </w:p>
        </w:tc>
        <w:tc>
          <w:tcPr>
            <w:tcW w:w="2268" w:type="dxa"/>
            <w:shd w:val="clear" w:color="auto" w:fill="B4C6E7" w:themeFill="accent5" w:themeFillTint="66"/>
          </w:tcPr>
          <w:p w:rsidR="000F3322" w:rsidRPr="009D7AFB" w:rsidRDefault="000F3322" w:rsidP="005E369F">
            <w:pPr>
              <w:jc w:val="center"/>
              <w:rPr>
                <w:rFonts w:cstheme="minorHAnsi"/>
                <w:b/>
                <w:sz w:val="20"/>
                <w:szCs w:val="20"/>
                <w:lang w:val="en-GB"/>
              </w:rPr>
            </w:pPr>
            <w:r w:rsidRPr="009D7AFB">
              <w:rPr>
                <w:rFonts w:cstheme="minorHAnsi"/>
                <w:b/>
                <w:sz w:val="20"/>
                <w:szCs w:val="20"/>
                <w:lang w:val="en-GB"/>
              </w:rPr>
              <w:t>Results</w:t>
            </w:r>
          </w:p>
        </w:tc>
        <w:tc>
          <w:tcPr>
            <w:tcW w:w="2835" w:type="dxa"/>
            <w:shd w:val="clear" w:color="auto" w:fill="B4C6E7" w:themeFill="accent5" w:themeFillTint="66"/>
          </w:tcPr>
          <w:p w:rsidR="000F3322" w:rsidRPr="009D7AFB" w:rsidRDefault="000F3322" w:rsidP="005E369F">
            <w:pPr>
              <w:jc w:val="center"/>
              <w:rPr>
                <w:rFonts w:cstheme="minorHAnsi"/>
                <w:b/>
                <w:sz w:val="20"/>
                <w:szCs w:val="20"/>
                <w:lang w:val="en-GB"/>
              </w:rPr>
            </w:pPr>
            <w:r w:rsidRPr="009D7AFB">
              <w:rPr>
                <w:rFonts w:cstheme="minorHAnsi"/>
                <w:b/>
                <w:sz w:val="20"/>
                <w:szCs w:val="20"/>
                <w:lang w:val="en-GB"/>
              </w:rPr>
              <w:t>Review Limitations</w:t>
            </w:r>
          </w:p>
        </w:tc>
        <w:tc>
          <w:tcPr>
            <w:tcW w:w="3260" w:type="dxa"/>
            <w:shd w:val="clear" w:color="auto" w:fill="B4C6E7" w:themeFill="accent5" w:themeFillTint="66"/>
          </w:tcPr>
          <w:p w:rsidR="000F3322" w:rsidRPr="009D7AFB" w:rsidRDefault="000F3322" w:rsidP="005E369F">
            <w:pPr>
              <w:jc w:val="center"/>
              <w:rPr>
                <w:rFonts w:cstheme="minorHAnsi"/>
                <w:b/>
                <w:sz w:val="20"/>
                <w:szCs w:val="20"/>
                <w:lang w:val="en-GB"/>
              </w:rPr>
            </w:pPr>
            <w:r w:rsidRPr="009D7AFB">
              <w:rPr>
                <w:rFonts w:cstheme="minorHAnsi"/>
                <w:b/>
                <w:sz w:val="20"/>
                <w:szCs w:val="20"/>
                <w:lang w:val="en-GB"/>
              </w:rPr>
              <w:t>Conclusions</w:t>
            </w:r>
          </w:p>
        </w:tc>
      </w:tr>
      <w:tr w:rsidR="000F3322" w:rsidRPr="00273BCC"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Walline et al. 2011</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Anti-muscarinic agents and multifocals appear effective, RGPCLs show no evidence of effect, undercorrection increases myopia progression.</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Protocol amendment, several included funded studies, no blinding in many included studies, possible attrition bias – only 3 studies performed ITT, funded review, dual co-authorship</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Anti-muscarinic topical medication appears as the most effective intervention, despite side effects. Further investigation of corneal reshaping contact lenses or soft bifocal contact lenses is warranted.</w:t>
            </w:r>
          </w:p>
        </w:tc>
      </w:tr>
      <w:tr w:rsidR="000F3322" w:rsidRPr="00273BCC"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Sherwin et al. 2012</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Increase in hours per week of time spent outdoors associated with reduced odds of myopia.</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 xml:space="preserve">Conference abstracts excluded, </w:t>
            </w:r>
          </w:p>
          <w:p w:rsidR="000F3322" w:rsidRPr="009D7AFB" w:rsidRDefault="000F3322" w:rsidP="005E369F">
            <w:pPr>
              <w:jc w:val="center"/>
              <w:rPr>
                <w:rFonts w:cstheme="minorHAnsi"/>
                <w:sz w:val="20"/>
                <w:szCs w:val="20"/>
                <w:lang w:val="en-GB"/>
              </w:rPr>
            </w:pPr>
            <w:r w:rsidRPr="009D7AFB">
              <w:rPr>
                <w:rFonts w:cstheme="minorHAnsi"/>
                <w:sz w:val="20"/>
                <w:szCs w:val="20"/>
                <w:lang w:val="en-GB"/>
              </w:rPr>
              <w:t>variation between studies, differences in  outdoor exposure definitions, more excluded studies from meta-analysis than included, overlapping, possible publication and reporting biases</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Protective association between increasing time spent outdoors and prevalent myopia.</w:t>
            </w:r>
          </w:p>
        </w:tc>
      </w:tr>
      <w:tr w:rsidR="000F3322" w:rsidRPr="00273BCC"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Saw et al. 2002</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Inconclusive. Some evidence of 0.5% atropine eyedrops efficacy in slowing myopia progression.</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Majority of included RCTs performed per protocol analysis, potential exclusion of relevant studies, various follow-up periods</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Some evidence of 0.5% atropine eyedrops efficacy in slowing myopia progression. Larger RCTs with longer follow-up periods, as well as studies investigating pirenzepine needed.</w:t>
            </w:r>
          </w:p>
        </w:tc>
      </w:tr>
      <w:tr w:rsidR="000F3322" w:rsidRPr="00273BCC" w:rsidTr="005E369F">
        <w:trPr>
          <w:cantSplit/>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Wei et al. 2011</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No difference in AL between atropine + acupuncture and atropine only groups.</w:t>
            </w:r>
          </w:p>
        </w:tc>
        <w:tc>
          <w:tcPr>
            <w:tcW w:w="2835" w:type="dxa"/>
          </w:tcPr>
          <w:p w:rsidR="000F3322" w:rsidRPr="009D7AFB" w:rsidRDefault="000F3322" w:rsidP="009F421F">
            <w:pPr>
              <w:jc w:val="center"/>
              <w:rPr>
                <w:rFonts w:cstheme="minorHAnsi"/>
                <w:sz w:val="20"/>
                <w:szCs w:val="20"/>
                <w:lang w:val="en-GB"/>
              </w:rPr>
            </w:pPr>
            <w:r w:rsidRPr="009D7AFB">
              <w:rPr>
                <w:rFonts w:cstheme="minorHAnsi"/>
                <w:sz w:val="20"/>
                <w:szCs w:val="20"/>
                <w:lang w:val="en-GB"/>
              </w:rPr>
              <w:t>Only 2 trials included, analysis based on the mean of the two eyes change of refractive error, possible selection bias in 1 RCT, possi</w:t>
            </w:r>
            <w:r w:rsidR="009F421F" w:rsidRPr="009D7AFB">
              <w:rPr>
                <w:rFonts w:cstheme="minorHAnsi"/>
                <w:sz w:val="20"/>
                <w:szCs w:val="20"/>
                <w:lang w:val="en-GB"/>
              </w:rPr>
              <w:t>ble selective outcome reporting, n</w:t>
            </w:r>
            <w:r w:rsidRPr="009D7AFB">
              <w:rPr>
                <w:rFonts w:cstheme="minorHAnsi"/>
                <w:sz w:val="20"/>
                <w:szCs w:val="20"/>
                <w:lang w:val="en-GB"/>
              </w:rPr>
              <w:t>on-English trials may have not been identified</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No conclusions can be drawn for the benefit of acupuncture for slowing myopia progression. No recommendation for clinical use can be made until further research is conducted.</w:t>
            </w:r>
          </w:p>
        </w:tc>
      </w:tr>
      <w:tr w:rsidR="000F3322" w:rsidRPr="00273BCC"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Chassine et al. 2015</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Atropine, OK and bifocal devices can slow myopia progression. Time spent outdoors is important in preventing myopia.</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Language limitation, RCTs and observational included studies, possible selective outcome reporting</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Atropine, OK and bifocal devices can slow myopia progression. Further research and larger studies needed.</w:t>
            </w:r>
          </w:p>
        </w:tc>
      </w:tr>
      <w:tr w:rsidR="000F3322" w:rsidRPr="00273BCC"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Wen et al. 2015</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OK demonstrates efficacy and acceptability on myopic control, which appears to decrease with increasing age.</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Small sample size of included studies, dioptric ref</w:t>
            </w:r>
            <w:r w:rsidR="004212E4">
              <w:rPr>
                <w:rFonts w:cstheme="minorHAnsi"/>
                <w:sz w:val="20"/>
                <w:szCs w:val="20"/>
                <w:lang w:val="en-GB"/>
              </w:rPr>
              <w:t>ractive error and age not</w:t>
            </w:r>
            <w:r w:rsidR="004212E4" w:rsidRPr="004212E4">
              <w:rPr>
                <w:rFonts w:cstheme="minorHAnsi"/>
                <w:sz w:val="20"/>
                <w:szCs w:val="20"/>
                <w:lang w:val="en-US"/>
              </w:rPr>
              <w:t xml:space="preserve"> analyz</w:t>
            </w:r>
            <w:r w:rsidRPr="004212E4">
              <w:rPr>
                <w:rFonts w:cstheme="minorHAnsi"/>
                <w:sz w:val="20"/>
                <w:szCs w:val="20"/>
                <w:lang w:val="en-US"/>
              </w:rPr>
              <w:t>ed</w:t>
            </w:r>
            <w:r w:rsidRPr="009D7AFB">
              <w:rPr>
                <w:rFonts w:cstheme="minorHAnsi"/>
                <w:sz w:val="20"/>
                <w:szCs w:val="20"/>
                <w:lang w:val="en-GB"/>
              </w:rPr>
              <w:t>, only 2 year follow-up with exclusion of 1 study</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OK is effective and acceptable in restricting myopic progression with careful education and monitoring.</w:t>
            </w:r>
          </w:p>
        </w:tc>
      </w:tr>
      <w:tr w:rsidR="000F3322" w:rsidRPr="00273BCC"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Xiong et al. 2017</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Outdoor exposure has a protective effect on the onset of myopia, but not on myopia progression in already myopic individuals.</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Heterogeneity due to different study designs/age/ethnicities, possible noncompliance with control in clinical trials, possible overestimation of effect due to implemented method of assessment, bias due to conversions of original estimates</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Protective effect of improved outdoor time for onset but not progression of myopia.</w:t>
            </w:r>
          </w:p>
        </w:tc>
      </w:tr>
      <w:tr w:rsidR="000F3322" w:rsidRPr="00273BCC" w:rsidTr="005E369F">
        <w:trPr>
          <w:cantSplit/>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lastRenderedPageBreak/>
              <w:t>Gong et al. 2017</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Atropine slows myopia progression.</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 xml:space="preserve">Different types of studies combined, incomprehensive reports of adverse events, possible rebound effect and poor near vision acuity after atropine were not investigated, AL could not be evaluated  </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 xml:space="preserve">Atropine shows a dose independent efficacy in restriction of myopic progression. Adverse events are dose dependent.  Production of 0.01% atropine commercially could aid future research. </w:t>
            </w:r>
          </w:p>
        </w:tc>
      </w:tr>
      <w:tr w:rsidR="000F3322" w:rsidRPr="00273BCC"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Shih et al. 2016</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Atropine slows myopia progression.</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Language restriction, only published studies included</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Daily treatment with 0.01% atropine solution appears to provide the most effective and safe profile.</w:t>
            </w:r>
          </w:p>
        </w:tc>
      </w:tr>
      <w:tr w:rsidR="000F3322" w:rsidRPr="00273BCC" w:rsidTr="005E369F">
        <w:trPr>
          <w:trHeight w:val="1409"/>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Song et al. 2011</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Atropine slows myopia progression.</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1 year follow-up, only 2 studies reported on AL elongation</w:t>
            </w:r>
          </w:p>
          <w:p w:rsidR="000F3322" w:rsidRPr="009D7AFB" w:rsidRDefault="000F3322" w:rsidP="005E369F">
            <w:pPr>
              <w:jc w:val="center"/>
              <w:rPr>
                <w:rFonts w:cstheme="minorHAnsi"/>
                <w:sz w:val="20"/>
                <w:szCs w:val="20"/>
                <w:lang w:val="en-GB"/>
              </w:rPr>
            </w:pP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Positive dose -response relation for atropine and myopic change.</w:t>
            </w:r>
          </w:p>
        </w:tc>
      </w:tr>
      <w:tr w:rsidR="000F3322" w:rsidRPr="00273BCC"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Li et al. 2011</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Multifocal lenses slow myopia progression by 0.25D/year compared to SVLs and show greater effect in higher myopia at baseline and Asians.</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Various follow-up periods, only published studies included</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Multifocal lenses appear more efficient in slowing myopia progression in schoolchildren compared to SVLs.</w:t>
            </w:r>
          </w:p>
        </w:tc>
      </w:tr>
      <w:tr w:rsidR="000F3322" w:rsidRPr="00273BCC"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Li et al. 2014</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Atropine slows myopia progression in Asian and white populations.</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Different follow-up periods, separate evaluation of atropine effect in RCTS and cohorts, various ethnicities, various atropine concentrations, language restriction, external validity compromised</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Atropine slows myopia progression more in Asian than white populations</w:t>
            </w:r>
          </w:p>
          <w:p w:rsidR="000F3322" w:rsidRPr="009D7AFB" w:rsidRDefault="000F3322" w:rsidP="005E369F">
            <w:pPr>
              <w:jc w:val="center"/>
              <w:rPr>
                <w:rFonts w:cstheme="minorHAnsi"/>
                <w:sz w:val="20"/>
                <w:szCs w:val="20"/>
                <w:lang w:val="en-GB"/>
              </w:rPr>
            </w:pPr>
            <w:r w:rsidRPr="009D7AFB">
              <w:rPr>
                <w:rFonts w:cstheme="minorHAnsi"/>
                <w:sz w:val="20"/>
                <w:szCs w:val="20"/>
                <w:lang w:val="en-GB"/>
              </w:rPr>
              <w:t>Slowing of myopia progression independent of atropine concentration.</w:t>
            </w:r>
          </w:p>
        </w:tc>
      </w:tr>
      <w:tr w:rsidR="000F3322" w:rsidRPr="009D7AFB"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Sun et al. 2015</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Myopia progression is slower with OK compared to spectacles or soft contact lenses.</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Small sample size, selection bias, only 2 studies report on VCD</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OK slows myopia progression.</w:t>
            </w:r>
          </w:p>
        </w:tc>
      </w:tr>
      <w:tr w:rsidR="000F3322" w:rsidRPr="00273BCC" w:rsidTr="005E369F">
        <w:trPr>
          <w:trHeight w:val="1617"/>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Si et al. 2015</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Myopia progression is slower with OK compared to SVLs or soft contact lenses.</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Non-published conference abstracts excluded, various ethnicities, small sample size, only 2 studies report on VCD</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OK slows myopia progression more in Asian than Caucasian populations.</w:t>
            </w:r>
          </w:p>
        </w:tc>
      </w:tr>
      <w:tr w:rsidR="000F3322" w:rsidRPr="009D7AFB" w:rsidTr="005E369F">
        <w:trPr>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Li et al. 2016</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Myopia progression is slower with OK compared to spectacles.</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 xml:space="preserve"> Language restriction, mainly Asian populations, only AL assessed</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OK slows myopia progression.</w:t>
            </w:r>
          </w:p>
        </w:tc>
      </w:tr>
      <w:tr w:rsidR="000F3322" w:rsidRPr="00273BCC" w:rsidTr="005E369F">
        <w:trPr>
          <w:cantSplit/>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t>Li et al. 2017</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Concentric ring bifocal and peripheral add multifocal SCLs are both effective in controlling myopia progression. Concentric ring bifocal lenses appear more effective.</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Various follow-up periods, majority of studies in white children</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SCLs with concentric ring bifocal and peripheral add multifocal designs can slow myopia progression by 0.2-0.3D/year and decrease axial elongation by ~0.10mm/year, with treatment effect lasting for 24 months or longer.</w:t>
            </w:r>
          </w:p>
        </w:tc>
      </w:tr>
      <w:tr w:rsidR="000F3322" w:rsidRPr="00273BCC" w:rsidTr="005E369F">
        <w:trPr>
          <w:cantSplit/>
          <w:jc w:val="center"/>
        </w:trPr>
        <w:tc>
          <w:tcPr>
            <w:tcW w:w="988" w:type="dxa"/>
          </w:tcPr>
          <w:p w:rsidR="000F3322" w:rsidRPr="009D7AFB" w:rsidRDefault="000F3322" w:rsidP="005E369F">
            <w:pPr>
              <w:rPr>
                <w:rFonts w:cstheme="minorHAnsi"/>
                <w:b/>
                <w:sz w:val="20"/>
                <w:szCs w:val="20"/>
                <w:lang w:val="en-GB"/>
              </w:rPr>
            </w:pPr>
            <w:r w:rsidRPr="009D7AFB">
              <w:rPr>
                <w:rFonts w:cstheme="minorHAnsi"/>
                <w:b/>
                <w:sz w:val="20"/>
                <w:szCs w:val="20"/>
                <w:lang w:val="en-GB"/>
              </w:rPr>
              <w:lastRenderedPageBreak/>
              <w:t>Huang et al. 2016</w:t>
            </w:r>
          </w:p>
        </w:tc>
        <w:tc>
          <w:tcPr>
            <w:tcW w:w="2268"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Atropine is superior to all interventions. Pirenzepine, OK, peripheral defocus modifying CLs, cyclopentolate, prismatic bifocals have moderate effects, PALs, bifocals, peripheral defocus modifying spectacles and outdoor activities have weak effects in controlling myopia progression. RGPCLs, soft CLs, undercorrection, timolol are ineffective.</w:t>
            </w:r>
          </w:p>
          <w:p w:rsidR="000F3322" w:rsidRPr="009D7AFB" w:rsidRDefault="000F3322" w:rsidP="005E369F">
            <w:pPr>
              <w:jc w:val="center"/>
              <w:rPr>
                <w:rFonts w:cstheme="minorHAnsi"/>
                <w:sz w:val="20"/>
                <w:szCs w:val="20"/>
                <w:lang w:val="en-GB"/>
              </w:rPr>
            </w:pPr>
            <w:r w:rsidRPr="009D7AFB">
              <w:rPr>
                <w:rFonts w:cstheme="minorHAnsi"/>
                <w:sz w:val="20"/>
                <w:szCs w:val="20"/>
                <w:lang w:val="en-GB"/>
              </w:rPr>
              <w:t>Asian children benefit more and interventions lose their early effect during the second year.</w:t>
            </w:r>
          </w:p>
        </w:tc>
        <w:tc>
          <w:tcPr>
            <w:tcW w:w="2835"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Variable interventions, both placebo and single vision spectacles used as control, variable quality of RCTs, performance bias of RCTs</w:t>
            </w:r>
          </w:p>
          <w:p w:rsidR="000F3322" w:rsidRPr="009D7AFB" w:rsidRDefault="000F3322" w:rsidP="005E369F">
            <w:pPr>
              <w:jc w:val="center"/>
              <w:rPr>
                <w:rFonts w:cstheme="minorHAnsi"/>
                <w:sz w:val="20"/>
                <w:szCs w:val="20"/>
                <w:lang w:val="en-GB"/>
              </w:rPr>
            </w:pPr>
            <w:r w:rsidRPr="009D7AFB">
              <w:rPr>
                <w:rFonts w:cstheme="minorHAnsi"/>
                <w:sz w:val="20"/>
                <w:szCs w:val="20"/>
                <w:lang w:val="en-GB"/>
              </w:rPr>
              <w:t>No information on safety, small trial sizes</w:t>
            </w:r>
          </w:p>
        </w:tc>
        <w:tc>
          <w:tcPr>
            <w:tcW w:w="3260" w:type="dxa"/>
          </w:tcPr>
          <w:p w:rsidR="000F3322" w:rsidRPr="009D7AFB" w:rsidRDefault="000F3322" w:rsidP="005E369F">
            <w:pPr>
              <w:jc w:val="center"/>
              <w:rPr>
                <w:rFonts w:cstheme="minorHAnsi"/>
                <w:sz w:val="20"/>
                <w:szCs w:val="20"/>
                <w:lang w:val="en-GB"/>
              </w:rPr>
            </w:pPr>
            <w:r w:rsidRPr="009D7AFB">
              <w:rPr>
                <w:rFonts w:cstheme="minorHAnsi"/>
                <w:sz w:val="20"/>
                <w:szCs w:val="20"/>
                <w:lang w:val="en-GB"/>
              </w:rPr>
              <w:t>RGPCLs, soft CLs, undercorrection, timolol are ineffective in myopia control. Atropine, pirenzepine, OK, peripheral defocus modifying CLs, PALs produce statistically significant reduction in myopia progression. Side effects of atropine, cost, complexity of OK and limited efficacy of PALs constitute limitations. Atropine 0.01%, pirenzepine, peripheral defocus modifying CLs appear as viable options for slowing myopia progression.</w:t>
            </w:r>
          </w:p>
        </w:tc>
      </w:tr>
    </w:tbl>
    <w:p w:rsidR="000F3322" w:rsidRPr="009D7AFB" w:rsidRDefault="000F3322" w:rsidP="000F3322">
      <w:pPr>
        <w:spacing w:line="240" w:lineRule="auto"/>
        <w:jc w:val="both"/>
        <w:rPr>
          <w:rFonts w:cstheme="minorHAnsi"/>
          <w:sz w:val="18"/>
          <w:szCs w:val="18"/>
          <w:lang w:val="en-GB"/>
        </w:rPr>
      </w:pPr>
    </w:p>
    <w:p w:rsidR="000F3322" w:rsidRPr="009D7AFB" w:rsidRDefault="000F3322" w:rsidP="002E3B34">
      <w:pPr>
        <w:spacing w:line="240" w:lineRule="auto"/>
        <w:jc w:val="both"/>
        <w:rPr>
          <w:rFonts w:cstheme="minorHAnsi"/>
          <w:sz w:val="16"/>
          <w:szCs w:val="16"/>
          <w:lang w:val="en-GB"/>
        </w:rPr>
        <w:sectPr w:rsidR="000F3322" w:rsidRPr="009D7AFB" w:rsidSect="00D615A8">
          <w:pgSz w:w="11906" w:h="16838"/>
          <w:pgMar w:top="1440" w:right="1797" w:bottom="1440" w:left="1797" w:header="709" w:footer="709" w:gutter="0"/>
          <w:cols w:space="708"/>
          <w:docGrid w:linePitch="360"/>
        </w:sectPr>
      </w:pPr>
      <w:r w:rsidRPr="009D7AFB">
        <w:rPr>
          <w:rFonts w:cstheme="minorHAnsi"/>
          <w:sz w:val="16"/>
          <w:szCs w:val="16"/>
          <w:lang w:val="en-GB"/>
        </w:rPr>
        <w:t>AL = axial length; CLs = contact l</w:t>
      </w:r>
      <w:r w:rsidR="00F522DC">
        <w:rPr>
          <w:rFonts w:cstheme="minorHAnsi"/>
          <w:sz w:val="16"/>
          <w:szCs w:val="16"/>
          <w:lang w:val="en-GB"/>
        </w:rPr>
        <w:t>enses; NA = not available; O</w:t>
      </w:r>
      <w:r w:rsidRPr="009D7AFB">
        <w:rPr>
          <w:rFonts w:cstheme="minorHAnsi"/>
          <w:sz w:val="16"/>
          <w:szCs w:val="16"/>
          <w:lang w:val="en-GB"/>
        </w:rPr>
        <w:t>K = orthokeratology; PALs = progressive addition lenses; RGPCLs = rigid gas permeable contact lenses; SER = spherical equivalent refraction; SVLs = single vision lens</w:t>
      </w:r>
      <w:r w:rsidR="00273BCC">
        <w:rPr>
          <w:rFonts w:cstheme="minorHAnsi"/>
          <w:sz w:val="16"/>
          <w:szCs w:val="16"/>
          <w:lang w:val="en-GB"/>
        </w:rPr>
        <w:t>es; VCD = vitreous chamber</w:t>
      </w:r>
    </w:p>
    <w:p w:rsidR="00D70F93" w:rsidRDefault="00D70F93" w:rsidP="002E3B34">
      <w:pPr>
        <w:rPr>
          <w:lang w:val="en-GB"/>
        </w:rPr>
      </w:pPr>
    </w:p>
    <w:sectPr w:rsidR="00D70F93" w:rsidSect="002E3B34">
      <w:headerReference w:type="default" r:id="rId76"/>
      <w:footerReference w:type="default" r:id="rId7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652" w:rsidRDefault="00CA1652" w:rsidP="00252D48">
      <w:pPr>
        <w:spacing w:after="0" w:line="240" w:lineRule="auto"/>
      </w:pPr>
      <w:r>
        <w:separator/>
      </w:r>
    </w:p>
  </w:endnote>
  <w:endnote w:type="continuationSeparator" w:id="0">
    <w:p w:rsidR="00CA1652" w:rsidRDefault="00CA1652" w:rsidP="0025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ubheading">
    <w:panose1 w:val="02000505000000020004"/>
    <w:charset w:val="A1"/>
    <w:family w:val="auto"/>
    <w:pitch w:val="variable"/>
    <w:sig w:usb0="A00002EF" w:usb1="4000204B" w:usb2="00000000" w:usb3="00000000" w:csb0="0000019F" w:csb1="00000000"/>
  </w:font>
  <w:font w:name="Calibri Light">
    <w:panose1 w:val="020F03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8FC" w:rsidRDefault="009918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239196"/>
      <w:docPartObj>
        <w:docPartGallery w:val="Page Numbers (Bottom of Page)"/>
        <w:docPartUnique/>
      </w:docPartObj>
    </w:sdtPr>
    <w:sdtEndPr>
      <w:rPr>
        <w:noProof/>
      </w:rPr>
    </w:sdtEndPr>
    <w:sdtContent>
      <w:p w:rsidR="009918FC" w:rsidRDefault="009918FC">
        <w:pPr>
          <w:pStyle w:val="Footer"/>
          <w:jc w:val="center"/>
        </w:pPr>
        <w:r>
          <w:fldChar w:fldCharType="begin"/>
        </w:r>
        <w:r>
          <w:instrText xml:space="preserve"> PAGE   \* MERGEFORMAT </w:instrText>
        </w:r>
        <w:r>
          <w:fldChar w:fldCharType="separate"/>
        </w:r>
        <w:r w:rsidR="008A1352">
          <w:rPr>
            <w:noProof/>
          </w:rPr>
          <w:t>59</w:t>
        </w:r>
        <w:r>
          <w:rPr>
            <w:noProof/>
          </w:rPr>
          <w:fldChar w:fldCharType="end"/>
        </w:r>
      </w:p>
    </w:sdtContent>
  </w:sdt>
  <w:p w:rsidR="009918FC" w:rsidRDefault="009918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652" w:rsidRDefault="00CA1652" w:rsidP="00252D48">
      <w:pPr>
        <w:spacing w:after="0" w:line="240" w:lineRule="auto"/>
      </w:pPr>
      <w:r>
        <w:separator/>
      </w:r>
    </w:p>
  </w:footnote>
  <w:footnote w:type="continuationSeparator" w:id="0">
    <w:p w:rsidR="00CA1652" w:rsidRDefault="00CA1652" w:rsidP="00252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8FC" w:rsidRPr="009714C7" w:rsidRDefault="009918FC" w:rsidP="009918FC">
    <w:pPr>
      <w:tabs>
        <w:tab w:val="left" w:pos="7800"/>
      </w:tabs>
      <w:spacing w:line="240" w:lineRule="auto"/>
      <w:rPr>
        <w:b/>
        <w:sz w:val="23"/>
        <w:szCs w:val="23"/>
        <w:lang w:val="en-GB"/>
      </w:rPr>
    </w:pPr>
    <w:r>
      <w:rPr>
        <w:b/>
        <w:sz w:val="23"/>
        <w:szCs w:val="23"/>
        <w:lang w:val="en-GB"/>
      </w:rPr>
      <w:tab/>
    </w:r>
  </w:p>
  <w:p w:rsidR="009918FC" w:rsidRPr="005F72AA" w:rsidRDefault="009918FC">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C6D8A"/>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0F57525"/>
    <w:multiLevelType w:val="hybridMultilevel"/>
    <w:tmpl w:val="358CAE3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33372E8"/>
    <w:multiLevelType w:val="hybridMultilevel"/>
    <w:tmpl w:val="6592E6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D4F35B2"/>
    <w:multiLevelType w:val="hybridMultilevel"/>
    <w:tmpl w:val="FDBE23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F9D2CBF"/>
    <w:multiLevelType w:val="hybridMultilevel"/>
    <w:tmpl w:val="5CA0C8F0"/>
    <w:lvl w:ilvl="0" w:tplc="B5F4F9D8">
      <w:start w:val="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20766C"/>
    <w:multiLevelType w:val="hybridMultilevel"/>
    <w:tmpl w:val="C39E34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23A5CE2"/>
    <w:multiLevelType w:val="hybridMultilevel"/>
    <w:tmpl w:val="C20A73B8"/>
    <w:lvl w:ilvl="0" w:tplc="0220CAC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2446FDE"/>
    <w:multiLevelType w:val="hybridMultilevel"/>
    <w:tmpl w:val="05DE9576"/>
    <w:lvl w:ilvl="0" w:tplc="6DCCA4CE">
      <w:start w:val="2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7C46C4"/>
    <w:multiLevelType w:val="hybridMultilevel"/>
    <w:tmpl w:val="E1900F76"/>
    <w:lvl w:ilvl="0" w:tplc="550412B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31C52B6"/>
    <w:multiLevelType w:val="hybridMultilevel"/>
    <w:tmpl w:val="73D2CD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63A5668"/>
    <w:multiLevelType w:val="hybridMultilevel"/>
    <w:tmpl w:val="7D00E740"/>
    <w:lvl w:ilvl="0" w:tplc="0C58EA8C">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7F010EB"/>
    <w:multiLevelType w:val="hybridMultilevel"/>
    <w:tmpl w:val="AFAC0A22"/>
    <w:lvl w:ilvl="0" w:tplc="EEC6E80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ACB16AE"/>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B7F1FE8"/>
    <w:multiLevelType w:val="hybridMultilevel"/>
    <w:tmpl w:val="7FAEA4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DC42880"/>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213664B"/>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3663E78"/>
    <w:multiLevelType w:val="hybridMultilevel"/>
    <w:tmpl w:val="12A24F46"/>
    <w:lvl w:ilvl="0" w:tplc="C93A40DC">
      <w:start w:val="1"/>
      <w:numFmt w:val="decimal"/>
      <w:lvlText w:val="%1."/>
      <w:lvlJc w:val="left"/>
      <w:pPr>
        <w:ind w:left="720" w:hanging="360"/>
      </w:pPr>
      <w:rPr>
        <w:rFonts w:asciiTheme="minorHAnsi" w:hAnsiTheme="minorHAnsi" w:cstheme="minorHAnsi" w:hint="default"/>
        <w:b w:val="0"/>
        <w:i w:val="0"/>
        <w:sz w:val="19"/>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89E01F1"/>
    <w:multiLevelType w:val="hybridMultilevel"/>
    <w:tmpl w:val="74D6C97C"/>
    <w:lvl w:ilvl="0" w:tplc="193094C0">
      <w:start w:val="1"/>
      <w:numFmt w:val="bullet"/>
      <w:lvlText w:val="•"/>
      <w:lvlJc w:val="left"/>
      <w:pPr>
        <w:ind w:left="720" w:hanging="360"/>
      </w:pPr>
      <w:rPr>
        <w:rFonts w:ascii="Sitka Subheading" w:hAnsi="Sitka Subheading"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A913F7F"/>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2B132D91"/>
    <w:multiLevelType w:val="hybridMultilevel"/>
    <w:tmpl w:val="63EA6AC8"/>
    <w:lvl w:ilvl="0" w:tplc="10B65578">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103078A"/>
    <w:multiLevelType w:val="hybridMultilevel"/>
    <w:tmpl w:val="DA2C4952"/>
    <w:lvl w:ilvl="0" w:tplc="193094C0">
      <w:start w:val="1"/>
      <w:numFmt w:val="bullet"/>
      <w:lvlText w:val="•"/>
      <w:lvlJc w:val="left"/>
      <w:pPr>
        <w:ind w:left="720" w:hanging="360"/>
      </w:pPr>
      <w:rPr>
        <w:rFonts w:ascii="Sitka Subheading" w:hAnsi="Sitka Subheading"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35F0E9C"/>
    <w:multiLevelType w:val="hybridMultilevel"/>
    <w:tmpl w:val="AA004322"/>
    <w:lvl w:ilvl="0" w:tplc="E7EA9806">
      <w:start w:val="1"/>
      <w:numFmt w:val="decimal"/>
      <w:lvlText w:val="%1."/>
      <w:lvlJc w:val="left"/>
      <w:pPr>
        <w:ind w:left="720" w:hanging="360"/>
      </w:pPr>
      <w:rPr>
        <w:rFonts w:asciiTheme="minorHAnsi" w:hAnsiTheme="minorHAnsi" w:cstheme="minorHAnsi" w:hint="default"/>
        <w:b w:val="0"/>
        <w:i w:val="0"/>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8CC27BC"/>
    <w:multiLevelType w:val="hybridMultilevel"/>
    <w:tmpl w:val="10DE6E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39B9338A"/>
    <w:multiLevelType w:val="hybridMultilevel"/>
    <w:tmpl w:val="14F07D7C"/>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A307E1B"/>
    <w:multiLevelType w:val="hybridMultilevel"/>
    <w:tmpl w:val="7194A0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EB72DE5"/>
    <w:multiLevelType w:val="hybridMultilevel"/>
    <w:tmpl w:val="532084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3F310372"/>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63A5F44"/>
    <w:multiLevelType w:val="hybridMultilevel"/>
    <w:tmpl w:val="4EAC92DE"/>
    <w:lvl w:ilvl="0" w:tplc="193094C0">
      <w:start w:val="1"/>
      <w:numFmt w:val="bullet"/>
      <w:lvlText w:val="•"/>
      <w:lvlJc w:val="left"/>
      <w:pPr>
        <w:ind w:left="720" w:hanging="360"/>
      </w:pPr>
      <w:rPr>
        <w:rFonts w:ascii="Sitka Subheading" w:hAnsi="Sitka Subheading"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7F36C04"/>
    <w:multiLevelType w:val="hybridMultilevel"/>
    <w:tmpl w:val="7DA0D234"/>
    <w:lvl w:ilvl="0" w:tplc="5C82659C">
      <w:start w:val="1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E571E87"/>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4EDD48C8"/>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4FB174BE"/>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06275C5"/>
    <w:multiLevelType w:val="hybridMultilevel"/>
    <w:tmpl w:val="128CC27A"/>
    <w:lvl w:ilvl="0" w:tplc="CCA678EA">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19B6D52"/>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87B1E68"/>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5E2748C8"/>
    <w:multiLevelType w:val="hybridMultilevel"/>
    <w:tmpl w:val="CF86CD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6923B6E"/>
    <w:multiLevelType w:val="hybridMultilevel"/>
    <w:tmpl w:val="CEA648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B46374C"/>
    <w:multiLevelType w:val="hybridMultilevel"/>
    <w:tmpl w:val="5A68DA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B8636DF"/>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D842FC3"/>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00960FA"/>
    <w:multiLevelType w:val="hybridMultilevel"/>
    <w:tmpl w:val="5FF6D52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2FA3F0A"/>
    <w:multiLevelType w:val="hybridMultilevel"/>
    <w:tmpl w:val="E37CA7F6"/>
    <w:lvl w:ilvl="0" w:tplc="08609984">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9B85DC8"/>
    <w:multiLevelType w:val="hybridMultilevel"/>
    <w:tmpl w:val="22FA55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A1A19B9"/>
    <w:multiLevelType w:val="hybridMultilevel"/>
    <w:tmpl w:val="B992C2A8"/>
    <w:lvl w:ilvl="0" w:tplc="DB829334">
      <w:numFmt w:val="bullet"/>
      <w:lvlText w:val=""/>
      <w:lvlJc w:val="left"/>
      <w:pPr>
        <w:ind w:left="720" w:hanging="360"/>
      </w:pPr>
      <w:rPr>
        <w:rFonts w:ascii="Symbol" w:eastAsiaTheme="minorHAnsi" w:hAnsi="Symbol" w:cstheme="minorBidi" w:hint="default"/>
        <w:b/>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17"/>
  </w:num>
  <w:num w:numId="4">
    <w:abstractNumId w:val="1"/>
  </w:num>
  <w:num w:numId="5">
    <w:abstractNumId w:val="5"/>
  </w:num>
  <w:num w:numId="6">
    <w:abstractNumId w:val="24"/>
  </w:num>
  <w:num w:numId="7">
    <w:abstractNumId w:val="35"/>
  </w:num>
  <w:num w:numId="8">
    <w:abstractNumId w:val="31"/>
  </w:num>
  <w:num w:numId="9">
    <w:abstractNumId w:val="6"/>
  </w:num>
  <w:num w:numId="10">
    <w:abstractNumId w:val="28"/>
  </w:num>
  <w:num w:numId="11">
    <w:abstractNumId w:val="10"/>
  </w:num>
  <w:num w:numId="12">
    <w:abstractNumId w:val="32"/>
  </w:num>
  <w:num w:numId="13">
    <w:abstractNumId w:val="41"/>
  </w:num>
  <w:num w:numId="14">
    <w:abstractNumId w:val="29"/>
  </w:num>
  <w:num w:numId="15">
    <w:abstractNumId w:val="7"/>
  </w:num>
  <w:num w:numId="16">
    <w:abstractNumId w:val="42"/>
  </w:num>
  <w:num w:numId="17">
    <w:abstractNumId w:val="39"/>
  </w:num>
  <w:num w:numId="18">
    <w:abstractNumId w:val="4"/>
  </w:num>
  <w:num w:numId="19">
    <w:abstractNumId w:val="30"/>
  </w:num>
  <w:num w:numId="20">
    <w:abstractNumId w:val="12"/>
  </w:num>
  <w:num w:numId="21">
    <w:abstractNumId w:val="15"/>
  </w:num>
  <w:num w:numId="22">
    <w:abstractNumId w:val="14"/>
  </w:num>
  <w:num w:numId="23">
    <w:abstractNumId w:val="33"/>
  </w:num>
  <w:num w:numId="24">
    <w:abstractNumId w:val="0"/>
  </w:num>
  <w:num w:numId="25">
    <w:abstractNumId w:val="38"/>
  </w:num>
  <w:num w:numId="26">
    <w:abstractNumId w:val="26"/>
  </w:num>
  <w:num w:numId="27">
    <w:abstractNumId w:val="34"/>
  </w:num>
  <w:num w:numId="28">
    <w:abstractNumId w:val="18"/>
  </w:num>
  <w:num w:numId="29">
    <w:abstractNumId w:val="2"/>
  </w:num>
  <w:num w:numId="30">
    <w:abstractNumId w:val="37"/>
  </w:num>
  <w:num w:numId="31">
    <w:abstractNumId w:val="3"/>
  </w:num>
  <w:num w:numId="32">
    <w:abstractNumId w:val="25"/>
  </w:num>
  <w:num w:numId="33">
    <w:abstractNumId w:val="9"/>
  </w:num>
  <w:num w:numId="34">
    <w:abstractNumId w:val="43"/>
  </w:num>
  <w:num w:numId="35">
    <w:abstractNumId w:val="22"/>
  </w:num>
  <w:num w:numId="36">
    <w:abstractNumId w:val="36"/>
  </w:num>
  <w:num w:numId="37">
    <w:abstractNumId w:val="11"/>
  </w:num>
  <w:num w:numId="38">
    <w:abstractNumId w:val="8"/>
  </w:num>
  <w:num w:numId="39">
    <w:abstractNumId w:val="40"/>
  </w:num>
  <w:num w:numId="40">
    <w:abstractNumId w:val="19"/>
  </w:num>
  <w:num w:numId="41">
    <w:abstractNumId w:val="23"/>
  </w:num>
  <w:num w:numId="42">
    <w:abstractNumId w:val="13"/>
  </w:num>
  <w:num w:numId="43">
    <w:abstractNumId w:val="16"/>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37B"/>
    <w:rsid w:val="0000751F"/>
    <w:rsid w:val="000157D6"/>
    <w:rsid w:val="00061B18"/>
    <w:rsid w:val="0006576C"/>
    <w:rsid w:val="00075068"/>
    <w:rsid w:val="0007693B"/>
    <w:rsid w:val="00094A97"/>
    <w:rsid w:val="00096CB4"/>
    <w:rsid w:val="0009738A"/>
    <w:rsid w:val="000A719F"/>
    <w:rsid w:val="000B55F5"/>
    <w:rsid w:val="000E1253"/>
    <w:rsid w:val="000F3322"/>
    <w:rsid w:val="001572E0"/>
    <w:rsid w:val="00157F19"/>
    <w:rsid w:val="00173995"/>
    <w:rsid w:val="00175F2B"/>
    <w:rsid w:val="001D33EB"/>
    <w:rsid w:val="002041FC"/>
    <w:rsid w:val="00207D3C"/>
    <w:rsid w:val="0022221B"/>
    <w:rsid w:val="002368B9"/>
    <w:rsid w:val="00236D3B"/>
    <w:rsid w:val="00250F87"/>
    <w:rsid w:val="00252D48"/>
    <w:rsid w:val="00264FCC"/>
    <w:rsid w:val="00270C1C"/>
    <w:rsid w:val="00273BCC"/>
    <w:rsid w:val="002757D9"/>
    <w:rsid w:val="00276249"/>
    <w:rsid w:val="00284E08"/>
    <w:rsid w:val="002A6B96"/>
    <w:rsid w:val="002C0595"/>
    <w:rsid w:val="002D3C4C"/>
    <w:rsid w:val="002E264E"/>
    <w:rsid w:val="002E367E"/>
    <w:rsid w:val="002E3B34"/>
    <w:rsid w:val="002E6D5E"/>
    <w:rsid w:val="003043F7"/>
    <w:rsid w:val="00305BD2"/>
    <w:rsid w:val="003074B2"/>
    <w:rsid w:val="0031107A"/>
    <w:rsid w:val="003431B2"/>
    <w:rsid w:val="00371318"/>
    <w:rsid w:val="0037406B"/>
    <w:rsid w:val="00387818"/>
    <w:rsid w:val="003B20F8"/>
    <w:rsid w:val="003D6FCF"/>
    <w:rsid w:val="0041226C"/>
    <w:rsid w:val="00417306"/>
    <w:rsid w:val="004212E4"/>
    <w:rsid w:val="004221B9"/>
    <w:rsid w:val="00437505"/>
    <w:rsid w:val="00441FDD"/>
    <w:rsid w:val="00471215"/>
    <w:rsid w:val="00491914"/>
    <w:rsid w:val="004B08CE"/>
    <w:rsid w:val="004B39A4"/>
    <w:rsid w:val="004C1886"/>
    <w:rsid w:val="004C28F5"/>
    <w:rsid w:val="004D5375"/>
    <w:rsid w:val="004D5BB8"/>
    <w:rsid w:val="004E5091"/>
    <w:rsid w:val="004E5D3B"/>
    <w:rsid w:val="00503FCA"/>
    <w:rsid w:val="00505BB6"/>
    <w:rsid w:val="005074CD"/>
    <w:rsid w:val="0051054F"/>
    <w:rsid w:val="005105DF"/>
    <w:rsid w:val="005372DF"/>
    <w:rsid w:val="00562573"/>
    <w:rsid w:val="005706A0"/>
    <w:rsid w:val="00593700"/>
    <w:rsid w:val="00594323"/>
    <w:rsid w:val="005B7D50"/>
    <w:rsid w:val="005E369F"/>
    <w:rsid w:val="005F7CBA"/>
    <w:rsid w:val="0064412B"/>
    <w:rsid w:val="00645902"/>
    <w:rsid w:val="00653AE7"/>
    <w:rsid w:val="00665CA4"/>
    <w:rsid w:val="00690ACB"/>
    <w:rsid w:val="00695166"/>
    <w:rsid w:val="006E7FF9"/>
    <w:rsid w:val="007405BD"/>
    <w:rsid w:val="007425E2"/>
    <w:rsid w:val="007429EC"/>
    <w:rsid w:val="0075220B"/>
    <w:rsid w:val="0077337B"/>
    <w:rsid w:val="00773635"/>
    <w:rsid w:val="0079174B"/>
    <w:rsid w:val="007C1DED"/>
    <w:rsid w:val="007F676B"/>
    <w:rsid w:val="008164E2"/>
    <w:rsid w:val="00846A7B"/>
    <w:rsid w:val="00851FDB"/>
    <w:rsid w:val="008644B6"/>
    <w:rsid w:val="00884DDD"/>
    <w:rsid w:val="008853A2"/>
    <w:rsid w:val="008912D3"/>
    <w:rsid w:val="008A1352"/>
    <w:rsid w:val="008B04AA"/>
    <w:rsid w:val="008B6FB5"/>
    <w:rsid w:val="008D484B"/>
    <w:rsid w:val="008D6161"/>
    <w:rsid w:val="0090221A"/>
    <w:rsid w:val="00934FF3"/>
    <w:rsid w:val="00942EAE"/>
    <w:rsid w:val="00947995"/>
    <w:rsid w:val="00950B36"/>
    <w:rsid w:val="00957791"/>
    <w:rsid w:val="00971F41"/>
    <w:rsid w:val="00972526"/>
    <w:rsid w:val="00972B4C"/>
    <w:rsid w:val="009818E7"/>
    <w:rsid w:val="009918FC"/>
    <w:rsid w:val="00997E4E"/>
    <w:rsid w:val="009C063A"/>
    <w:rsid w:val="009D7AFB"/>
    <w:rsid w:val="009E1C31"/>
    <w:rsid w:val="009F0337"/>
    <w:rsid w:val="009F1EDA"/>
    <w:rsid w:val="009F421F"/>
    <w:rsid w:val="00A26000"/>
    <w:rsid w:val="00A8664C"/>
    <w:rsid w:val="00AB40AE"/>
    <w:rsid w:val="00AF57CF"/>
    <w:rsid w:val="00B0196E"/>
    <w:rsid w:val="00B10B90"/>
    <w:rsid w:val="00B4191A"/>
    <w:rsid w:val="00B57BB8"/>
    <w:rsid w:val="00B57FBC"/>
    <w:rsid w:val="00B66CDC"/>
    <w:rsid w:val="00B708D0"/>
    <w:rsid w:val="00B776B9"/>
    <w:rsid w:val="00BF481F"/>
    <w:rsid w:val="00BF6724"/>
    <w:rsid w:val="00C4730F"/>
    <w:rsid w:val="00C47619"/>
    <w:rsid w:val="00C5406F"/>
    <w:rsid w:val="00C5734E"/>
    <w:rsid w:val="00C64506"/>
    <w:rsid w:val="00C65555"/>
    <w:rsid w:val="00C82E59"/>
    <w:rsid w:val="00C83F55"/>
    <w:rsid w:val="00C97EF0"/>
    <w:rsid w:val="00CA1652"/>
    <w:rsid w:val="00CC4042"/>
    <w:rsid w:val="00CE55B6"/>
    <w:rsid w:val="00CF776F"/>
    <w:rsid w:val="00D2500E"/>
    <w:rsid w:val="00D26FC3"/>
    <w:rsid w:val="00D4515B"/>
    <w:rsid w:val="00D615A8"/>
    <w:rsid w:val="00D707F0"/>
    <w:rsid w:val="00D70F93"/>
    <w:rsid w:val="00D7124C"/>
    <w:rsid w:val="00D7462F"/>
    <w:rsid w:val="00DA4D90"/>
    <w:rsid w:val="00DC375B"/>
    <w:rsid w:val="00DD26D5"/>
    <w:rsid w:val="00DD2B5C"/>
    <w:rsid w:val="00DE347A"/>
    <w:rsid w:val="00DE7F25"/>
    <w:rsid w:val="00DF0CB1"/>
    <w:rsid w:val="00E476EE"/>
    <w:rsid w:val="00E51395"/>
    <w:rsid w:val="00E5299F"/>
    <w:rsid w:val="00E67C3D"/>
    <w:rsid w:val="00EA26B9"/>
    <w:rsid w:val="00EA270D"/>
    <w:rsid w:val="00EB5768"/>
    <w:rsid w:val="00EC2FB1"/>
    <w:rsid w:val="00ED538A"/>
    <w:rsid w:val="00EE474A"/>
    <w:rsid w:val="00EF4B76"/>
    <w:rsid w:val="00F11A94"/>
    <w:rsid w:val="00F17A42"/>
    <w:rsid w:val="00F3516F"/>
    <w:rsid w:val="00F522DC"/>
    <w:rsid w:val="00F532E0"/>
    <w:rsid w:val="00F62BFF"/>
    <w:rsid w:val="00F72AB4"/>
    <w:rsid w:val="00F75C2D"/>
    <w:rsid w:val="00FA51CF"/>
    <w:rsid w:val="00FA5513"/>
    <w:rsid w:val="00FC2F64"/>
    <w:rsid w:val="00FD3AE4"/>
    <w:rsid w:val="00FD5D84"/>
    <w:rsid w:val="00FE0AB9"/>
    <w:rsid w:val="00FF250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04535-0626-42F0-92F2-9BCA7320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CDC"/>
  </w:style>
  <w:style w:type="paragraph" w:styleId="Heading1">
    <w:name w:val="heading 1"/>
    <w:basedOn w:val="Normal"/>
    <w:next w:val="Normal"/>
    <w:link w:val="Heading1Char"/>
    <w:uiPriority w:val="9"/>
    <w:qFormat/>
    <w:rsid w:val="004C28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C28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C28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270C1C"/>
    <w:pPr>
      <w:spacing w:before="100" w:beforeAutospacing="1" w:after="100" w:afterAutospacing="1" w:line="240" w:lineRule="auto"/>
      <w:outlineLvl w:val="3"/>
    </w:pPr>
    <w:rPr>
      <w:rFonts w:ascii="Times New Roman" w:eastAsiaTheme="minorEastAsia" w:hAnsi="Times New Roman" w:cs="Times New Roman"/>
      <w:b/>
      <w:bCs/>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D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2D48"/>
  </w:style>
  <w:style w:type="paragraph" w:styleId="Footer">
    <w:name w:val="footer"/>
    <w:basedOn w:val="Normal"/>
    <w:link w:val="FooterChar"/>
    <w:uiPriority w:val="99"/>
    <w:unhideWhenUsed/>
    <w:rsid w:val="00252D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2D48"/>
  </w:style>
  <w:style w:type="paragraph" w:styleId="ListParagraph">
    <w:name w:val="List Paragraph"/>
    <w:basedOn w:val="Normal"/>
    <w:uiPriority w:val="34"/>
    <w:qFormat/>
    <w:rsid w:val="00B66CDC"/>
    <w:pPr>
      <w:ind w:left="720"/>
      <w:contextualSpacing/>
    </w:pPr>
  </w:style>
  <w:style w:type="table" w:styleId="TableGrid">
    <w:name w:val="Table Grid"/>
    <w:basedOn w:val="TableNormal"/>
    <w:uiPriority w:val="39"/>
    <w:rsid w:val="00B66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66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B66CDC"/>
  </w:style>
  <w:style w:type="paragraph" w:customStyle="1" w:styleId="Default">
    <w:name w:val="Default"/>
    <w:rsid w:val="00B66CDC"/>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Heading4Char">
    <w:name w:val="Heading 4 Char"/>
    <w:basedOn w:val="DefaultParagraphFont"/>
    <w:link w:val="Heading4"/>
    <w:uiPriority w:val="9"/>
    <w:rsid w:val="00270C1C"/>
    <w:rPr>
      <w:rFonts w:ascii="Times New Roman" w:eastAsiaTheme="minorEastAsia" w:hAnsi="Times New Roman" w:cs="Times New Roman"/>
      <w:b/>
      <w:bCs/>
      <w:sz w:val="24"/>
      <w:szCs w:val="24"/>
      <w:lang w:eastAsia="el-GR"/>
    </w:rPr>
  </w:style>
  <w:style w:type="numbering" w:customStyle="1" w:styleId="NoList1">
    <w:name w:val="No List1"/>
    <w:next w:val="NoList"/>
    <w:uiPriority w:val="99"/>
    <w:semiHidden/>
    <w:unhideWhenUsed/>
    <w:rsid w:val="00270C1C"/>
  </w:style>
  <w:style w:type="character" w:customStyle="1" w:styleId="label">
    <w:name w:val="label"/>
    <w:basedOn w:val="DefaultParagraphFont"/>
    <w:rsid w:val="00270C1C"/>
  </w:style>
  <w:style w:type="character" w:customStyle="1" w:styleId="cell-value">
    <w:name w:val="cell-value"/>
    <w:basedOn w:val="DefaultParagraphFont"/>
    <w:rsid w:val="00270C1C"/>
  </w:style>
  <w:style w:type="character" w:customStyle="1" w:styleId="cell">
    <w:name w:val="cell"/>
    <w:basedOn w:val="DefaultParagraphFont"/>
    <w:rsid w:val="00270C1C"/>
  </w:style>
  <w:style w:type="character" w:customStyle="1" w:styleId="quality-sign">
    <w:name w:val="quality-sign"/>
    <w:basedOn w:val="DefaultParagraphFont"/>
    <w:rsid w:val="00270C1C"/>
  </w:style>
  <w:style w:type="character" w:customStyle="1" w:styleId="quality-text">
    <w:name w:val="quality-text"/>
    <w:basedOn w:val="DefaultParagraphFont"/>
    <w:rsid w:val="00270C1C"/>
  </w:style>
  <w:style w:type="paragraph" w:styleId="NormalWeb">
    <w:name w:val="Normal (Web)"/>
    <w:basedOn w:val="Normal"/>
    <w:uiPriority w:val="99"/>
    <w:semiHidden/>
    <w:unhideWhenUsed/>
    <w:rsid w:val="00270C1C"/>
    <w:pPr>
      <w:spacing w:before="100" w:beforeAutospacing="1" w:after="100" w:afterAutospacing="1" w:line="240" w:lineRule="auto"/>
    </w:pPr>
    <w:rPr>
      <w:rFonts w:ascii="Times New Roman" w:eastAsiaTheme="minorEastAsia" w:hAnsi="Times New Roman" w:cs="Times New Roman"/>
      <w:sz w:val="24"/>
      <w:szCs w:val="24"/>
      <w:lang w:eastAsia="el-GR"/>
    </w:rPr>
  </w:style>
  <w:style w:type="character" w:customStyle="1" w:styleId="block">
    <w:name w:val="block"/>
    <w:basedOn w:val="DefaultParagraphFont"/>
    <w:rsid w:val="00270C1C"/>
  </w:style>
  <w:style w:type="character" w:customStyle="1" w:styleId="comma">
    <w:name w:val="comma"/>
    <w:basedOn w:val="DefaultParagraphFont"/>
    <w:rsid w:val="00270C1C"/>
  </w:style>
  <w:style w:type="character" w:styleId="Hyperlink">
    <w:name w:val="Hyperlink"/>
    <w:basedOn w:val="DefaultParagraphFont"/>
    <w:uiPriority w:val="99"/>
    <w:unhideWhenUsed/>
    <w:rsid w:val="00695166"/>
    <w:rPr>
      <w:color w:val="0563C1" w:themeColor="hyperlink"/>
      <w:u w:val="single"/>
    </w:rPr>
  </w:style>
  <w:style w:type="character" w:customStyle="1" w:styleId="Heading1Char">
    <w:name w:val="Heading 1 Char"/>
    <w:basedOn w:val="DefaultParagraphFont"/>
    <w:link w:val="Heading1"/>
    <w:uiPriority w:val="9"/>
    <w:rsid w:val="004C28F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C28F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C28F5"/>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4C28F5"/>
    <w:pPr>
      <w:outlineLvl w:val="9"/>
    </w:pPr>
    <w:rPr>
      <w:lang w:val="en-US"/>
    </w:rPr>
  </w:style>
  <w:style w:type="paragraph" w:styleId="TOC1">
    <w:name w:val="toc 1"/>
    <w:basedOn w:val="Normal"/>
    <w:next w:val="Normal"/>
    <w:autoRedefine/>
    <w:uiPriority w:val="39"/>
    <w:unhideWhenUsed/>
    <w:rsid w:val="004C28F5"/>
    <w:pPr>
      <w:spacing w:after="100"/>
    </w:pPr>
  </w:style>
  <w:style w:type="paragraph" w:styleId="TOC2">
    <w:name w:val="toc 2"/>
    <w:basedOn w:val="Normal"/>
    <w:next w:val="Normal"/>
    <w:autoRedefine/>
    <w:uiPriority w:val="39"/>
    <w:unhideWhenUsed/>
    <w:rsid w:val="004C28F5"/>
    <w:pPr>
      <w:spacing w:after="100"/>
      <w:ind w:left="220"/>
    </w:pPr>
  </w:style>
  <w:style w:type="paragraph" w:styleId="TOC3">
    <w:name w:val="toc 3"/>
    <w:basedOn w:val="Normal"/>
    <w:next w:val="Normal"/>
    <w:autoRedefine/>
    <w:uiPriority w:val="39"/>
    <w:unhideWhenUsed/>
    <w:rsid w:val="004C28F5"/>
    <w:pPr>
      <w:spacing w:after="100"/>
      <w:ind w:left="440"/>
    </w:pPr>
  </w:style>
  <w:style w:type="table" w:customStyle="1" w:styleId="GridTable5Dark-Accent61">
    <w:name w:val="Grid Table 5 Dark - Accent 61"/>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31">
    <w:name w:val="Grid Table 5 Dark - Accent 31"/>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7Colorful-Accent21">
    <w:name w:val="Grid Table 7 Colorful - Accent 21"/>
    <w:basedOn w:val="TableNormal"/>
    <w:uiPriority w:val="52"/>
    <w:rsid w:val="004C28F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5Dark-Accent51">
    <w:name w:val="Grid Table 5 Dark - Accent 51"/>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41">
    <w:name w:val="Grid Table 5 Dark - Accent 41"/>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ListTable5Dark-Accent31">
    <w:name w:val="List Table 5 Dark - Accent 31"/>
    <w:basedOn w:val="TableNormal"/>
    <w:uiPriority w:val="50"/>
    <w:rsid w:val="004C28F5"/>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5Dark-Accent11">
    <w:name w:val="Grid Table 5 Dark - Accent 11"/>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2-Accent21">
    <w:name w:val="Grid Table 2 - Accent 21"/>
    <w:basedOn w:val="TableNormal"/>
    <w:uiPriority w:val="47"/>
    <w:rsid w:val="004C28F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41">
    <w:name w:val="Grid Table 1 Light - Accent 41"/>
    <w:basedOn w:val="TableNormal"/>
    <w:uiPriority w:val="46"/>
    <w:rsid w:val="004C28F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C28F5"/>
    <w:rPr>
      <w:sz w:val="16"/>
      <w:szCs w:val="16"/>
    </w:rPr>
  </w:style>
  <w:style w:type="paragraph" w:styleId="CommentText">
    <w:name w:val="annotation text"/>
    <w:basedOn w:val="Normal"/>
    <w:link w:val="CommentTextChar"/>
    <w:uiPriority w:val="99"/>
    <w:unhideWhenUsed/>
    <w:rsid w:val="004C28F5"/>
    <w:pPr>
      <w:spacing w:line="240" w:lineRule="auto"/>
    </w:pPr>
    <w:rPr>
      <w:sz w:val="20"/>
      <w:szCs w:val="20"/>
    </w:rPr>
  </w:style>
  <w:style w:type="character" w:customStyle="1" w:styleId="CommentTextChar">
    <w:name w:val="Comment Text Char"/>
    <w:basedOn w:val="DefaultParagraphFont"/>
    <w:link w:val="CommentText"/>
    <w:uiPriority w:val="99"/>
    <w:rsid w:val="004C28F5"/>
    <w:rPr>
      <w:sz w:val="20"/>
      <w:szCs w:val="20"/>
    </w:rPr>
  </w:style>
  <w:style w:type="paragraph" w:styleId="CommentSubject">
    <w:name w:val="annotation subject"/>
    <w:basedOn w:val="CommentText"/>
    <w:next w:val="CommentText"/>
    <w:link w:val="CommentSubjectChar"/>
    <w:uiPriority w:val="99"/>
    <w:semiHidden/>
    <w:unhideWhenUsed/>
    <w:rsid w:val="004C28F5"/>
    <w:rPr>
      <w:b/>
      <w:bCs/>
    </w:rPr>
  </w:style>
  <w:style w:type="character" w:customStyle="1" w:styleId="CommentSubjectChar">
    <w:name w:val="Comment Subject Char"/>
    <w:basedOn w:val="CommentTextChar"/>
    <w:link w:val="CommentSubject"/>
    <w:uiPriority w:val="99"/>
    <w:semiHidden/>
    <w:rsid w:val="004C28F5"/>
    <w:rPr>
      <w:b/>
      <w:bCs/>
      <w:sz w:val="20"/>
      <w:szCs w:val="20"/>
    </w:rPr>
  </w:style>
  <w:style w:type="paragraph" w:styleId="BalloonText">
    <w:name w:val="Balloon Text"/>
    <w:basedOn w:val="Normal"/>
    <w:link w:val="BalloonTextChar"/>
    <w:uiPriority w:val="99"/>
    <w:semiHidden/>
    <w:unhideWhenUsed/>
    <w:rsid w:val="004C28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8F5"/>
    <w:rPr>
      <w:rFonts w:ascii="Segoe UI" w:hAnsi="Segoe UI" w:cs="Segoe UI"/>
      <w:sz w:val="18"/>
      <w:szCs w:val="18"/>
    </w:rPr>
  </w:style>
  <w:style w:type="table" w:customStyle="1" w:styleId="GridTable1Light1">
    <w:name w:val="Grid Table 1 Light1"/>
    <w:basedOn w:val="TableNormal"/>
    <w:uiPriority w:val="46"/>
    <w:rsid w:val="004C28F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4C28F5"/>
    <w:rPr>
      <w:i/>
      <w:iCs/>
    </w:rPr>
  </w:style>
  <w:style w:type="paragraph" w:styleId="Caption">
    <w:name w:val="caption"/>
    <w:basedOn w:val="Normal"/>
    <w:next w:val="Normal"/>
    <w:uiPriority w:val="35"/>
    <w:semiHidden/>
    <w:unhideWhenUsed/>
    <w:qFormat/>
    <w:rsid w:val="004C28F5"/>
    <w:pPr>
      <w:spacing w:after="200" w:line="240" w:lineRule="auto"/>
    </w:pPr>
    <w:rPr>
      <w:i/>
      <w:iCs/>
      <w:color w:val="44546A" w:themeColor="text2"/>
      <w:sz w:val="18"/>
      <w:szCs w:val="18"/>
    </w:rPr>
  </w:style>
  <w:style w:type="table" w:customStyle="1" w:styleId="ListTable2-Accent21">
    <w:name w:val="List Table 2 - Accent 21"/>
    <w:basedOn w:val="TableNormal"/>
    <w:uiPriority w:val="47"/>
    <w:rsid w:val="004C28F5"/>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1">
    <w:name w:val="Grid Table 5 Dark1"/>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4C28F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41">
    <w:name w:val="Grid Table 6 Colorful - Accent 41"/>
    <w:basedOn w:val="TableNormal"/>
    <w:uiPriority w:val="51"/>
    <w:rsid w:val="004C28F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21">
    <w:name w:val="Grid Table 6 Colorful - Accent 21"/>
    <w:basedOn w:val="TableNormal"/>
    <w:uiPriority w:val="51"/>
    <w:rsid w:val="004C28F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11">
    <w:name w:val="Grid Table 6 Colorful - Accent 11"/>
    <w:basedOn w:val="TableNormal"/>
    <w:uiPriority w:val="51"/>
    <w:rsid w:val="004C28F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61">
    <w:name w:val="Grid Table 2 - Accent 61"/>
    <w:basedOn w:val="TableNormal"/>
    <w:uiPriority w:val="47"/>
    <w:rsid w:val="004C28F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1">
    <w:name w:val="Grid Table 4 - Accent 61"/>
    <w:basedOn w:val="TableNormal"/>
    <w:uiPriority w:val="49"/>
    <w:rsid w:val="004C28F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61">
    <w:name w:val="Grid Table 6 Colorful - Accent 61"/>
    <w:basedOn w:val="TableNormal"/>
    <w:uiPriority w:val="51"/>
    <w:rsid w:val="004C28F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21">
    <w:name w:val="Grid Table 5 Dark - Accent 21"/>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3-Accent21">
    <w:name w:val="Grid Table 3 - Accent 21"/>
    <w:basedOn w:val="TableNormal"/>
    <w:uiPriority w:val="48"/>
    <w:rsid w:val="004C28F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41">
    <w:name w:val="Grid Table 3 - Accent 41"/>
    <w:basedOn w:val="TableNormal"/>
    <w:uiPriority w:val="48"/>
    <w:rsid w:val="004C28F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ListTable7Colorful-Accent21">
    <w:name w:val="List Table 7 Colorful - Accent 21"/>
    <w:basedOn w:val="TableNormal"/>
    <w:uiPriority w:val="52"/>
    <w:rsid w:val="004C28F5"/>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21">
    <w:name w:val="List Table 6 Colorful - Accent 21"/>
    <w:basedOn w:val="TableNormal"/>
    <w:uiPriority w:val="51"/>
    <w:rsid w:val="004C28F5"/>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61">
    <w:name w:val="List Table 6 Colorful - Accent 61"/>
    <w:basedOn w:val="TableNormal"/>
    <w:uiPriority w:val="51"/>
    <w:rsid w:val="004C28F5"/>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6Colorful1">
    <w:name w:val="List Table 6 Colorful1"/>
    <w:basedOn w:val="TableNormal"/>
    <w:uiPriority w:val="51"/>
    <w:rsid w:val="004C28F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4C28F5"/>
  </w:style>
  <w:style w:type="paragraph" w:styleId="NoSpacing">
    <w:name w:val="No Spacing"/>
    <w:uiPriority w:val="1"/>
    <w:qFormat/>
    <w:rsid w:val="004C28F5"/>
    <w:pPr>
      <w:spacing w:after="0" w:line="240" w:lineRule="auto"/>
      <w:jc w:val="both"/>
    </w:pPr>
    <w:rPr>
      <w:rFonts w:ascii="Segoe UI" w:eastAsia="SimSun" w:hAnsi="Segoe UI" w:cs="Times New Roman"/>
      <w:sz w:val="24"/>
      <w:szCs w:val="24"/>
      <w:lang w:eastAsia="zh-CN"/>
    </w:rPr>
  </w:style>
  <w:style w:type="table" w:customStyle="1" w:styleId="TableGrid2">
    <w:name w:val="Table Grid2"/>
    <w:basedOn w:val="TableNormal"/>
    <w:next w:val="TableGrid"/>
    <w:uiPriority w:val="39"/>
    <w:rsid w:val="004C2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2">
    <w:name w:val="List Table 2 Accent 2"/>
    <w:basedOn w:val="TableNormal"/>
    <w:uiPriority w:val="47"/>
    <w:rsid w:val="004C28F5"/>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
    <w:name w:val="Grid Table 5 Dark"/>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6Colorful">
    <w:name w:val="Grid Table 6 Colorful"/>
    <w:basedOn w:val="TableNormal"/>
    <w:uiPriority w:val="51"/>
    <w:rsid w:val="004C28F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6">
    <w:name w:val="Grid Table 5 Dark Accent 6"/>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3">
    <w:name w:val="Grid Table 5 Dark Accent 3"/>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7Colorful-Accent2">
    <w:name w:val="Grid Table 7 Colorful Accent 2"/>
    <w:basedOn w:val="TableNormal"/>
    <w:uiPriority w:val="52"/>
    <w:rsid w:val="004C28F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5Dark-Accent5">
    <w:name w:val="Grid Table 5 Dark Accent 5"/>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4">
    <w:name w:val="Grid Table 5 Dark Accent 4"/>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Table5Dark-Accent3">
    <w:name w:val="List Table 5 Dark Accent 3"/>
    <w:basedOn w:val="TableNormal"/>
    <w:uiPriority w:val="50"/>
    <w:rsid w:val="004C28F5"/>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1">
    <w:name w:val="Grid Table 5 Dark Accent 1"/>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2-Accent2">
    <w:name w:val="Grid Table 2 Accent 2"/>
    <w:basedOn w:val="TableNormal"/>
    <w:uiPriority w:val="47"/>
    <w:rsid w:val="004C28F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4">
    <w:name w:val="Grid Table 1 Light Accent 4"/>
    <w:basedOn w:val="TableNormal"/>
    <w:uiPriority w:val="46"/>
    <w:rsid w:val="004C28F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4C28F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4C28F5"/>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2">
    <w:name w:val="Grid Table 6 Colorful Accent 2"/>
    <w:basedOn w:val="TableNormal"/>
    <w:uiPriority w:val="51"/>
    <w:rsid w:val="004C28F5"/>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1">
    <w:name w:val="Grid Table 6 Colorful Accent 1"/>
    <w:basedOn w:val="TableNormal"/>
    <w:uiPriority w:val="51"/>
    <w:rsid w:val="004C28F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6">
    <w:name w:val="Grid Table 2 Accent 6"/>
    <w:basedOn w:val="TableNormal"/>
    <w:uiPriority w:val="47"/>
    <w:rsid w:val="004C28F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4C28F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6">
    <w:name w:val="Grid Table 6 Colorful Accent 6"/>
    <w:basedOn w:val="TableNormal"/>
    <w:uiPriority w:val="51"/>
    <w:rsid w:val="004C28F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2">
    <w:name w:val="Grid Table 5 Dark Accent 2"/>
    <w:basedOn w:val="TableNormal"/>
    <w:uiPriority w:val="50"/>
    <w:rsid w:val="004C28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3-Accent2">
    <w:name w:val="Grid Table 3 Accent 2"/>
    <w:basedOn w:val="TableNormal"/>
    <w:uiPriority w:val="48"/>
    <w:rsid w:val="004C28F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4">
    <w:name w:val="Grid Table 3 Accent 4"/>
    <w:basedOn w:val="TableNormal"/>
    <w:uiPriority w:val="48"/>
    <w:rsid w:val="004C28F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7Colorful-Accent2">
    <w:name w:val="List Table 7 Colorful Accent 2"/>
    <w:basedOn w:val="TableNormal"/>
    <w:uiPriority w:val="52"/>
    <w:rsid w:val="004C28F5"/>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2">
    <w:name w:val="List Table 6 Colorful Accent 2"/>
    <w:basedOn w:val="TableNormal"/>
    <w:uiPriority w:val="51"/>
    <w:rsid w:val="004C28F5"/>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6">
    <w:name w:val="List Table 6 Colorful Accent 6"/>
    <w:basedOn w:val="TableNormal"/>
    <w:uiPriority w:val="51"/>
    <w:rsid w:val="004C28F5"/>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6Colorful">
    <w:name w:val="List Table 6 Colorful"/>
    <w:basedOn w:val="TableNormal"/>
    <w:uiPriority w:val="51"/>
    <w:rsid w:val="004C28F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991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371/journal.pmed.1000097"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385BC-FDD7-4A07-82BE-BC7717F13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59</Pages>
  <Words>22335</Words>
  <Characters>120613</Characters>
  <Application>Microsoft Office Word</Application>
  <DocSecurity>0</DocSecurity>
  <Lines>1005</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Efthymia Prousali</dc:creator>
  <cp:keywords/>
  <dc:description/>
  <cp:lastModifiedBy>Efthymia Prousali</cp:lastModifiedBy>
  <cp:revision>37</cp:revision>
  <dcterms:created xsi:type="dcterms:W3CDTF">2018-08-24T07:22:00Z</dcterms:created>
  <dcterms:modified xsi:type="dcterms:W3CDTF">2019-02-05T17:53:00Z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http://www.zotero.org/styles/acta-ophthalmologica</vt:lpwstr>
  </property>
  <property fmtid="{D5CDD505-2E9C-101B-9397-08002B2CF9AE}" pid="3" name="Mendeley Recent Style Name 0_1">
    <vt:lpwstr>Acta Ophthalmologica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http://www.zotero.org/styles/journal-of-glaucoma</vt:lpwstr>
  </property>
  <property fmtid="{D5CDD505-2E9C-101B-9397-08002B2CF9AE}" pid="9" name="Mendeley Recent Style Name 3_1">
    <vt:lpwstr>Journal of Glaucoma</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7th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http://www.zotero.org/styles/ophthalmology</vt:lpwstr>
  </property>
  <property fmtid="{D5CDD505-2E9C-101B-9397-08002B2CF9AE}" pid="17" name="Mendeley Recent Style Name 7_1">
    <vt:lpwstr>Ophthalmology</vt:lpwstr>
  </property>
  <property fmtid="{D5CDD505-2E9C-101B-9397-08002B2CF9AE}" pid="18" name="Mendeley Recent Style Id 8_1">
    <vt:lpwstr>http://www.zotero.org/styles/the-new-england-journal-of-medicine</vt:lpwstr>
  </property>
  <property fmtid="{D5CDD505-2E9C-101B-9397-08002B2CF9AE}" pid="19" name="Mendeley Recent Style Name 8_1">
    <vt:lpwstr>The New England Journal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