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36" w:rsidRDefault="00802265">
      <w:pPr>
        <w:widowControl/>
        <w:shd w:val="clear" w:color="auto" w:fill="FFFFFF"/>
        <w:spacing w:before="240" w:after="240"/>
        <w:jc w:val="left"/>
        <w:textAlignment w:val="baseline"/>
        <w:outlineLvl w:val="1"/>
      </w:pPr>
      <w:r>
        <w:rPr>
          <w:rFonts w:eastAsia="SimSun" w:cs="Times New Roman"/>
          <w:color w:val="333333"/>
          <w:spacing w:val="5"/>
          <w:kern w:val="0"/>
          <w:sz w:val="36"/>
          <w:szCs w:val="36"/>
        </w:rPr>
        <w:t>Additional file 1</w:t>
      </w:r>
      <w:bookmarkStart w:id="0" w:name="_GoBack"/>
      <w:bookmarkEnd w:id="0"/>
    </w:p>
    <w:p w:rsidR="000F3C36" w:rsidRDefault="000F3C36"/>
    <w:p w:rsidR="000F3C36" w:rsidRDefault="008B397E">
      <w:r>
        <w:rPr>
          <w:noProof/>
          <w:lang w:eastAsia="en-US"/>
        </w:rPr>
        <w:drawing>
          <wp:inline distT="0" distB="0" distL="0" distR="0">
            <wp:extent cx="5274310" cy="3251835"/>
            <wp:effectExtent l="0" t="0" r="2540" b="5715"/>
            <wp:docPr id="5" name="图片 5" descr="D:\F实验\resubmission\Figure\supplemental figure1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F实验\resubmission\Figure\supplemental figure1\Figure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C36" w:rsidRDefault="008B397E">
      <w:r>
        <w:t xml:space="preserve">Figure </w:t>
      </w:r>
      <w:r>
        <w:rPr>
          <w:rFonts w:hint="eastAsia"/>
        </w:rPr>
        <w:t>S</w:t>
      </w:r>
      <w:r w:rsidR="00531E4E">
        <w:t>1</w:t>
      </w:r>
      <w:r>
        <w:t xml:space="preserve"> Individual </w:t>
      </w:r>
      <w:r>
        <w:rPr>
          <w:rFonts w:hint="eastAsia"/>
        </w:rPr>
        <w:t xml:space="preserve">layers </w:t>
      </w:r>
      <w:r>
        <w:t xml:space="preserve">thickness changes in study eye from baseline (BL) </w:t>
      </w:r>
      <w:r>
        <w:rPr>
          <w:rFonts w:hint="eastAsia"/>
        </w:rPr>
        <w:t>to</w:t>
      </w:r>
      <w:r>
        <w:t xml:space="preserve"> one year follow-up.</w:t>
      </w:r>
      <w:r>
        <w:rPr>
          <w:rFonts w:hint="eastAsia"/>
        </w:rPr>
        <w:t xml:space="preserve"> </w:t>
      </w:r>
      <w:r>
        <w:t>Two-sided paired t-test was performed between baseline and month 12 (*p</w:t>
      </w:r>
      <w:r>
        <w:rPr>
          <w:rFonts w:ascii="Cambria Math" w:hAnsi="Cambria Math"/>
        </w:rPr>
        <w:t>≤</w:t>
      </w:r>
      <w:r>
        <w:t>0.05; **p</w:t>
      </w:r>
      <w:r>
        <w:rPr>
          <w:rFonts w:ascii="Cambria Math" w:hAnsi="Cambria Math"/>
        </w:rPr>
        <w:t>≤</w:t>
      </w:r>
      <w:r>
        <w:t xml:space="preserve">0.01; NS=not significant). Retinal layer thickness </w:t>
      </w:r>
      <w:r>
        <w:rPr>
          <w:rFonts w:hint="eastAsia"/>
        </w:rPr>
        <w:t>from</w:t>
      </w:r>
      <w:r>
        <w:t xml:space="preserve"> BL </w:t>
      </w:r>
      <w:r>
        <w:rPr>
          <w:rFonts w:hint="eastAsia"/>
        </w:rPr>
        <w:t>to</w:t>
      </w:r>
      <w:r>
        <w:t xml:space="preserve"> 12 months of continuous treatment in the superior (A), inferior (B), nasal (C) and tem</w:t>
      </w:r>
      <w:r>
        <w:rPr>
          <w:rFonts w:hint="eastAsia"/>
        </w:rPr>
        <w:t>poral</w:t>
      </w:r>
      <w:r>
        <w:t xml:space="preserve"> (D) region from inner ring of the ETDRS grid. RNFL, retinal nerve fiber layer; GCL, ganglion cell layer; IPL, inner plexiform layer; INL, inner nuclear layer; OPL, outer plexiform layer; ONL, outer nuclear layer; PR, photoreceptor–RPE complex (Bruch membrane to external limiting membrane)</w:t>
      </w:r>
    </w:p>
    <w:p w:rsidR="000F3C36" w:rsidRDefault="008B397E">
      <w:r>
        <w:rPr>
          <w:noProof/>
          <w:lang w:eastAsia="en-US"/>
        </w:rPr>
        <w:lastRenderedPageBreak/>
        <w:drawing>
          <wp:inline distT="0" distB="0" distL="0" distR="0">
            <wp:extent cx="5274310" cy="3372485"/>
            <wp:effectExtent l="0" t="0" r="2540" b="18415"/>
            <wp:docPr id="6" name="图片 6" descr="D:\F实验\resubmission\Figure\supplemental figure2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F实验\resubmission\Figure\supplemental figure2\Figure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C36" w:rsidRDefault="008B397E">
      <w:r>
        <w:t xml:space="preserve">Figure </w:t>
      </w:r>
      <w:r>
        <w:rPr>
          <w:rFonts w:hint="eastAsia"/>
        </w:rPr>
        <w:t>S</w:t>
      </w:r>
      <w:r w:rsidR="00531E4E">
        <w:t>2</w:t>
      </w:r>
      <w:r>
        <w:t xml:space="preserve"> Individual </w:t>
      </w:r>
      <w:r>
        <w:rPr>
          <w:rFonts w:hint="eastAsia"/>
        </w:rPr>
        <w:t xml:space="preserve">layers </w:t>
      </w:r>
      <w:r>
        <w:t xml:space="preserve">thickness changes in study eye from baseline (BL) </w:t>
      </w:r>
      <w:r>
        <w:rPr>
          <w:rFonts w:hint="eastAsia"/>
        </w:rPr>
        <w:t>to</w:t>
      </w:r>
      <w:r>
        <w:t xml:space="preserve"> one year follow-up.</w:t>
      </w:r>
      <w:r>
        <w:rPr>
          <w:rFonts w:hint="eastAsia"/>
        </w:rPr>
        <w:t xml:space="preserve"> </w:t>
      </w:r>
      <w:r>
        <w:t>Two-sided paired t-test was performed between baseline and month 12 (*p</w:t>
      </w:r>
      <w:r>
        <w:rPr>
          <w:rFonts w:ascii="Cambria Math" w:hAnsi="Cambria Math"/>
        </w:rPr>
        <w:t>≤</w:t>
      </w:r>
      <w:r>
        <w:t>0.05; **p</w:t>
      </w:r>
      <w:r>
        <w:rPr>
          <w:rFonts w:ascii="Cambria Math" w:hAnsi="Cambria Math"/>
        </w:rPr>
        <w:t>≤</w:t>
      </w:r>
      <w:r>
        <w:t xml:space="preserve">0.01; NS=not significant). Retinal layer thickness </w:t>
      </w:r>
      <w:r>
        <w:rPr>
          <w:rFonts w:hint="eastAsia"/>
        </w:rPr>
        <w:t>from</w:t>
      </w:r>
      <w:r>
        <w:t xml:space="preserve"> BL </w:t>
      </w:r>
      <w:r>
        <w:rPr>
          <w:rFonts w:hint="eastAsia"/>
        </w:rPr>
        <w:t>to</w:t>
      </w:r>
      <w:r>
        <w:t xml:space="preserve"> 12 months of continuous treatment in the superior (A), inferior (B), nasal (C) and tem</w:t>
      </w:r>
      <w:r>
        <w:rPr>
          <w:rFonts w:hint="eastAsia"/>
        </w:rPr>
        <w:t>poral</w:t>
      </w:r>
      <w:r>
        <w:t xml:space="preserve"> (D) region from outer ring of the ETDRS grid. RNFL, retinal nerve fiber layer; GCL, ganglion cell layer; IPL, inner plexiform layer; INL, inner nuclear layer; OPL, outer plexiform layer; ONL, outer nuclear layer; PR, photoreceptor–RPE complex (Bruch membrane to external limiting membrane)</w:t>
      </w:r>
    </w:p>
    <w:p w:rsidR="000F3C36" w:rsidRDefault="000879ED" w:rsidP="000879ED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>
            <wp:extent cx="2565400" cy="4305834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080" cy="431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9ED" w:rsidRPr="000879ED" w:rsidRDefault="000879ED" w:rsidP="000879ED">
      <w:r>
        <w:t xml:space="preserve">Figure </w:t>
      </w:r>
      <w:r>
        <w:rPr>
          <w:rFonts w:hint="eastAsia"/>
        </w:rPr>
        <w:t>S</w:t>
      </w:r>
      <w:r>
        <w:t>3</w:t>
      </w:r>
      <w:r w:rsidRPr="000879ED">
        <w:t>. Individual layer thickness changes in fellow eye from baseline (BL) to one-year follow-up. (A) Representative optical coherence tomogram scans showing layer segmentation at baseline (BL) and at one-year (1-year) follow-up. Two-sided paired t-test was performed between baseline and month 12 (**p≤0.01; NS=not significant). Retinal layer thickness from BL to 12 months of continuous treatment in average changes (B), central subfield (C) of the ETDRS grid. RNFL, retinal nerve fiber layer; GCL, ganglion cell layer; IPL, inner plexiform layer; INL, inner nuclear layer; OPL, outer plexiform layer; ONL, outer nuclear layer; PR, photoreceptor–RPE complex (Bruch membrane to external limiting membrane).</w:t>
      </w:r>
    </w:p>
    <w:sectPr w:rsidR="000879ED" w:rsidRPr="00087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CEC" w:rsidRDefault="004F6CEC" w:rsidP="00531E4E">
      <w:r>
        <w:separator/>
      </w:r>
    </w:p>
  </w:endnote>
  <w:endnote w:type="continuationSeparator" w:id="0">
    <w:p w:rsidR="004F6CEC" w:rsidRDefault="004F6CEC" w:rsidP="0053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CEC" w:rsidRDefault="004F6CEC" w:rsidP="00531E4E">
      <w:r>
        <w:separator/>
      </w:r>
    </w:p>
  </w:footnote>
  <w:footnote w:type="continuationSeparator" w:id="0">
    <w:p w:rsidR="004F6CEC" w:rsidRDefault="004F6CEC" w:rsidP="00531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72A27"/>
    <w:rsid w:val="000879ED"/>
    <w:rsid w:val="000F3C36"/>
    <w:rsid w:val="00172A27"/>
    <w:rsid w:val="004F6CEC"/>
    <w:rsid w:val="00531E4E"/>
    <w:rsid w:val="00587F2C"/>
    <w:rsid w:val="00802265"/>
    <w:rsid w:val="008B397E"/>
    <w:rsid w:val="00AB3E19"/>
    <w:rsid w:val="150638EE"/>
    <w:rsid w:val="21CD4818"/>
    <w:rsid w:val="44EE610D"/>
    <w:rsid w:val="6B1A4842"/>
    <w:rsid w:val="6B8051C7"/>
    <w:rsid w:val="6D09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Palatino Linotype" w:eastAsia="Palatino Linotype" w:hAnsi="Palatino Linotype" w:hint="eastAsia"/>
      <w:color w:val="000000"/>
      <w:sz w:val="24"/>
    </w:rPr>
  </w:style>
  <w:style w:type="paragraph" w:styleId="Header">
    <w:name w:val="header"/>
    <w:basedOn w:val="Normal"/>
    <w:link w:val="HeaderChar"/>
    <w:rsid w:val="00531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31E4E"/>
    <w:rPr>
      <w:rFonts w:ascii="Times New Roman" w:hAnsi="Times New Roman"/>
      <w:kern w:val="2"/>
      <w:sz w:val="18"/>
      <w:szCs w:val="18"/>
    </w:rPr>
  </w:style>
  <w:style w:type="paragraph" w:styleId="Footer">
    <w:name w:val="footer"/>
    <w:basedOn w:val="Normal"/>
    <w:link w:val="FooterChar"/>
    <w:rsid w:val="00531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531E4E"/>
    <w:rPr>
      <w:rFonts w:ascii="Times New Roman" w:hAnsi="Times New Roman"/>
      <w:kern w:val="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79ED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879ED"/>
    <w:rPr>
      <w:rFonts w:ascii="Tahoma" w:hAnsi="Tahoma" w:cs="Tahoma"/>
      <w:kern w:val="2"/>
      <w:sz w:val="16"/>
      <w:szCs w:val="22"/>
    </w:rPr>
  </w:style>
  <w:style w:type="character" w:styleId="CommentReference">
    <w:name w:val="annotation reference"/>
    <w:basedOn w:val="DefaultParagraphFont"/>
    <w:uiPriority w:val="99"/>
    <w:unhideWhenUsed/>
    <w:qFormat/>
    <w:rsid w:val="000879ED"/>
    <w:rPr>
      <w:sz w:val="21"/>
      <w:szCs w:val="21"/>
    </w:rPr>
  </w:style>
  <w:style w:type="paragraph" w:styleId="BalloonText">
    <w:name w:val="Balloon Text"/>
    <w:basedOn w:val="Normal"/>
    <w:link w:val="BalloonTextChar"/>
    <w:rsid w:val="000879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79ED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Palatino Linotype" w:eastAsia="Palatino Linotype" w:hAnsi="Palatino Linotype" w:hint="eastAsia"/>
      <w:color w:val="000000"/>
      <w:sz w:val="24"/>
    </w:rPr>
  </w:style>
  <w:style w:type="paragraph" w:styleId="Header">
    <w:name w:val="header"/>
    <w:basedOn w:val="Normal"/>
    <w:link w:val="HeaderChar"/>
    <w:rsid w:val="00531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31E4E"/>
    <w:rPr>
      <w:rFonts w:ascii="Times New Roman" w:hAnsi="Times New Roman"/>
      <w:kern w:val="2"/>
      <w:sz w:val="18"/>
      <w:szCs w:val="18"/>
    </w:rPr>
  </w:style>
  <w:style w:type="paragraph" w:styleId="Footer">
    <w:name w:val="footer"/>
    <w:basedOn w:val="Normal"/>
    <w:link w:val="FooterChar"/>
    <w:rsid w:val="00531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531E4E"/>
    <w:rPr>
      <w:rFonts w:ascii="Times New Roman" w:hAnsi="Times New Roman"/>
      <w:kern w:val="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79ED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879ED"/>
    <w:rPr>
      <w:rFonts w:ascii="Tahoma" w:hAnsi="Tahoma" w:cs="Tahoma"/>
      <w:kern w:val="2"/>
      <w:sz w:val="16"/>
      <w:szCs w:val="22"/>
    </w:rPr>
  </w:style>
  <w:style w:type="character" w:styleId="CommentReference">
    <w:name w:val="annotation reference"/>
    <w:basedOn w:val="DefaultParagraphFont"/>
    <w:uiPriority w:val="99"/>
    <w:unhideWhenUsed/>
    <w:qFormat/>
    <w:rsid w:val="000879ED"/>
    <w:rPr>
      <w:sz w:val="21"/>
      <w:szCs w:val="21"/>
    </w:rPr>
  </w:style>
  <w:style w:type="paragraph" w:styleId="BalloonText">
    <w:name w:val="Balloon Text"/>
    <w:basedOn w:val="Normal"/>
    <w:link w:val="BalloonTextChar"/>
    <w:rsid w:val="000879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79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1697</Characters>
  <Application>Microsoft Office Word</Application>
  <DocSecurity>0</DocSecurity>
  <Lines>27</Lines>
  <Paragraphs>4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AFRENACIA</cp:lastModifiedBy>
  <cp:revision>3</cp:revision>
  <dcterms:created xsi:type="dcterms:W3CDTF">2018-12-12T16:11:00Z</dcterms:created>
  <dcterms:modified xsi:type="dcterms:W3CDTF">2019-05-21T08:43:00Z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