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8F790D" w14:textId="77777777" w:rsidR="00E87CDE" w:rsidRPr="00870FC9" w:rsidRDefault="00E87CDE" w:rsidP="00E87CDE">
      <w:pPr>
        <w:spacing w:line="276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870FC9">
        <w:rPr>
          <w:rFonts w:ascii="Times New Roman" w:hAnsi="Times New Roman" w:cs="Times New Roman"/>
          <w:b/>
          <w:bCs/>
        </w:rPr>
        <w:t>Supplementary Table 1 The compare and contrast table of different studies about the UM prognosis based on SEER database</w:t>
      </w:r>
    </w:p>
    <w:tbl>
      <w:tblPr>
        <w:tblStyle w:val="a3"/>
        <w:tblW w:w="11341" w:type="dxa"/>
        <w:tblInd w:w="-15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"/>
        <w:gridCol w:w="1342"/>
        <w:gridCol w:w="835"/>
        <w:gridCol w:w="636"/>
        <w:gridCol w:w="706"/>
        <w:gridCol w:w="1336"/>
        <w:gridCol w:w="1150"/>
        <w:gridCol w:w="1173"/>
        <w:gridCol w:w="3637"/>
      </w:tblGrid>
      <w:tr w:rsidR="00E87CDE" w14:paraId="3F7D725E" w14:textId="77777777" w:rsidTr="00102B39"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14:paraId="1A23AFA8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o.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14:paraId="661681E4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uthor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</w:tcPr>
          <w:p w14:paraId="0881FB12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Year of publish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</w:tcPr>
          <w:p w14:paraId="7D89A2F3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243D3413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</w:t>
            </w:r>
            <w:r>
              <w:rPr>
                <w:rFonts w:ascii="Times New Roman" w:hAnsi="Times New Roman" w:cs="Times New Roman"/>
              </w:rPr>
              <w:t>ear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5B0370AD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Outcomes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14:paraId="2E068A65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egression model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4BF80D99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omogram</w:t>
            </w:r>
          </w:p>
        </w:tc>
        <w:tc>
          <w:tcPr>
            <w:tcW w:w="3637" w:type="dxa"/>
            <w:tcBorders>
              <w:top w:val="single" w:sz="4" w:space="0" w:color="auto"/>
              <w:bottom w:val="single" w:sz="4" w:space="0" w:color="auto"/>
            </w:tcBorders>
          </w:tcPr>
          <w:p w14:paraId="062E764F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actors</w:t>
            </w:r>
          </w:p>
        </w:tc>
      </w:tr>
      <w:tr w:rsidR="00E87CDE" w14:paraId="4D415555" w14:textId="77777777" w:rsidTr="00102B39">
        <w:tc>
          <w:tcPr>
            <w:tcW w:w="526" w:type="dxa"/>
            <w:tcBorders>
              <w:top w:val="single" w:sz="4" w:space="0" w:color="auto"/>
            </w:tcBorders>
          </w:tcPr>
          <w:p w14:paraId="4A99466E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14:paraId="752FD255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EB48E3">
              <w:rPr>
                <w:rFonts w:ascii="Times New Roman" w:hAnsi="Times New Roman" w:cs="Times New Roman"/>
              </w:rPr>
              <w:t>Mahendraraj</w:t>
            </w:r>
            <w:proofErr w:type="spellEnd"/>
            <w:r w:rsidRPr="00EB48E3">
              <w:rPr>
                <w:rFonts w:ascii="Times New Roman" w:hAnsi="Times New Roman" w:cs="Times New Roman"/>
              </w:rPr>
              <w:t>, K., et al.</w:t>
            </w:r>
          </w:p>
        </w:tc>
        <w:tc>
          <w:tcPr>
            <w:tcW w:w="835" w:type="dxa"/>
            <w:tcBorders>
              <w:top w:val="single" w:sz="4" w:space="0" w:color="auto"/>
            </w:tcBorders>
          </w:tcPr>
          <w:p w14:paraId="46A5080E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016</w:t>
            </w:r>
          </w:p>
        </w:tc>
        <w:tc>
          <w:tcPr>
            <w:tcW w:w="636" w:type="dxa"/>
            <w:tcBorders>
              <w:top w:val="single" w:sz="4" w:space="0" w:color="auto"/>
            </w:tcBorders>
          </w:tcPr>
          <w:p w14:paraId="4432E09F" w14:textId="77777777" w:rsidR="00E87CDE" w:rsidRPr="00EB48E3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7516</w:t>
            </w:r>
          </w:p>
        </w:tc>
        <w:tc>
          <w:tcPr>
            <w:tcW w:w="706" w:type="dxa"/>
            <w:tcBorders>
              <w:top w:val="single" w:sz="4" w:space="0" w:color="auto"/>
            </w:tcBorders>
          </w:tcPr>
          <w:p w14:paraId="6EDFFDF0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973-2012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221DD9A6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ortality</w:t>
            </w:r>
          </w:p>
        </w:tc>
        <w:tc>
          <w:tcPr>
            <w:tcW w:w="1150" w:type="dxa"/>
            <w:tcBorders>
              <w:top w:val="single" w:sz="4" w:space="0" w:color="auto"/>
            </w:tcBorders>
          </w:tcPr>
          <w:p w14:paraId="6E3379B6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47D1351A" w14:textId="77777777" w:rsidR="00E87CDE" w:rsidRPr="008C6240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3637" w:type="dxa"/>
            <w:tcBorders>
              <w:top w:val="single" w:sz="4" w:space="0" w:color="auto"/>
            </w:tcBorders>
          </w:tcPr>
          <w:p w14:paraId="3FEEF532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 w:rsidRPr="008C6240">
              <w:rPr>
                <w:rFonts w:ascii="Times New Roman" w:hAnsi="Times New Roman" w:cs="Times New Roman"/>
              </w:rPr>
              <w:t>ale sex, age &gt;50 years, distant metastases, and surgical treatment only as independently associated with increased mortality. Hispanic ethnicity and radiation treatment were associated with reduced mortality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87CDE" w14:paraId="29518D77" w14:textId="77777777" w:rsidTr="00102B39">
        <w:tc>
          <w:tcPr>
            <w:tcW w:w="526" w:type="dxa"/>
          </w:tcPr>
          <w:p w14:paraId="5E73735F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42" w:type="dxa"/>
          </w:tcPr>
          <w:p w14:paraId="0E1DE705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27BE">
              <w:rPr>
                <w:rFonts w:ascii="Times New Roman" w:hAnsi="Times New Roman" w:cs="Times New Roman"/>
              </w:rPr>
              <w:t>Rao, Y. J., et al</w:t>
            </w:r>
          </w:p>
        </w:tc>
        <w:tc>
          <w:tcPr>
            <w:tcW w:w="835" w:type="dxa"/>
          </w:tcPr>
          <w:p w14:paraId="2C3466B0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636" w:type="dxa"/>
          </w:tcPr>
          <w:p w14:paraId="7154266E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706" w:type="dxa"/>
          </w:tcPr>
          <w:p w14:paraId="44534884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004-2013</w:t>
            </w:r>
          </w:p>
        </w:tc>
        <w:tc>
          <w:tcPr>
            <w:tcW w:w="1336" w:type="dxa"/>
          </w:tcPr>
          <w:p w14:paraId="4A11C1D9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Disease</w:t>
            </w:r>
            <w:r>
              <w:rPr>
                <w:rFonts w:ascii="Times New Roman" w:hAnsi="Times New Roman" w:cs="Times New Roman"/>
              </w:rPr>
              <w:t>-specific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survival </w:t>
            </w: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DSS), overall survival (OS)</w:t>
            </w:r>
          </w:p>
        </w:tc>
        <w:tc>
          <w:tcPr>
            <w:tcW w:w="1150" w:type="dxa"/>
          </w:tcPr>
          <w:p w14:paraId="26469021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Cox</w:t>
            </w:r>
          </w:p>
        </w:tc>
        <w:tc>
          <w:tcPr>
            <w:tcW w:w="1173" w:type="dxa"/>
          </w:tcPr>
          <w:p w14:paraId="7C1403D9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3637" w:type="dxa"/>
          </w:tcPr>
          <w:p w14:paraId="26E48F13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3C6">
              <w:rPr>
                <w:rFonts w:ascii="Times New Roman" w:hAnsi="Times New Roman" w:cs="Times New Roman"/>
              </w:rPr>
              <w:t xml:space="preserve">Enucleation was associated with inferior DSS and OS compared to </w:t>
            </w:r>
            <w:r w:rsidRPr="00B36683">
              <w:rPr>
                <w:rFonts w:ascii="Times New Roman" w:hAnsi="Times New Roman" w:cs="Times New Roman"/>
              </w:rPr>
              <w:t>globe preserving therapy</w:t>
            </w:r>
            <w:r w:rsidRPr="00B843C6">
              <w:rPr>
                <w:rFonts w:ascii="Times New Roman" w:hAnsi="Times New Roman" w:cs="Times New Roman"/>
              </w:rPr>
              <w:t>. Limited surgical resection or ablation and radiation had similar DSS and OS.</w:t>
            </w:r>
          </w:p>
        </w:tc>
      </w:tr>
      <w:tr w:rsidR="00E87CDE" w14:paraId="6D46F9C6" w14:textId="77777777" w:rsidTr="00102B39">
        <w:tc>
          <w:tcPr>
            <w:tcW w:w="526" w:type="dxa"/>
          </w:tcPr>
          <w:p w14:paraId="38ACE599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342" w:type="dxa"/>
          </w:tcPr>
          <w:p w14:paraId="5BF0F07A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65197">
              <w:rPr>
                <w:rFonts w:ascii="Times New Roman" w:hAnsi="Times New Roman" w:cs="Times New Roman"/>
              </w:rPr>
              <w:t>Cai, W., et al</w:t>
            </w:r>
          </w:p>
        </w:tc>
        <w:tc>
          <w:tcPr>
            <w:tcW w:w="835" w:type="dxa"/>
          </w:tcPr>
          <w:p w14:paraId="4546669D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636" w:type="dxa"/>
          </w:tcPr>
          <w:p w14:paraId="38DB7D43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706" w:type="dxa"/>
          </w:tcPr>
          <w:p w14:paraId="57614037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004-2015</w:t>
            </w:r>
          </w:p>
        </w:tc>
        <w:tc>
          <w:tcPr>
            <w:tcW w:w="1336" w:type="dxa"/>
          </w:tcPr>
          <w:p w14:paraId="48E965C2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ancer-specific survival, OS</w:t>
            </w:r>
          </w:p>
        </w:tc>
        <w:tc>
          <w:tcPr>
            <w:tcW w:w="1150" w:type="dxa"/>
          </w:tcPr>
          <w:p w14:paraId="3CF18CE8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ox</w:t>
            </w:r>
          </w:p>
        </w:tc>
        <w:tc>
          <w:tcPr>
            <w:tcW w:w="1173" w:type="dxa"/>
          </w:tcPr>
          <w:p w14:paraId="19B77A6C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3637" w:type="dxa"/>
          </w:tcPr>
          <w:p w14:paraId="2EE0486B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65197">
              <w:rPr>
                <w:rFonts w:ascii="Times New Roman" w:hAnsi="Times New Roman" w:cs="Times New Roman"/>
              </w:rPr>
              <w:t>Marital status was proved to be an independent prognostic value for survival in UM patients</w:t>
            </w:r>
          </w:p>
        </w:tc>
      </w:tr>
      <w:tr w:rsidR="00E87CDE" w14:paraId="42CAED37" w14:textId="77777777" w:rsidTr="00102B39">
        <w:tc>
          <w:tcPr>
            <w:tcW w:w="526" w:type="dxa"/>
          </w:tcPr>
          <w:p w14:paraId="56E91704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342" w:type="dxa"/>
          </w:tcPr>
          <w:p w14:paraId="4724D87B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365197">
              <w:rPr>
                <w:rFonts w:ascii="Times New Roman" w:hAnsi="Times New Roman" w:cs="Times New Roman"/>
              </w:rPr>
              <w:t>Andreoli</w:t>
            </w:r>
            <w:proofErr w:type="spellEnd"/>
            <w:r w:rsidRPr="00365197">
              <w:rPr>
                <w:rFonts w:ascii="Times New Roman" w:hAnsi="Times New Roman" w:cs="Times New Roman"/>
              </w:rPr>
              <w:t>, M. T., et al.</w:t>
            </w:r>
          </w:p>
        </w:tc>
        <w:tc>
          <w:tcPr>
            <w:tcW w:w="835" w:type="dxa"/>
          </w:tcPr>
          <w:p w14:paraId="6B91D354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015</w:t>
            </w:r>
          </w:p>
        </w:tc>
        <w:tc>
          <w:tcPr>
            <w:tcW w:w="636" w:type="dxa"/>
          </w:tcPr>
          <w:p w14:paraId="546525E4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043</w:t>
            </w:r>
          </w:p>
        </w:tc>
        <w:tc>
          <w:tcPr>
            <w:tcW w:w="706" w:type="dxa"/>
          </w:tcPr>
          <w:p w14:paraId="476B76B7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973-2009</w:t>
            </w:r>
          </w:p>
        </w:tc>
        <w:tc>
          <w:tcPr>
            <w:tcW w:w="1336" w:type="dxa"/>
          </w:tcPr>
          <w:p w14:paraId="00B630FD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DSS and OS</w:t>
            </w:r>
          </w:p>
        </w:tc>
        <w:tc>
          <w:tcPr>
            <w:tcW w:w="1150" w:type="dxa"/>
          </w:tcPr>
          <w:p w14:paraId="6881F99A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ox</w:t>
            </w:r>
          </w:p>
        </w:tc>
        <w:tc>
          <w:tcPr>
            <w:tcW w:w="1173" w:type="dxa"/>
          </w:tcPr>
          <w:p w14:paraId="5D5182C7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3637" w:type="dxa"/>
          </w:tcPr>
          <w:p w14:paraId="1B12FEF0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D467B1">
              <w:rPr>
                <w:rFonts w:ascii="Times New Roman" w:hAnsi="Times New Roman" w:cs="Times New Roman"/>
              </w:rPr>
              <w:t xml:space="preserve">umor histology, T stage and age at diagnosis were associated with </w:t>
            </w:r>
            <w:r>
              <w:rPr>
                <w:rFonts w:ascii="Times New Roman" w:hAnsi="Times New Roman" w:cs="Times New Roman"/>
              </w:rPr>
              <w:t>DSS</w:t>
            </w:r>
          </w:p>
        </w:tc>
      </w:tr>
      <w:tr w:rsidR="00E87CDE" w14:paraId="03113E2C" w14:textId="77777777" w:rsidTr="00102B39">
        <w:tc>
          <w:tcPr>
            <w:tcW w:w="526" w:type="dxa"/>
          </w:tcPr>
          <w:p w14:paraId="7DFB4160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342" w:type="dxa"/>
          </w:tcPr>
          <w:p w14:paraId="2B07FD62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467B1">
              <w:rPr>
                <w:rFonts w:ascii="Times New Roman" w:hAnsi="Times New Roman" w:cs="Times New Roman"/>
              </w:rPr>
              <w:t>Xu, Y., et al.</w:t>
            </w:r>
          </w:p>
        </w:tc>
        <w:tc>
          <w:tcPr>
            <w:tcW w:w="835" w:type="dxa"/>
          </w:tcPr>
          <w:p w14:paraId="6C9055AA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636" w:type="dxa"/>
          </w:tcPr>
          <w:p w14:paraId="78335C61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706" w:type="dxa"/>
          </w:tcPr>
          <w:p w14:paraId="656BFEBB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010-2015</w:t>
            </w:r>
          </w:p>
        </w:tc>
        <w:tc>
          <w:tcPr>
            <w:tcW w:w="1336" w:type="dxa"/>
          </w:tcPr>
          <w:p w14:paraId="7B1831C2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Five</w:t>
            </w:r>
            <w:r w:rsidRPr="00D467B1">
              <w:rPr>
                <w:rFonts w:ascii="Times New Roman" w:hAnsi="Times New Roman" w:cs="Times New Roman"/>
              </w:rPr>
              <w:t xml:space="preserve">-year accumulative </w:t>
            </w:r>
            <w:r>
              <w:rPr>
                <w:rFonts w:ascii="Times New Roman" w:hAnsi="Times New Roman" w:cs="Times New Roman"/>
              </w:rPr>
              <w:t>OS</w:t>
            </w:r>
            <w:r w:rsidRPr="00D467B1">
              <w:rPr>
                <w:rFonts w:ascii="Times New Roman" w:hAnsi="Times New Roman" w:cs="Times New Roman"/>
              </w:rPr>
              <w:t xml:space="preserve">, and </w:t>
            </w:r>
            <w:r>
              <w:rPr>
                <w:rFonts w:ascii="Times New Roman" w:hAnsi="Times New Roman" w:cs="Times New Roman"/>
              </w:rPr>
              <w:t>DSS</w:t>
            </w:r>
          </w:p>
        </w:tc>
        <w:tc>
          <w:tcPr>
            <w:tcW w:w="1150" w:type="dxa"/>
          </w:tcPr>
          <w:p w14:paraId="6A39D9E8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ox</w:t>
            </w:r>
          </w:p>
        </w:tc>
        <w:tc>
          <w:tcPr>
            <w:tcW w:w="1173" w:type="dxa"/>
          </w:tcPr>
          <w:p w14:paraId="486991FE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3637" w:type="dxa"/>
          </w:tcPr>
          <w:p w14:paraId="151288A7" w14:textId="77777777" w:rsidR="00E87CDE" w:rsidRDefault="00E87CDE" w:rsidP="00102B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467B1">
              <w:rPr>
                <w:rFonts w:ascii="Times New Roman" w:hAnsi="Times New Roman" w:cs="Times New Roman"/>
              </w:rPr>
              <w:t>AJCC stage, and radiation therapy were found to be consistent predictors in both univariate and multivariate analysis models.</w:t>
            </w:r>
          </w:p>
        </w:tc>
      </w:tr>
    </w:tbl>
    <w:p w14:paraId="478AC6BF" w14:textId="77777777" w:rsidR="00E87CDE" w:rsidRDefault="00E87CDE" w:rsidP="00E87CDE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>R, not reported</w:t>
      </w:r>
    </w:p>
    <w:p w14:paraId="31F76009" w14:textId="77777777" w:rsidR="00E87CDE" w:rsidRDefault="00E87CDE" w:rsidP="00E87CDE">
      <w:pPr>
        <w:spacing w:line="276" w:lineRule="auto"/>
        <w:rPr>
          <w:rFonts w:ascii="Times New Roman" w:hAnsi="Times New Roman" w:cs="Times New Roman"/>
        </w:rPr>
      </w:pPr>
    </w:p>
    <w:p w14:paraId="3057D5A7" w14:textId="77777777" w:rsidR="00870951" w:rsidRDefault="00E87CDE"/>
    <w:sectPr w:rsidR="00870951" w:rsidSect="000169A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DE"/>
    <w:rsid w:val="000066B4"/>
    <w:rsid w:val="00007FE8"/>
    <w:rsid w:val="00013B59"/>
    <w:rsid w:val="0001654C"/>
    <w:rsid w:val="000169A5"/>
    <w:rsid w:val="00020873"/>
    <w:rsid w:val="00026FEB"/>
    <w:rsid w:val="000422A0"/>
    <w:rsid w:val="0005794B"/>
    <w:rsid w:val="000642D8"/>
    <w:rsid w:val="00064377"/>
    <w:rsid w:val="00067BAE"/>
    <w:rsid w:val="00076790"/>
    <w:rsid w:val="00077B9F"/>
    <w:rsid w:val="00087FC3"/>
    <w:rsid w:val="00090238"/>
    <w:rsid w:val="0009331E"/>
    <w:rsid w:val="000A441C"/>
    <w:rsid w:val="000A7F7F"/>
    <w:rsid w:val="000B5410"/>
    <w:rsid w:val="000C2752"/>
    <w:rsid w:val="000D4C19"/>
    <w:rsid w:val="000E3142"/>
    <w:rsid w:val="000F0850"/>
    <w:rsid w:val="000F2FBF"/>
    <w:rsid w:val="000F4285"/>
    <w:rsid w:val="0011430D"/>
    <w:rsid w:val="00123EA5"/>
    <w:rsid w:val="00126DE4"/>
    <w:rsid w:val="00141427"/>
    <w:rsid w:val="00147AFD"/>
    <w:rsid w:val="00151F97"/>
    <w:rsid w:val="0016049A"/>
    <w:rsid w:val="0016216F"/>
    <w:rsid w:val="00165522"/>
    <w:rsid w:val="0016603C"/>
    <w:rsid w:val="001675C6"/>
    <w:rsid w:val="00170051"/>
    <w:rsid w:val="001747D5"/>
    <w:rsid w:val="00180EEC"/>
    <w:rsid w:val="00181CDA"/>
    <w:rsid w:val="0018366C"/>
    <w:rsid w:val="00186A71"/>
    <w:rsid w:val="001A18F9"/>
    <w:rsid w:val="001A3EAD"/>
    <w:rsid w:val="001A72F4"/>
    <w:rsid w:val="001A7EE6"/>
    <w:rsid w:val="001B0C70"/>
    <w:rsid w:val="001B450F"/>
    <w:rsid w:val="001B4FC2"/>
    <w:rsid w:val="001C11BC"/>
    <w:rsid w:val="001D4221"/>
    <w:rsid w:val="001E46A0"/>
    <w:rsid w:val="001E51A1"/>
    <w:rsid w:val="001F212A"/>
    <w:rsid w:val="002036BD"/>
    <w:rsid w:val="0020746B"/>
    <w:rsid w:val="00207CFE"/>
    <w:rsid w:val="00210448"/>
    <w:rsid w:val="0021522E"/>
    <w:rsid w:val="00225B73"/>
    <w:rsid w:val="00225E93"/>
    <w:rsid w:val="002266E3"/>
    <w:rsid w:val="00227B6B"/>
    <w:rsid w:val="00242678"/>
    <w:rsid w:val="002523C2"/>
    <w:rsid w:val="002564E2"/>
    <w:rsid w:val="00261239"/>
    <w:rsid w:val="00266EF3"/>
    <w:rsid w:val="00272220"/>
    <w:rsid w:val="002731E7"/>
    <w:rsid w:val="0027586A"/>
    <w:rsid w:val="0028342F"/>
    <w:rsid w:val="00284D51"/>
    <w:rsid w:val="00287AF9"/>
    <w:rsid w:val="00290699"/>
    <w:rsid w:val="00293155"/>
    <w:rsid w:val="002960D5"/>
    <w:rsid w:val="00296392"/>
    <w:rsid w:val="00297D6A"/>
    <w:rsid w:val="002A528E"/>
    <w:rsid w:val="002C2A9C"/>
    <w:rsid w:val="002E02E8"/>
    <w:rsid w:val="002E4A9E"/>
    <w:rsid w:val="002F1FAA"/>
    <w:rsid w:val="00311EB8"/>
    <w:rsid w:val="003124E3"/>
    <w:rsid w:val="00315A3F"/>
    <w:rsid w:val="00320715"/>
    <w:rsid w:val="0032580F"/>
    <w:rsid w:val="003277C8"/>
    <w:rsid w:val="00332B85"/>
    <w:rsid w:val="00334475"/>
    <w:rsid w:val="00350B99"/>
    <w:rsid w:val="0035191E"/>
    <w:rsid w:val="00354254"/>
    <w:rsid w:val="00356926"/>
    <w:rsid w:val="0035717F"/>
    <w:rsid w:val="00387FBC"/>
    <w:rsid w:val="0039324D"/>
    <w:rsid w:val="00397688"/>
    <w:rsid w:val="003B0DC1"/>
    <w:rsid w:val="003C0974"/>
    <w:rsid w:val="003C4E7C"/>
    <w:rsid w:val="003E3EEE"/>
    <w:rsid w:val="003E69CF"/>
    <w:rsid w:val="0040252D"/>
    <w:rsid w:val="004068AC"/>
    <w:rsid w:val="004101C2"/>
    <w:rsid w:val="00415ECC"/>
    <w:rsid w:val="00420CE5"/>
    <w:rsid w:val="004214DE"/>
    <w:rsid w:val="00431B17"/>
    <w:rsid w:val="00435942"/>
    <w:rsid w:val="0043675C"/>
    <w:rsid w:val="0044450F"/>
    <w:rsid w:val="00445A84"/>
    <w:rsid w:val="0045395F"/>
    <w:rsid w:val="0045481F"/>
    <w:rsid w:val="00470F62"/>
    <w:rsid w:val="00473125"/>
    <w:rsid w:val="0047393F"/>
    <w:rsid w:val="004767A7"/>
    <w:rsid w:val="00477179"/>
    <w:rsid w:val="00495629"/>
    <w:rsid w:val="004A010F"/>
    <w:rsid w:val="004A646E"/>
    <w:rsid w:val="004C663F"/>
    <w:rsid w:val="004E1303"/>
    <w:rsid w:val="004F2546"/>
    <w:rsid w:val="005005B9"/>
    <w:rsid w:val="00502521"/>
    <w:rsid w:val="005320C2"/>
    <w:rsid w:val="00533024"/>
    <w:rsid w:val="005338B1"/>
    <w:rsid w:val="0058104C"/>
    <w:rsid w:val="00581E7D"/>
    <w:rsid w:val="00585CFA"/>
    <w:rsid w:val="0059009C"/>
    <w:rsid w:val="005916F4"/>
    <w:rsid w:val="005A0EA2"/>
    <w:rsid w:val="005A397A"/>
    <w:rsid w:val="005A7318"/>
    <w:rsid w:val="005A7CBA"/>
    <w:rsid w:val="005A7F6B"/>
    <w:rsid w:val="005B56FA"/>
    <w:rsid w:val="005C2D7E"/>
    <w:rsid w:val="005C4783"/>
    <w:rsid w:val="005D3BF9"/>
    <w:rsid w:val="005D44FF"/>
    <w:rsid w:val="005E3655"/>
    <w:rsid w:val="005F7E90"/>
    <w:rsid w:val="00600C11"/>
    <w:rsid w:val="0061158B"/>
    <w:rsid w:val="00624B3C"/>
    <w:rsid w:val="00630969"/>
    <w:rsid w:val="006333E7"/>
    <w:rsid w:val="006369CE"/>
    <w:rsid w:val="0064365A"/>
    <w:rsid w:val="006512DB"/>
    <w:rsid w:val="006517D5"/>
    <w:rsid w:val="0065235E"/>
    <w:rsid w:val="0066130B"/>
    <w:rsid w:val="00664D51"/>
    <w:rsid w:val="00666DC3"/>
    <w:rsid w:val="00671FA1"/>
    <w:rsid w:val="00681E30"/>
    <w:rsid w:val="00682AC8"/>
    <w:rsid w:val="00695756"/>
    <w:rsid w:val="006A7B0E"/>
    <w:rsid w:val="006B1B75"/>
    <w:rsid w:val="006B678D"/>
    <w:rsid w:val="006C43B8"/>
    <w:rsid w:val="006C745C"/>
    <w:rsid w:val="006D417C"/>
    <w:rsid w:val="006E1061"/>
    <w:rsid w:val="006E72D7"/>
    <w:rsid w:val="006F1803"/>
    <w:rsid w:val="006F4488"/>
    <w:rsid w:val="006F5531"/>
    <w:rsid w:val="006F6E7A"/>
    <w:rsid w:val="00701C2C"/>
    <w:rsid w:val="00704A74"/>
    <w:rsid w:val="00710BE2"/>
    <w:rsid w:val="0071352C"/>
    <w:rsid w:val="0071760C"/>
    <w:rsid w:val="00717A4E"/>
    <w:rsid w:val="0072799C"/>
    <w:rsid w:val="00735CAA"/>
    <w:rsid w:val="0074092C"/>
    <w:rsid w:val="0075449A"/>
    <w:rsid w:val="007679D2"/>
    <w:rsid w:val="00770786"/>
    <w:rsid w:val="00772E67"/>
    <w:rsid w:val="007843C5"/>
    <w:rsid w:val="00793D6F"/>
    <w:rsid w:val="007965B4"/>
    <w:rsid w:val="007A0C8A"/>
    <w:rsid w:val="007B51CE"/>
    <w:rsid w:val="007B746A"/>
    <w:rsid w:val="007C00D9"/>
    <w:rsid w:val="007C51BE"/>
    <w:rsid w:val="007C6077"/>
    <w:rsid w:val="007C649B"/>
    <w:rsid w:val="007C741D"/>
    <w:rsid w:val="007E5283"/>
    <w:rsid w:val="007F073E"/>
    <w:rsid w:val="007F1F61"/>
    <w:rsid w:val="008000ED"/>
    <w:rsid w:val="00805BED"/>
    <w:rsid w:val="008217B4"/>
    <w:rsid w:val="00823359"/>
    <w:rsid w:val="00823A90"/>
    <w:rsid w:val="0082687C"/>
    <w:rsid w:val="00834281"/>
    <w:rsid w:val="00837F49"/>
    <w:rsid w:val="0084160F"/>
    <w:rsid w:val="00843F63"/>
    <w:rsid w:val="00851EF2"/>
    <w:rsid w:val="00857B32"/>
    <w:rsid w:val="00862512"/>
    <w:rsid w:val="008756D8"/>
    <w:rsid w:val="00875FB4"/>
    <w:rsid w:val="00892C22"/>
    <w:rsid w:val="008A5CA9"/>
    <w:rsid w:val="008A7445"/>
    <w:rsid w:val="008B44A1"/>
    <w:rsid w:val="008B593F"/>
    <w:rsid w:val="008C39E6"/>
    <w:rsid w:val="008C478C"/>
    <w:rsid w:val="008D3C22"/>
    <w:rsid w:val="008D4DF0"/>
    <w:rsid w:val="008D609D"/>
    <w:rsid w:val="008E0EA6"/>
    <w:rsid w:val="008F45AF"/>
    <w:rsid w:val="008F5EB7"/>
    <w:rsid w:val="009021DC"/>
    <w:rsid w:val="0091675B"/>
    <w:rsid w:val="00923A7C"/>
    <w:rsid w:val="009242B9"/>
    <w:rsid w:val="00937791"/>
    <w:rsid w:val="00944C81"/>
    <w:rsid w:val="00966359"/>
    <w:rsid w:val="00971958"/>
    <w:rsid w:val="009A3E3C"/>
    <w:rsid w:val="009C3DE3"/>
    <w:rsid w:val="009C5C66"/>
    <w:rsid w:val="009F1304"/>
    <w:rsid w:val="00A069C8"/>
    <w:rsid w:val="00A06B49"/>
    <w:rsid w:val="00A16DD9"/>
    <w:rsid w:val="00A4397F"/>
    <w:rsid w:val="00A46320"/>
    <w:rsid w:val="00A50B4F"/>
    <w:rsid w:val="00A556AF"/>
    <w:rsid w:val="00A560FF"/>
    <w:rsid w:val="00A74F50"/>
    <w:rsid w:val="00A76D7A"/>
    <w:rsid w:val="00A94E5E"/>
    <w:rsid w:val="00AA48EC"/>
    <w:rsid w:val="00AB796E"/>
    <w:rsid w:val="00AC592F"/>
    <w:rsid w:val="00AD1CE4"/>
    <w:rsid w:val="00AD4630"/>
    <w:rsid w:val="00AE11FF"/>
    <w:rsid w:val="00AE6EC1"/>
    <w:rsid w:val="00AF25D4"/>
    <w:rsid w:val="00AF4384"/>
    <w:rsid w:val="00AF5284"/>
    <w:rsid w:val="00B14F1C"/>
    <w:rsid w:val="00B20CB9"/>
    <w:rsid w:val="00B21720"/>
    <w:rsid w:val="00B33233"/>
    <w:rsid w:val="00B415FA"/>
    <w:rsid w:val="00B664E4"/>
    <w:rsid w:val="00B67BFF"/>
    <w:rsid w:val="00B7493B"/>
    <w:rsid w:val="00B74F98"/>
    <w:rsid w:val="00B810C8"/>
    <w:rsid w:val="00BA16CE"/>
    <w:rsid w:val="00BA24F6"/>
    <w:rsid w:val="00BB2959"/>
    <w:rsid w:val="00BB5EEA"/>
    <w:rsid w:val="00BB6FC8"/>
    <w:rsid w:val="00BB7337"/>
    <w:rsid w:val="00BC010C"/>
    <w:rsid w:val="00BC1D55"/>
    <w:rsid w:val="00BC3765"/>
    <w:rsid w:val="00BC3FCA"/>
    <w:rsid w:val="00BC461F"/>
    <w:rsid w:val="00BC628F"/>
    <w:rsid w:val="00BC724A"/>
    <w:rsid w:val="00BD5539"/>
    <w:rsid w:val="00BE6BCB"/>
    <w:rsid w:val="00BF2658"/>
    <w:rsid w:val="00C03A1B"/>
    <w:rsid w:val="00C1710A"/>
    <w:rsid w:val="00C218B8"/>
    <w:rsid w:val="00C219E3"/>
    <w:rsid w:val="00C23858"/>
    <w:rsid w:val="00C250E6"/>
    <w:rsid w:val="00C43906"/>
    <w:rsid w:val="00C446C5"/>
    <w:rsid w:val="00C44F0E"/>
    <w:rsid w:val="00C625D8"/>
    <w:rsid w:val="00C71CB9"/>
    <w:rsid w:val="00C90DF4"/>
    <w:rsid w:val="00C93C9B"/>
    <w:rsid w:val="00CA64BE"/>
    <w:rsid w:val="00CB263B"/>
    <w:rsid w:val="00CC49AE"/>
    <w:rsid w:val="00D01EAA"/>
    <w:rsid w:val="00D059E8"/>
    <w:rsid w:val="00D07EC0"/>
    <w:rsid w:val="00D330BE"/>
    <w:rsid w:val="00D33ED6"/>
    <w:rsid w:val="00D3472F"/>
    <w:rsid w:val="00D36C9F"/>
    <w:rsid w:val="00D42873"/>
    <w:rsid w:val="00D45CA4"/>
    <w:rsid w:val="00D505BC"/>
    <w:rsid w:val="00D61320"/>
    <w:rsid w:val="00D61E5F"/>
    <w:rsid w:val="00D632A6"/>
    <w:rsid w:val="00D66BDA"/>
    <w:rsid w:val="00D71EAE"/>
    <w:rsid w:val="00D758EB"/>
    <w:rsid w:val="00D77FFC"/>
    <w:rsid w:val="00D835BE"/>
    <w:rsid w:val="00DB1615"/>
    <w:rsid w:val="00DB6B94"/>
    <w:rsid w:val="00DB75D7"/>
    <w:rsid w:val="00DC0B2C"/>
    <w:rsid w:val="00DC1B99"/>
    <w:rsid w:val="00DC7568"/>
    <w:rsid w:val="00DE6DA4"/>
    <w:rsid w:val="00DF2E7D"/>
    <w:rsid w:val="00DF4FC1"/>
    <w:rsid w:val="00DF739A"/>
    <w:rsid w:val="00E0105E"/>
    <w:rsid w:val="00E04D12"/>
    <w:rsid w:val="00E10F74"/>
    <w:rsid w:val="00E252B6"/>
    <w:rsid w:val="00E45404"/>
    <w:rsid w:val="00E465F8"/>
    <w:rsid w:val="00E50E8A"/>
    <w:rsid w:val="00E53A41"/>
    <w:rsid w:val="00E564A3"/>
    <w:rsid w:val="00E674CB"/>
    <w:rsid w:val="00E7444D"/>
    <w:rsid w:val="00E87CDE"/>
    <w:rsid w:val="00E91612"/>
    <w:rsid w:val="00E91DA0"/>
    <w:rsid w:val="00E91F34"/>
    <w:rsid w:val="00E934ED"/>
    <w:rsid w:val="00EA0DFB"/>
    <w:rsid w:val="00EA353C"/>
    <w:rsid w:val="00EB20D5"/>
    <w:rsid w:val="00EB254E"/>
    <w:rsid w:val="00EC3EA8"/>
    <w:rsid w:val="00ED2324"/>
    <w:rsid w:val="00ED2F16"/>
    <w:rsid w:val="00EE017E"/>
    <w:rsid w:val="00EE16CB"/>
    <w:rsid w:val="00EE2A9B"/>
    <w:rsid w:val="00EE3783"/>
    <w:rsid w:val="00F01E0D"/>
    <w:rsid w:val="00F10729"/>
    <w:rsid w:val="00F14A41"/>
    <w:rsid w:val="00F156BB"/>
    <w:rsid w:val="00F21740"/>
    <w:rsid w:val="00F2524D"/>
    <w:rsid w:val="00F30DE3"/>
    <w:rsid w:val="00F32B7B"/>
    <w:rsid w:val="00F3516C"/>
    <w:rsid w:val="00F35602"/>
    <w:rsid w:val="00F51E22"/>
    <w:rsid w:val="00F57CE7"/>
    <w:rsid w:val="00F64EFE"/>
    <w:rsid w:val="00F8399D"/>
    <w:rsid w:val="00F84A8F"/>
    <w:rsid w:val="00F85B61"/>
    <w:rsid w:val="00F87DAB"/>
    <w:rsid w:val="00F96B35"/>
    <w:rsid w:val="00FA11A7"/>
    <w:rsid w:val="00FA5A73"/>
    <w:rsid w:val="00FA6548"/>
    <w:rsid w:val="00FB09A9"/>
    <w:rsid w:val="00FC6AC2"/>
    <w:rsid w:val="00FC6D46"/>
    <w:rsid w:val="00FE59B4"/>
    <w:rsid w:val="00FF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79B3FC"/>
  <w15:chartTrackingRefBased/>
  <w15:docId w15:val="{25A62CA4-1C6C-7A4A-A44F-5D36FE32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C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18210151908@163.com</dc:creator>
  <cp:keywords/>
  <dc:description/>
  <cp:lastModifiedBy>18210151908@163.com</cp:lastModifiedBy>
  <cp:revision>1</cp:revision>
  <dcterms:created xsi:type="dcterms:W3CDTF">2021-03-24T13:15:00Z</dcterms:created>
  <dcterms:modified xsi:type="dcterms:W3CDTF">2021-03-24T13:16:00Z</dcterms:modified>
</cp:coreProperties>
</file>