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81" w:rsidRPr="00177A81" w:rsidRDefault="00177A81" w:rsidP="00177A81">
      <w:pPr>
        <w:pStyle w:val="a3"/>
        <w:spacing w:line="480" w:lineRule="auto"/>
        <w:outlineLvl w:val="0"/>
        <w:rPr>
          <w:rFonts w:ascii="Arial" w:hAnsi="Arial"/>
          <w:color w:val="000000" w:themeColor="text1"/>
        </w:rPr>
      </w:pPr>
      <w:r w:rsidRPr="00177A81">
        <w:rPr>
          <w:rFonts w:ascii="Arial" w:hAnsi="Arial"/>
          <w:color w:val="000000" w:themeColor="text1"/>
        </w:rPr>
        <w:t>Supplementary Table 2. Comparisons of retinal, ganglion–inner plexiform layer, and choroidal thickness values and the rate of retinal pigment epithelium degeneration among the non-neovascular age-related macular degeneration with subretinal drusenoid deposit (SDD) group, type 3 macular neovascularization with SDD group, and control group</w:t>
      </w:r>
    </w:p>
    <w:tbl>
      <w:tblPr>
        <w:tblStyle w:val="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0"/>
        <w:gridCol w:w="2933"/>
        <w:gridCol w:w="2933"/>
        <w:gridCol w:w="2409"/>
        <w:gridCol w:w="1418"/>
      </w:tblGrid>
      <w:tr w:rsidR="00177A81" w:rsidRPr="00177A81" w:rsidTr="000D2C5F">
        <w:trPr>
          <w:trHeight w:val="368"/>
        </w:trPr>
        <w:tc>
          <w:tcPr>
            <w:tcW w:w="3730" w:type="dxa"/>
            <w:tcBorders>
              <w:top w:val="single" w:sz="4" w:space="0" w:color="auto"/>
              <w:bottom w:val="nil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8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SDD group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tabs>
                <w:tab w:val="left" w:pos="363"/>
                <w:tab w:val="center" w:pos="1096"/>
              </w:tabs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  <w:t>Control group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(n = 47)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  <w:t>P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value</w:t>
            </w:r>
            <w:r w:rsidRPr="00177A81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  <w:tcBorders>
              <w:top w:val="nil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Non-neovascular AMD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47)</w:t>
            </w: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Type 3 MNV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19)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</w:tr>
      <w:tr w:rsidR="00177A81" w:rsidRPr="00177A81" w:rsidTr="000D2C5F">
        <w:trPr>
          <w:trHeight w:val="379"/>
        </w:trPr>
        <w:tc>
          <w:tcPr>
            <w:tcW w:w="3730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retinal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278.61 ± 13.96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286.99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15.96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291.94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14.05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GCIPL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61.44 ± 4.63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64.20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4.01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65.71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6.56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choroidal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133.59 ± 34.33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151.84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27.08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175.16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35.67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 Nasal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77.00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33.36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96.79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26.44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140.91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40.55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91.64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34.60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111.63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33.44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156.87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46.14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110.96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34.36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130.00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37.40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172.17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47.35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130.81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151.21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189.70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42.57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Subfoveal CT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142.98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43.79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166.84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36.15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207.32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43.03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155.02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46.82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176.63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38.37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196.98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39.53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µm) 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162.34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48.86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179.37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34.38 </w:t>
            </w:r>
            <w:r w:rsidRPr="00177A81">
              <w:rPr>
                <w:rFonts w:ascii="Arial" w:eastAsia="Arial Unicode MS" w:hAnsi="Arial" w:cs="Arial"/>
                <w:b/>
                <w:color w:val="000000" w:themeColor="text1"/>
                <w:sz w:val="24"/>
                <w:szCs w:val="24"/>
                <w:u w:color="000000"/>
                <w:bdr w:val="nil"/>
                <w:vertAlign w:val="superscript"/>
              </w:rPr>
              <w:t>ab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188.77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41.90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0.016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lastRenderedPageBreak/>
              <w:t>Temporal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169.57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54.30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183.32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33.91 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170.26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0.501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162.04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53.42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170.74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31.77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153.43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34.71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0.309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Rate of RPE degeneration (%)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38.3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79.0</w:t>
            </w:r>
          </w:p>
        </w:tc>
        <w:tc>
          <w:tcPr>
            <w:tcW w:w="2409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N/A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0.003</w:t>
            </w:r>
          </w:p>
        </w:tc>
      </w:tr>
    </w:tbl>
    <w:p w:rsidR="00177A81" w:rsidRPr="00177A81" w:rsidRDefault="00177A81" w:rsidP="00177A81">
      <w:pPr>
        <w:pStyle w:val="a3"/>
        <w:spacing w:line="480" w:lineRule="auto"/>
        <w:outlineLvl w:val="0"/>
        <w:rPr>
          <w:color w:val="000000" w:themeColor="text1"/>
        </w:rPr>
      </w:pPr>
      <w:r w:rsidRPr="00177A81">
        <w:rPr>
          <w:rFonts w:ascii="Arial" w:hAnsi="Arial"/>
          <w:color w:val="000000" w:themeColor="text1"/>
        </w:rPr>
        <w:t xml:space="preserve">SDD, subretinal drusenoid deposit; </w:t>
      </w:r>
      <w:r w:rsidRPr="00177A81">
        <w:rPr>
          <w:rFonts w:ascii="Arial" w:hAnsi="Arial" w:hint="eastAsia"/>
          <w:color w:val="000000" w:themeColor="text1"/>
        </w:rPr>
        <w:t xml:space="preserve">AMD, age-related macular degeneration; </w:t>
      </w:r>
      <w:r w:rsidRPr="00177A81">
        <w:rPr>
          <w:rFonts w:ascii="Arial" w:hAnsi="Arial"/>
          <w:color w:val="000000" w:themeColor="text1"/>
        </w:rPr>
        <w:t>MNV, macular neovascularization; GCIPL, ganglion cell–inner plexiform layer; CT, choroidal thickness; RPE, retinal pigment epithelium</w:t>
      </w:r>
    </w:p>
    <w:p w:rsidR="00177A81" w:rsidRPr="00177A81" w:rsidRDefault="00177A81" w:rsidP="00177A81">
      <w:pPr>
        <w:widowControl w:val="0"/>
        <w:spacing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77A81">
        <w:rPr>
          <w:rFonts w:ascii="Arial" w:hAnsi="Arial" w:cs="Arial"/>
          <w:color w:val="000000" w:themeColor="text1"/>
          <w:sz w:val="24"/>
          <w:szCs w:val="24"/>
        </w:rPr>
        <w:t>*</w:t>
      </w:r>
      <w:r w:rsidRPr="00177A81">
        <w:rPr>
          <w:rFonts w:ascii="Arial" w:hAnsi="Arial" w:cs="Arial"/>
          <w:i/>
          <w:iCs/>
          <w:color w:val="000000" w:themeColor="text1"/>
          <w:sz w:val="24"/>
          <w:szCs w:val="24"/>
        </w:rPr>
        <w:t>P</w:t>
      </w:r>
      <w:r w:rsidRPr="00177A81">
        <w:rPr>
          <w:rFonts w:ascii="Arial" w:hAnsi="Arial" w:cs="Arial"/>
          <w:color w:val="000000" w:themeColor="text1"/>
          <w:sz w:val="24"/>
          <w:szCs w:val="24"/>
        </w:rPr>
        <w:t xml:space="preserve"> value is based on the analysis of variance test. a, b, c: if followed by the same letter, groups do not differ significantly from one another according to the post-hoc analysis with Duncan’s test.</w:t>
      </w:r>
    </w:p>
    <w:p w:rsidR="00177A81" w:rsidRPr="00177A81" w:rsidRDefault="00177A81" w:rsidP="00177A81">
      <w:pPr>
        <w:widowControl w:val="0"/>
        <w:spacing w:before="240" w:line="480" w:lineRule="auto"/>
        <w:rPr>
          <w:rFonts w:ascii="Arial" w:hAnsi="Arial" w:cs="Arial" w:hint="eastAsia"/>
          <w:bCs/>
          <w:iCs/>
          <w:color w:val="000000" w:themeColor="text1"/>
          <w:sz w:val="24"/>
          <w:szCs w:val="24"/>
        </w:rPr>
      </w:pPr>
      <w:bookmarkStart w:id="0" w:name="_GoBack"/>
      <w:bookmarkEnd w:id="0"/>
    </w:p>
    <w:sectPr w:rsidR="00177A81" w:rsidRPr="00177A81" w:rsidSect="00177A81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9D6" w:rsidRDefault="002519D6" w:rsidP="00D82D96">
      <w:pPr>
        <w:spacing w:after="0" w:line="240" w:lineRule="auto"/>
      </w:pPr>
      <w:r>
        <w:separator/>
      </w:r>
    </w:p>
  </w:endnote>
  <w:endnote w:type="continuationSeparator" w:id="0">
    <w:p w:rsidR="002519D6" w:rsidRDefault="002519D6" w:rsidP="00D82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9D6" w:rsidRDefault="002519D6" w:rsidP="00D82D96">
      <w:pPr>
        <w:spacing w:after="0" w:line="240" w:lineRule="auto"/>
      </w:pPr>
      <w:r>
        <w:separator/>
      </w:r>
    </w:p>
  </w:footnote>
  <w:footnote w:type="continuationSeparator" w:id="0">
    <w:p w:rsidR="002519D6" w:rsidRDefault="002519D6" w:rsidP="00D82D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81"/>
    <w:rsid w:val="00177A81"/>
    <w:rsid w:val="001E3A2A"/>
    <w:rsid w:val="002519D6"/>
    <w:rsid w:val="00D8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4882E"/>
  <w15:chartTrackingRefBased/>
  <w15:docId w15:val="{440BB889-4672-446B-A870-26E99CFF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A81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Char"/>
    <w:rsid w:val="00177A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character" w:customStyle="1" w:styleId="Char">
    <w:name w:val="본문 Char"/>
    <w:basedOn w:val="a0"/>
    <w:link w:val="a3"/>
    <w:rsid w:val="00177A81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table" w:customStyle="1" w:styleId="4">
    <w:name w:val="표 구분선4"/>
    <w:basedOn w:val="a1"/>
    <w:next w:val="a4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82D9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D82D96"/>
    <w:rPr>
      <w:kern w:val="0"/>
      <w:sz w:val="22"/>
    </w:rPr>
  </w:style>
  <w:style w:type="paragraph" w:styleId="a6">
    <w:name w:val="footer"/>
    <w:basedOn w:val="a"/>
    <w:link w:val="Char1"/>
    <w:uiPriority w:val="99"/>
    <w:unhideWhenUsed/>
    <w:rsid w:val="00D82D9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D82D96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2022-05-25T07:13:00Z</dcterms:created>
  <dcterms:modified xsi:type="dcterms:W3CDTF">2022-05-25T07:17:00Z</dcterms:modified>
</cp:coreProperties>
</file>