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page" w:horzAnchor="page" w:tblpX="865" w:tblpY="1333"/>
        <w:tblW w:w="15020" w:type="dxa"/>
        <w:tblCellMar>
          <w:left w:w="70" w:type="dxa"/>
          <w:right w:w="70" w:type="dxa"/>
        </w:tblCellMar>
        <w:tblLook w:val="04A0" w:firstRow="1" w:lastRow="0" w:firstColumn="1" w:lastColumn="0" w:noHBand="0" w:noVBand="1"/>
      </w:tblPr>
      <w:tblGrid>
        <w:gridCol w:w="1366"/>
        <w:gridCol w:w="640"/>
        <w:gridCol w:w="500"/>
        <w:gridCol w:w="587"/>
        <w:gridCol w:w="1070"/>
        <w:gridCol w:w="1028"/>
        <w:gridCol w:w="760"/>
        <w:gridCol w:w="1360"/>
        <w:gridCol w:w="1795"/>
        <w:gridCol w:w="549"/>
        <w:gridCol w:w="732"/>
        <w:gridCol w:w="700"/>
        <w:gridCol w:w="700"/>
        <w:gridCol w:w="505"/>
        <w:gridCol w:w="736"/>
        <w:gridCol w:w="736"/>
        <w:gridCol w:w="736"/>
        <w:gridCol w:w="520"/>
      </w:tblGrid>
      <w:tr w:rsidR="005F7F09" w:rsidRPr="004873CC" w:rsidTr="00740F2C">
        <w:trPr>
          <w:trHeight w:val="288"/>
        </w:trPr>
        <w:tc>
          <w:tcPr>
            <w:tcW w:w="15020" w:type="dxa"/>
            <w:gridSpan w:val="18"/>
            <w:tcBorders>
              <w:left w:val="nil"/>
              <w:right w:val="nil"/>
            </w:tcBorders>
            <w:shd w:val="clear" w:color="auto" w:fill="auto"/>
            <w:noWrap/>
            <w:vAlign w:val="bottom"/>
          </w:tcPr>
          <w:p w:rsidR="005F7F09" w:rsidRPr="0043665B" w:rsidRDefault="00606154" w:rsidP="00740F2C">
            <w:pPr>
              <w:spacing w:after="0" w:line="240" w:lineRule="auto"/>
              <w:jc w:val="center"/>
              <w:rPr>
                <w:rFonts w:eastAsia="Times New Roman" w:cs="Calibri"/>
                <w:b/>
                <w:bCs/>
                <w:color w:val="000000"/>
                <w:sz w:val="18"/>
                <w:szCs w:val="18"/>
                <w:lang w:eastAsia="es-ES"/>
              </w:rPr>
            </w:pPr>
            <w:bookmarkStart w:id="0" w:name="_Hlk124155902"/>
            <w:r w:rsidRPr="00606154">
              <w:rPr>
                <w:rFonts w:eastAsia="Times New Roman" w:cs="Calibri"/>
                <w:color w:val="000000"/>
                <w:sz w:val="18"/>
                <w:szCs w:val="18"/>
                <w:lang w:eastAsia="es-ES"/>
              </w:rPr>
              <w:t xml:space="preserve">Supplementary Table </w:t>
            </w:r>
            <w:r w:rsidR="005F7F09" w:rsidRPr="004873CC">
              <w:rPr>
                <w:rFonts w:eastAsia="Times New Roman" w:cs="Calibri"/>
                <w:color w:val="000000"/>
                <w:sz w:val="18"/>
                <w:szCs w:val="18"/>
                <w:lang w:eastAsia="es-ES"/>
              </w:rPr>
              <w:t>1. Percentage of eyes achieving a particular value of corneal astigmatism based on keratometry or postoperative refractive astigmatism</w:t>
            </w:r>
          </w:p>
        </w:tc>
      </w:tr>
      <w:tr w:rsidR="005F7F09" w:rsidRPr="004873CC" w:rsidTr="00740F2C">
        <w:trPr>
          <w:trHeight w:val="288"/>
        </w:trPr>
        <w:tc>
          <w:tcPr>
            <w:tcW w:w="1366" w:type="dxa"/>
            <w:tcBorders>
              <w:left w:val="nil"/>
              <w:bottom w:val="thinThickSmallGap" w:sz="24" w:space="0" w:color="auto"/>
              <w:right w:val="nil"/>
            </w:tcBorders>
            <w:shd w:val="clear" w:color="auto" w:fill="auto"/>
            <w:noWrap/>
            <w:vAlign w:val="bottom"/>
            <w:hideMark/>
          </w:tcPr>
          <w:p w:rsidR="005F7F09" w:rsidRPr="004873CC" w:rsidRDefault="005F7F09" w:rsidP="00740F2C">
            <w:pPr>
              <w:spacing w:after="0" w:line="240" w:lineRule="auto"/>
              <w:rPr>
                <w:rFonts w:eastAsia="Times New Roman" w:cs="Calibri"/>
                <w:b/>
                <w:bCs/>
                <w:color w:val="000000"/>
                <w:sz w:val="18"/>
                <w:szCs w:val="18"/>
                <w:lang w:val="es-ES" w:eastAsia="es-ES"/>
              </w:rPr>
            </w:pPr>
            <w:r w:rsidRPr="004873CC">
              <w:rPr>
                <w:rFonts w:eastAsia="Times New Roman" w:cs="Calibri"/>
                <w:b/>
                <w:bCs/>
                <w:color w:val="000000"/>
                <w:sz w:val="18"/>
                <w:szCs w:val="18"/>
                <w:lang w:val="es-ES" w:eastAsia="es-ES"/>
              </w:rPr>
              <w:t>Author</w:t>
            </w:r>
          </w:p>
        </w:tc>
        <w:tc>
          <w:tcPr>
            <w:tcW w:w="640" w:type="dxa"/>
            <w:tcBorders>
              <w:left w:val="nil"/>
              <w:bottom w:val="thinThickSmallGap" w:sz="24" w:space="0" w:color="auto"/>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b/>
                <w:bCs/>
                <w:color w:val="000000"/>
                <w:sz w:val="18"/>
                <w:szCs w:val="18"/>
                <w:lang w:val="es-ES" w:eastAsia="es-ES"/>
              </w:rPr>
            </w:pPr>
            <w:r w:rsidRPr="004873CC">
              <w:rPr>
                <w:rFonts w:eastAsia="Times New Roman" w:cs="Calibri"/>
                <w:b/>
                <w:bCs/>
                <w:color w:val="000000"/>
                <w:sz w:val="18"/>
                <w:szCs w:val="18"/>
                <w:lang w:val="es-ES" w:eastAsia="es-ES"/>
              </w:rPr>
              <w:t>Year</w:t>
            </w:r>
          </w:p>
        </w:tc>
        <w:tc>
          <w:tcPr>
            <w:tcW w:w="500" w:type="dxa"/>
            <w:tcBorders>
              <w:left w:val="nil"/>
              <w:bottom w:val="thinThickSmallGap" w:sz="24" w:space="0" w:color="auto"/>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b/>
                <w:bCs/>
                <w:color w:val="000000"/>
                <w:sz w:val="18"/>
                <w:szCs w:val="18"/>
                <w:lang w:val="es-ES" w:eastAsia="es-ES"/>
              </w:rPr>
            </w:pPr>
            <w:r w:rsidRPr="004873CC">
              <w:rPr>
                <w:rFonts w:eastAsia="Times New Roman" w:cs="Calibri"/>
                <w:b/>
                <w:bCs/>
                <w:color w:val="000000"/>
                <w:sz w:val="18"/>
                <w:szCs w:val="18"/>
                <w:lang w:val="es-ES" w:eastAsia="es-ES"/>
              </w:rPr>
              <w:t>Eyes</w:t>
            </w:r>
          </w:p>
        </w:tc>
        <w:tc>
          <w:tcPr>
            <w:tcW w:w="587" w:type="dxa"/>
            <w:tcBorders>
              <w:left w:val="nil"/>
              <w:bottom w:val="thinThickSmallGap" w:sz="24" w:space="0" w:color="auto"/>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b/>
                <w:bCs/>
                <w:color w:val="000000"/>
                <w:sz w:val="18"/>
                <w:szCs w:val="18"/>
                <w:lang w:val="es-ES" w:eastAsia="es-ES"/>
              </w:rPr>
            </w:pPr>
            <w:r w:rsidRPr="004873CC">
              <w:rPr>
                <w:rFonts w:eastAsia="Times New Roman" w:cs="Calibri"/>
                <w:b/>
                <w:bCs/>
                <w:color w:val="000000"/>
                <w:sz w:val="18"/>
                <w:szCs w:val="18"/>
                <w:lang w:val="es-ES" w:eastAsia="es-ES"/>
              </w:rPr>
              <w:t>Type</w:t>
            </w:r>
          </w:p>
        </w:tc>
        <w:tc>
          <w:tcPr>
            <w:tcW w:w="1070" w:type="dxa"/>
            <w:tcBorders>
              <w:left w:val="nil"/>
              <w:bottom w:val="thinThickSmallGap" w:sz="24" w:space="0" w:color="auto"/>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b/>
                <w:bCs/>
                <w:color w:val="000000"/>
                <w:sz w:val="18"/>
                <w:szCs w:val="18"/>
                <w:lang w:val="es-ES" w:eastAsia="es-ES"/>
              </w:rPr>
            </w:pPr>
            <w:r w:rsidRPr="004873CC">
              <w:rPr>
                <w:rFonts w:eastAsia="Times New Roman" w:cs="Calibri"/>
                <w:b/>
                <w:bCs/>
                <w:color w:val="000000"/>
                <w:sz w:val="18"/>
                <w:szCs w:val="18"/>
                <w:lang w:val="es-ES" w:eastAsia="es-ES"/>
              </w:rPr>
              <w:t>Technology</w:t>
            </w:r>
          </w:p>
        </w:tc>
        <w:tc>
          <w:tcPr>
            <w:tcW w:w="1028" w:type="dxa"/>
            <w:tcBorders>
              <w:left w:val="nil"/>
              <w:bottom w:val="thinThickSmallGap" w:sz="24" w:space="0" w:color="auto"/>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b/>
                <w:bCs/>
                <w:color w:val="000000"/>
                <w:sz w:val="18"/>
                <w:szCs w:val="18"/>
                <w:lang w:val="es-ES" w:eastAsia="es-ES"/>
              </w:rPr>
            </w:pPr>
            <w:r w:rsidRPr="004873CC">
              <w:rPr>
                <w:rFonts w:eastAsia="Times New Roman" w:cs="Calibri"/>
                <w:b/>
                <w:bCs/>
                <w:color w:val="000000"/>
                <w:sz w:val="18"/>
                <w:szCs w:val="18"/>
                <w:lang w:val="es-ES" w:eastAsia="es-ES"/>
              </w:rPr>
              <w:t>Follow (m)</w:t>
            </w:r>
          </w:p>
        </w:tc>
        <w:tc>
          <w:tcPr>
            <w:tcW w:w="760" w:type="dxa"/>
            <w:tcBorders>
              <w:left w:val="nil"/>
              <w:bottom w:val="thinThickSmallGap" w:sz="24" w:space="0" w:color="auto"/>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b/>
                <w:bCs/>
                <w:color w:val="000000"/>
                <w:sz w:val="18"/>
                <w:szCs w:val="18"/>
                <w:lang w:val="es-ES" w:eastAsia="es-ES"/>
              </w:rPr>
            </w:pPr>
            <w:r w:rsidRPr="004873CC">
              <w:rPr>
                <w:rFonts w:eastAsia="Times New Roman" w:cs="Calibri"/>
                <w:b/>
                <w:bCs/>
                <w:color w:val="000000"/>
                <w:sz w:val="18"/>
                <w:szCs w:val="18"/>
                <w:lang w:val="es-ES" w:eastAsia="es-ES"/>
              </w:rPr>
              <w:t>CCI Size</w:t>
            </w:r>
          </w:p>
        </w:tc>
        <w:tc>
          <w:tcPr>
            <w:tcW w:w="1360" w:type="dxa"/>
            <w:tcBorders>
              <w:left w:val="nil"/>
              <w:bottom w:val="thinThickSmallGap" w:sz="24" w:space="0" w:color="auto"/>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b/>
                <w:bCs/>
                <w:color w:val="000000"/>
                <w:sz w:val="18"/>
                <w:szCs w:val="18"/>
                <w:lang w:val="es-ES" w:eastAsia="es-ES"/>
              </w:rPr>
            </w:pPr>
            <w:r w:rsidRPr="004873CC">
              <w:rPr>
                <w:rFonts w:eastAsia="Times New Roman" w:cs="Calibri"/>
                <w:b/>
                <w:bCs/>
                <w:color w:val="000000"/>
                <w:sz w:val="18"/>
                <w:szCs w:val="18"/>
                <w:lang w:val="es-ES" w:eastAsia="es-ES"/>
              </w:rPr>
              <w:t>CCI Location</w:t>
            </w:r>
          </w:p>
        </w:tc>
        <w:tc>
          <w:tcPr>
            <w:tcW w:w="1795" w:type="dxa"/>
            <w:tcBorders>
              <w:left w:val="nil"/>
              <w:bottom w:val="thinThickSmallGap" w:sz="24" w:space="0" w:color="auto"/>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b/>
                <w:bCs/>
                <w:color w:val="000000"/>
                <w:sz w:val="18"/>
                <w:szCs w:val="18"/>
                <w:lang w:val="es-ES" w:eastAsia="es-ES"/>
              </w:rPr>
            </w:pPr>
            <w:r w:rsidRPr="004873CC">
              <w:rPr>
                <w:rFonts w:eastAsia="Times New Roman" w:cs="Calibri"/>
                <w:b/>
                <w:bCs/>
                <w:color w:val="000000"/>
                <w:sz w:val="18"/>
                <w:szCs w:val="18"/>
                <w:lang w:val="es-ES" w:eastAsia="es-ES"/>
              </w:rPr>
              <w:t>Nomogram AK</w:t>
            </w:r>
          </w:p>
        </w:tc>
        <w:tc>
          <w:tcPr>
            <w:tcW w:w="549" w:type="dxa"/>
            <w:tcBorders>
              <w:left w:val="nil"/>
              <w:bottom w:val="thinThickSmallGap" w:sz="24" w:space="0" w:color="auto"/>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b/>
                <w:bCs/>
                <w:color w:val="000000"/>
                <w:sz w:val="18"/>
                <w:szCs w:val="18"/>
                <w:lang w:val="es-ES" w:eastAsia="es-ES"/>
              </w:rPr>
            </w:pPr>
            <w:r w:rsidRPr="004873CC">
              <w:rPr>
                <w:rFonts w:eastAsia="Times New Roman" w:cs="Calibri"/>
                <w:b/>
                <w:bCs/>
                <w:color w:val="000000"/>
                <w:sz w:val="18"/>
                <w:szCs w:val="18"/>
                <w:lang w:val="es-ES" w:eastAsia="es-ES"/>
              </w:rPr>
              <w:t>Pre</w:t>
            </w:r>
          </w:p>
        </w:tc>
        <w:tc>
          <w:tcPr>
            <w:tcW w:w="732" w:type="dxa"/>
            <w:tcBorders>
              <w:left w:val="nil"/>
              <w:bottom w:val="thinThickSmallGap" w:sz="24" w:space="0" w:color="auto"/>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b/>
                <w:bCs/>
                <w:color w:val="000000"/>
                <w:sz w:val="18"/>
                <w:szCs w:val="18"/>
                <w:lang w:val="es-ES" w:eastAsia="es-ES"/>
              </w:rPr>
            </w:pPr>
            <w:r w:rsidRPr="004873CC">
              <w:rPr>
                <w:rFonts w:eastAsia="Times New Roman" w:cs="Calibri"/>
                <w:b/>
                <w:bCs/>
                <w:color w:val="000000"/>
                <w:sz w:val="18"/>
                <w:szCs w:val="18"/>
                <w:lang w:val="es-ES" w:eastAsia="es-ES"/>
              </w:rPr>
              <w:t>K_0,25</w:t>
            </w:r>
          </w:p>
        </w:tc>
        <w:tc>
          <w:tcPr>
            <w:tcW w:w="700" w:type="dxa"/>
            <w:tcBorders>
              <w:left w:val="nil"/>
              <w:bottom w:val="thinThickSmallGap" w:sz="24" w:space="0" w:color="auto"/>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b/>
                <w:bCs/>
                <w:color w:val="000000"/>
                <w:sz w:val="18"/>
                <w:szCs w:val="18"/>
                <w:lang w:val="es-ES" w:eastAsia="es-ES"/>
              </w:rPr>
            </w:pPr>
            <w:r w:rsidRPr="004873CC">
              <w:rPr>
                <w:rFonts w:eastAsia="Times New Roman" w:cs="Calibri"/>
                <w:b/>
                <w:bCs/>
                <w:color w:val="000000"/>
                <w:sz w:val="18"/>
                <w:szCs w:val="18"/>
                <w:lang w:val="es-ES" w:eastAsia="es-ES"/>
              </w:rPr>
              <w:t>K_0,50</w:t>
            </w:r>
          </w:p>
        </w:tc>
        <w:tc>
          <w:tcPr>
            <w:tcW w:w="700" w:type="dxa"/>
            <w:tcBorders>
              <w:left w:val="nil"/>
              <w:bottom w:val="thinThickSmallGap" w:sz="24" w:space="0" w:color="auto"/>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b/>
                <w:bCs/>
                <w:color w:val="000000"/>
                <w:sz w:val="18"/>
                <w:szCs w:val="18"/>
                <w:lang w:val="es-ES" w:eastAsia="es-ES"/>
              </w:rPr>
            </w:pPr>
            <w:r w:rsidRPr="004873CC">
              <w:rPr>
                <w:rFonts w:eastAsia="Times New Roman" w:cs="Calibri"/>
                <w:b/>
                <w:bCs/>
                <w:color w:val="000000"/>
                <w:sz w:val="18"/>
                <w:szCs w:val="18"/>
                <w:lang w:val="es-ES" w:eastAsia="es-ES"/>
              </w:rPr>
              <w:t>K_0,75</w:t>
            </w:r>
          </w:p>
        </w:tc>
        <w:tc>
          <w:tcPr>
            <w:tcW w:w="505" w:type="dxa"/>
            <w:tcBorders>
              <w:left w:val="nil"/>
              <w:bottom w:val="thinThickSmallGap" w:sz="24" w:space="0" w:color="auto"/>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b/>
                <w:bCs/>
                <w:color w:val="000000"/>
                <w:sz w:val="18"/>
                <w:szCs w:val="18"/>
                <w:lang w:val="es-ES" w:eastAsia="es-ES"/>
              </w:rPr>
            </w:pPr>
            <w:r w:rsidRPr="004873CC">
              <w:rPr>
                <w:rFonts w:eastAsia="Times New Roman" w:cs="Calibri"/>
                <w:b/>
                <w:bCs/>
                <w:color w:val="000000"/>
                <w:sz w:val="18"/>
                <w:szCs w:val="18"/>
                <w:lang w:val="es-ES" w:eastAsia="es-ES"/>
              </w:rPr>
              <w:t>K_1</w:t>
            </w:r>
          </w:p>
        </w:tc>
        <w:tc>
          <w:tcPr>
            <w:tcW w:w="736" w:type="dxa"/>
            <w:tcBorders>
              <w:left w:val="nil"/>
              <w:bottom w:val="thinThickSmallGap" w:sz="24" w:space="0" w:color="auto"/>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b/>
                <w:bCs/>
                <w:color w:val="000000"/>
                <w:sz w:val="18"/>
                <w:szCs w:val="18"/>
                <w:lang w:val="es-ES" w:eastAsia="es-ES"/>
              </w:rPr>
            </w:pPr>
            <w:r w:rsidRPr="004873CC">
              <w:rPr>
                <w:rFonts w:eastAsia="Times New Roman" w:cs="Calibri"/>
                <w:b/>
                <w:bCs/>
                <w:color w:val="000000"/>
                <w:sz w:val="18"/>
                <w:szCs w:val="18"/>
                <w:lang w:val="es-ES" w:eastAsia="es-ES"/>
              </w:rPr>
              <w:t>R</w:t>
            </w:r>
            <w:r>
              <w:rPr>
                <w:rFonts w:eastAsia="Times New Roman" w:cs="Calibri"/>
                <w:b/>
                <w:bCs/>
                <w:color w:val="000000"/>
                <w:sz w:val="18"/>
                <w:szCs w:val="18"/>
                <w:lang w:val="es-ES" w:eastAsia="es-ES"/>
              </w:rPr>
              <w:t>x</w:t>
            </w:r>
            <w:r w:rsidRPr="004873CC">
              <w:rPr>
                <w:rFonts w:eastAsia="Times New Roman" w:cs="Calibri"/>
                <w:b/>
                <w:bCs/>
                <w:color w:val="000000"/>
                <w:sz w:val="18"/>
                <w:szCs w:val="18"/>
                <w:lang w:val="es-ES" w:eastAsia="es-ES"/>
              </w:rPr>
              <w:t>_0,25</w:t>
            </w:r>
          </w:p>
        </w:tc>
        <w:tc>
          <w:tcPr>
            <w:tcW w:w="736" w:type="dxa"/>
            <w:tcBorders>
              <w:left w:val="nil"/>
              <w:bottom w:val="thinThickSmallGap" w:sz="24" w:space="0" w:color="auto"/>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b/>
                <w:bCs/>
                <w:color w:val="000000"/>
                <w:sz w:val="18"/>
                <w:szCs w:val="18"/>
                <w:lang w:val="es-ES" w:eastAsia="es-ES"/>
              </w:rPr>
            </w:pPr>
            <w:r w:rsidRPr="004873CC">
              <w:rPr>
                <w:rFonts w:eastAsia="Times New Roman" w:cs="Calibri"/>
                <w:b/>
                <w:bCs/>
                <w:color w:val="000000"/>
                <w:sz w:val="18"/>
                <w:szCs w:val="18"/>
                <w:lang w:val="es-ES" w:eastAsia="es-ES"/>
              </w:rPr>
              <w:t>R</w:t>
            </w:r>
            <w:r>
              <w:rPr>
                <w:rFonts w:eastAsia="Times New Roman" w:cs="Calibri"/>
                <w:b/>
                <w:bCs/>
                <w:color w:val="000000"/>
                <w:sz w:val="18"/>
                <w:szCs w:val="18"/>
                <w:lang w:val="es-ES" w:eastAsia="es-ES"/>
              </w:rPr>
              <w:t>x</w:t>
            </w:r>
            <w:r w:rsidRPr="004873CC">
              <w:rPr>
                <w:rFonts w:eastAsia="Times New Roman" w:cs="Calibri"/>
                <w:b/>
                <w:bCs/>
                <w:color w:val="000000"/>
                <w:sz w:val="18"/>
                <w:szCs w:val="18"/>
                <w:lang w:val="es-ES" w:eastAsia="es-ES"/>
              </w:rPr>
              <w:t>_0,50</w:t>
            </w:r>
          </w:p>
        </w:tc>
        <w:tc>
          <w:tcPr>
            <w:tcW w:w="736" w:type="dxa"/>
            <w:tcBorders>
              <w:left w:val="nil"/>
              <w:bottom w:val="thinThickSmallGap" w:sz="24" w:space="0" w:color="auto"/>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b/>
                <w:bCs/>
                <w:color w:val="000000"/>
                <w:sz w:val="18"/>
                <w:szCs w:val="18"/>
                <w:lang w:val="es-ES" w:eastAsia="es-ES"/>
              </w:rPr>
            </w:pPr>
            <w:r w:rsidRPr="004873CC">
              <w:rPr>
                <w:rFonts w:eastAsia="Times New Roman" w:cs="Calibri"/>
                <w:b/>
                <w:bCs/>
                <w:color w:val="000000"/>
                <w:sz w:val="18"/>
                <w:szCs w:val="18"/>
                <w:lang w:val="es-ES" w:eastAsia="es-ES"/>
              </w:rPr>
              <w:t>R</w:t>
            </w:r>
            <w:r>
              <w:rPr>
                <w:rFonts w:eastAsia="Times New Roman" w:cs="Calibri"/>
                <w:b/>
                <w:bCs/>
                <w:color w:val="000000"/>
                <w:sz w:val="18"/>
                <w:szCs w:val="18"/>
                <w:lang w:val="es-ES" w:eastAsia="es-ES"/>
              </w:rPr>
              <w:t>x</w:t>
            </w:r>
            <w:r w:rsidRPr="004873CC">
              <w:rPr>
                <w:rFonts w:eastAsia="Times New Roman" w:cs="Calibri"/>
                <w:b/>
                <w:bCs/>
                <w:color w:val="000000"/>
                <w:sz w:val="18"/>
                <w:szCs w:val="18"/>
                <w:lang w:val="es-ES" w:eastAsia="es-ES"/>
              </w:rPr>
              <w:t>_0,75</w:t>
            </w:r>
          </w:p>
        </w:tc>
        <w:tc>
          <w:tcPr>
            <w:tcW w:w="520" w:type="dxa"/>
            <w:tcBorders>
              <w:left w:val="nil"/>
              <w:bottom w:val="thinThickSmallGap" w:sz="24" w:space="0" w:color="auto"/>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b/>
                <w:bCs/>
                <w:color w:val="000000"/>
                <w:sz w:val="18"/>
                <w:szCs w:val="18"/>
                <w:lang w:val="es-ES" w:eastAsia="es-ES"/>
              </w:rPr>
            </w:pPr>
            <w:r w:rsidRPr="004873CC">
              <w:rPr>
                <w:rFonts w:eastAsia="Times New Roman" w:cs="Calibri"/>
                <w:b/>
                <w:bCs/>
                <w:color w:val="000000"/>
                <w:sz w:val="18"/>
                <w:szCs w:val="18"/>
                <w:lang w:val="es-ES" w:eastAsia="es-ES"/>
              </w:rPr>
              <w:t>R</w:t>
            </w:r>
            <w:r>
              <w:rPr>
                <w:rFonts w:eastAsia="Times New Roman" w:cs="Calibri"/>
                <w:b/>
                <w:bCs/>
                <w:color w:val="000000"/>
                <w:sz w:val="18"/>
                <w:szCs w:val="18"/>
                <w:lang w:val="es-ES" w:eastAsia="es-ES"/>
              </w:rPr>
              <w:t>x</w:t>
            </w:r>
            <w:r w:rsidRPr="004873CC">
              <w:rPr>
                <w:rFonts w:eastAsia="Times New Roman" w:cs="Calibri"/>
                <w:b/>
                <w:bCs/>
                <w:color w:val="000000"/>
                <w:sz w:val="18"/>
                <w:szCs w:val="18"/>
                <w:lang w:val="es-ES" w:eastAsia="es-ES"/>
              </w:rPr>
              <w:t>_1</w:t>
            </w:r>
          </w:p>
        </w:tc>
      </w:tr>
      <w:tr w:rsidR="005F7F09" w:rsidRPr="004873CC" w:rsidTr="00740F2C">
        <w:trPr>
          <w:trHeight w:val="288"/>
        </w:trPr>
        <w:tc>
          <w:tcPr>
            <w:tcW w:w="1366" w:type="dxa"/>
            <w:tcBorders>
              <w:top w:val="thinThickSmallGap" w:sz="24" w:space="0" w:color="auto"/>
              <w:left w:val="nil"/>
              <w:bottom w:val="nil"/>
              <w:right w:val="nil"/>
            </w:tcBorders>
            <w:shd w:val="clear" w:color="auto" w:fill="auto"/>
            <w:noWrap/>
            <w:vAlign w:val="bottom"/>
            <w:hideMark/>
          </w:tcPr>
          <w:p w:rsidR="005F7F09" w:rsidRPr="004873CC" w:rsidRDefault="005F7F09" w:rsidP="00740F2C">
            <w:pPr>
              <w:spacing w:after="0" w:line="240" w:lineRule="auto"/>
              <w:rPr>
                <w:rFonts w:eastAsia="Times New Roman" w:cs="Calibri"/>
                <w:color w:val="000000"/>
                <w:sz w:val="18"/>
                <w:szCs w:val="18"/>
                <w:lang w:val="es-ES" w:eastAsia="es-ES"/>
              </w:rPr>
            </w:pPr>
            <w:r w:rsidRPr="004873CC">
              <w:rPr>
                <w:rFonts w:eastAsia="Times New Roman" w:cs="Calibri"/>
                <w:color w:val="000000"/>
                <w:sz w:val="18"/>
                <w:szCs w:val="18"/>
                <w:lang w:val="es-ES" w:eastAsia="es-ES"/>
              </w:rPr>
              <w:t>Ding</w:t>
            </w:r>
            <w:r w:rsidRPr="004873CC">
              <w:rPr>
                <w:rFonts w:eastAsia="Times New Roman" w:cs="Calibri"/>
                <w:color w:val="000000"/>
                <w:sz w:val="18"/>
                <w:szCs w:val="18"/>
                <w:lang w:val="es-ES" w:eastAsia="es-ES"/>
              </w:rPr>
              <w:fldChar w:fldCharType="begin" w:fldLock="1"/>
            </w:r>
            <w:r>
              <w:rPr>
                <w:rFonts w:eastAsia="Times New Roman" w:cs="Calibri"/>
                <w:color w:val="000000"/>
                <w:sz w:val="18"/>
                <w:szCs w:val="18"/>
                <w:lang w:val="es-ES" w:eastAsia="es-ES"/>
              </w:rPr>
              <w:instrText>ADDIN CSL_CITATION {"citationItems":[{"id":"ITEM-1","itemData":{"author":[{"dropping-particle":"","family":"Ding","given":"Ning","non-dropping-particle":"","parse-names":false,"suffix":""},{"dropping-particle":"","family":"Song","given":"Xudong","non-dropping-particle":"","parse-names":false,"suffix":""},{"dropping-particle":"","family":"Wang","given":"Xiaozhen","non-dropping-particle":"","parse-names":false,"suffix":""},{"dropping-particle":"","family":"Wei","given":"Wenbin","non-dropping-particle":"","parse-names":false,"suffix":""}],"container-title":"Frontiers in Medicine","id":"ITEM-1","issue":"April","issued":{"date-parts":[["2022"]]},"page":"1-9","title":"Comparison of Visual Outcomes Between Toric Intraocular Lenses and Clear Corneal Incisions to Correct Astigmatism in Image–Guided Cataract Surgery","type":"article-journal","volume":"9"},"uris":["http://www.mendeley.com/documents/?uuid=79858541-d7d9-42c4-ae72-feb07fbb4683"]}],"mendeley":{"formattedCitation":"[9]","plainTextFormattedCitation":"[9]","previouslyFormattedCitation":"[9]"},"properties":{"noteIndex":0},"schema":"https://github.com/citation-style-language/schema/raw/master/csl-citation.json"}</w:instrText>
            </w:r>
            <w:r w:rsidRPr="004873CC">
              <w:rPr>
                <w:rFonts w:eastAsia="Times New Roman" w:cs="Calibri"/>
                <w:color w:val="000000"/>
                <w:sz w:val="18"/>
                <w:szCs w:val="18"/>
                <w:lang w:val="es-ES" w:eastAsia="es-ES"/>
              </w:rPr>
              <w:fldChar w:fldCharType="separate"/>
            </w:r>
            <w:r w:rsidRPr="000D1793">
              <w:rPr>
                <w:rFonts w:eastAsia="Times New Roman" w:cs="Calibri"/>
                <w:noProof/>
                <w:color w:val="000000"/>
                <w:sz w:val="18"/>
                <w:szCs w:val="18"/>
                <w:lang w:val="es-ES" w:eastAsia="es-ES"/>
              </w:rPr>
              <w:t>[9]</w:t>
            </w:r>
            <w:r w:rsidRPr="004873CC">
              <w:rPr>
                <w:rFonts w:eastAsia="Times New Roman" w:cs="Calibri"/>
                <w:color w:val="000000"/>
                <w:sz w:val="18"/>
                <w:szCs w:val="18"/>
                <w:lang w:val="es-ES" w:eastAsia="es-ES"/>
              </w:rPr>
              <w:fldChar w:fldCharType="end"/>
            </w:r>
          </w:p>
        </w:tc>
        <w:tc>
          <w:tcPr>
            <w:tcW w:w="640" w:type="dxa"/>
            <w:tcBorders>
              <w:top w:val="thinThickSmallGap" w:sz="24" w:space="0" w:color="auto"/>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2022</w:t>
            </w:r>
          </w:p>
        </w:tc>
        <w:tc>
          <w:tcPr>
            <w:tcW w:w="500" w:type="dxa"/>
            <w:tcBorders>
              <w:top w:val="thinThickSmallGap" w:sz="24" w:space="0" w:color="auto"/>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33</w:t>
            </w:r>
          </w:p>
        </w:tc>
        <w:tc>
          <w:tcPr>
            <w:tcW w:w="587" w:type="dxa"/>
            <w:tcBorders>
              <w:top w:val="thinThickSmallGap" w:sz="24" w:space="0" w:color="auto"/>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CCI</w:t>
            </w:r>
          </w:p>
        </w:tc>
        <w:tc>
          <w:tcPr>
            <w:tcW w:w="1070" w:type="dxa"/>
            <w:tcBorders>
              <w:top w:val="thinThickSmallGap" w:sz="24" w:space="0" w:color="auto"/>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Manual</w:t>
            </w:r>
          </w:p>
        </w:tc>
        <w:tc>
          <w:tcPr>
            <w:tcW w:w="1028" w:type="dxa"/>
            <w:tcBorders>
              <w:top w:val="thinThickSmallGap" w:sz="24" w:space="0" w:color="auto"/>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3</w:t>
            </w:r>
          </w:p>
        </w:tc>
        <w:tc>
          <w:tcPr>
            <w:tcW w:w="760" w:type="dxa"/>
            <w:tcBorders>
              <w:top w:val="thinThickSmallGap" w:sz="24" w:space="0" w:color="auto"/>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2,4</w:t>
            </w:r>
          </w:p>
        </w:tc>
        <w:tc>
          <w:tcPr>
            <w:tcW w:w="1360" w:type="dxa"/>
            <w:tcBorders>
              <w:top w:val="thinThickSmallGap" w:sz="24" w:space="0" w:color="auto"/>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Temporal</w:t>
            </w:r>
          </w:p>
        </w:tc>
        <w:tc>
          <w:tcPr>
            <w:tcW w:w="1795" w:type="dxa"/>
            <w:tcBorders>
              <w:top w:val="thinThickSmallGap" w:sz="24" w:space="0" w:color="auto"/>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549" w:type="dxa"/>
            <w:tcBorders>
              <w:top w:val="thinThickSmallGap" w:sz="24" w:space="0" w:color="auto"/>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1,28</w:t>
            </w:r>
          </w:p>
        </w:tc>
        <w:tc>
          <w:tcPr>
            <w:tcW w:w="732" w:type="dxa"/>
            <w:tcBorders>
              <w:top w:val="thinThickSmallGap" w:sz="24" w:space="0" w:color="auto"/>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00" w:type="dxa"/>
            <w:tcBorders>
              <w:top w:val="thinThickSmallGap" w:sz="24" w:space="0" w:color="auto"/>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00" w:type="dxa"/>
            <w:tcBorders>
              <w:top w:val="thinThickSmallGap" w:sz="24" w:space="0" w:color="auto"/>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505" w:type="dxa"/>
            <w:tcBorders>
              <w:top w:val="thinThickSmallGap" w:sz="24" w:space="0" w:color="auto"/>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36" w:type="dxa"/>
            <w:tcBorders>
              <w:top w:val="thinThickSmallGap" w:sz="24" w:space="0" w:color="auto"/>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47</w:t>
            </w:r>
          </w:p>
        </w:tc>
        <w:tc>
          <w:tcPr>
            <w:tcW w:w="736" w:type="dxa"/>
            <w:tcBorders>
              <w:top w:val="thinThickSmallGap" w:sz="24" w:space="0" w:color="auto"/>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75</w:t>
            </w:r>
          </w:p>
        </w:tc>
        <w:tc>
          <w:tcPr>
            <w:tcW w:w="736" w:type="dxa"/>
            <w:tcBorders>
              <w:top w:val="thinThickSmallGap" w:sz="24" w:space="0" w:color="auto"/>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89</w:t>
            </w:r>
          </w:p>
        </w:tc>
        <w:tc>
          <w:tcPr>
            <w:tcW w:w="520" w:type="dxa"/>
            <w:tcBorders>
              <w:top w:val="thinThickSmallGap" w:sz="24" w:space="0" w:color="auto"/>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100</w:t>
            </w:r>
          </w:p>
        </w:tc>
      </w:tr>
      <w:tr w:rsidR="005F7F09" w:rsidRPr="004873CC" w:rsidTr="00740F2C">
        <w:trPr>
          <w:trHeight w:val="288"/>
        </w:trPr>
        <w:tc>
          <w:tcPr>
            <w:tcW w:w="136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rPr>
                <w:rFonts w:eastAsia="Times New Roman" w:cs="Calibri"/>
                <w:color w:val="000000"/>
                <w:sz w:val="18"/>
                <w:szCs w:val="18"/>
                <w:lang w:val="es-ES" w:eastAsia="es-ES"/>
              </w:rPr>
            </w:pPr>
            <w:r w:rsidRPr="004873CC">
              <w:rPr>
                <w:rFonts w:eastAsia="Times New Roman" w:cs="Calibri"/>
                <w:color w:val="000000"/>
                <w:sz w:val="18"/>
                <w:szCs w:val="18"/>
                <w:lang w:val="es-ES" w:eastAsia="es-ES"/>
              </w:rPr>
              <w:t>Ding</w:t>
            </w:r>
            <w:r w:rsidRPr="004873CC">
              <w:rPr>
                <w:rFonts w:eastAsia="Times New Roman" w:cs="Calibri"/>
                <w:color w:val="000000"/>
                <w:sz w:val="18"/>
                <w:szCs w:val="18"/>
                <w:lang w:val="es-ES" w:eastAsia="es-ES"/>
              </w:rPr>
              <w:fldChar w:fldCharType="begin" w:fldLock="1"/>
            </w:r>
            <w:r>
              <w:rPr>
                <w:rFonts w:eastAsia="Times New Roman" w:cs="Calibri"/>
                <w:color w:val="000000"/>
                <w:sz w:val="18"/>
                <w:szCs w:val="18"/>
                <w:lang w:val="es-ES" w:eastAsia="es-ES"/>
              </w:rPr>
              <w:instrText>ADDIN CSL_CITATION {"citationItems":[{"id":"ITEM-1","itemData":{"author":[{"dropping-particle":"","family":"Ding","given":"Ning","non-dropping-particle":"","parse-names":false,"suffix":""},{"dropping-particle":"","family":"Song","given":"Xudong","non-dropping-particle":"","parse-names":false,"suffix":""},{"dropping-particle":"","family":"Wang","given":"Xiaozhen","non-dropping-particle":"","parse-names":false,"suffix":""},{"dropping-particle":"","family":"Wei","given":"Wenbin","non-dropping-particle":"","parse-names":false,"suffix":""}],"container-title":"Frontiers in Medicine","id":"ITEM-1","issue":"April","issued":{"date-parts":[["2022"]]},"page":"1-9","title":"Comparison of Visual Outcomes Between Toric Intraocular Lenses and Clear Corneal Incisions to Correct Astigmatism in Image–Guided Cataract Surgery","type":"article-journal","volume":"9"},"uris":["http://www.mendeley.com/documents/?uuid=79858541-d7d9-42c4-ae72-feb07fbb4683"]}],"mendeley":{"formattedCitation":"[9]","plainTextFormattedCitation":"[9]","previouslyFormattedCitation":"[9]"},"properties":{"noteIndex":0},"schema":"https://github.com/citation-style-language/schema/raw/master/csl-citation.json"}</w:instrText>
            </w:r>
            <w:r w:rsidRPr="004873CC">
              <w:rPr>
                <w:rFonts w:eastAsia="Times New Roman" w:cs="Calibri"/>
                <w:color w:val="000000"/>
                <w:sz w:val="18"/>
                <w:szCs w:val="18"/>
                <w:lang w:val="es-ES" w:eastAsia="es-ES"/>
              </w:rPr>
              <w:fldChar w:fldCharType="separate"/>
            </w:r>
            <w:r w:rsidRPr="000D1793">
              <w:rPr>
                <w:rFonts w:eastAsia="Times New Roman" w:cs="Calibri"/>
                <w:noProof/>
                <w:color w:val="000000"/>
                <w:sz w:val="18"/>
                <w:szCs w:val="18"/>
                <w:lang w:val="es-ES" w:eastAsia="es-ES"/>
              </w:rPr>
              <w:t>[9]</w:t>
            </w:r>
            <w:r w:rsidRPr="004873CC">
              <w:rPr>
                <w:rFonts w:eastAsia="Times New Roman" w:cs="Calibri"/>
                <w:color w:val="000000"/>
                <w:sz w:val="18"/>
                <w:szCs w:val="18"/>
                <w:lang w:val="es-ES" w:eastAsia="es-ES"/>
              </w:rPr>
              <w:fldChar w:fldCharType="end"/>
            </w:r>
          </w:p>
        </w:tc>
        <w:tc>
          <w:tcPr>
            <w:tcW w:w="64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2022</w:t>
            </w:r>
          </w:p>
        </w:tc>
        <w:tc>
          <w:tcPr>
            <w:tcW w:w="5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32</w:t>
            </w:r>
          </w:p>
        </w:tc>
        <w:tc>
          <w:tcPr>
            <w:tcW w:w="587"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CCI</w:t>
            </w:r>
          </w:p>
        </w:tc>
        <w:tc>
          <w:tcPr>
            <w:tcW w:w="107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Manual</w:t>
            </w:r>
          </w:p>
        </w:tc>
        <w:tc>
          <w:tcPr>
            <w:tcW w:w="1028"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3</w:t>
            </w:r>
          </w:p>
        </w:tc>
        <w:tc>
          <w:tcPr>
            <w:tcW w:w="76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3</w:t>
            </w:r>
          </w:p>
        </w:tc>
        <w:tc>
          <w:tcPr>
            <w:tcW w:w="136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Steepest</w:t>
            </w:r>
          </w:p>
        </w:tc>
        <w:tc>
          <w:tcPr>
            <w:tcW w:w="1795"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549"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1,15</w:t>
            </w:r>
          </w:p>
        </w:tc>
        <w:tc>
          <w:tcPr>
            <w:tcW w:w="732"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505"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34</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56</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72</w:t>
            </w:r>
          </w:p>
        </w:tc>
        <w:tc>
          <w:tcPr>
            <w:tcW w:w="52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91</w:t>
            </w:r>
          </w:p>
        </w:tc>
      </w:tr>
      <w:tr w:rsidR="005F7F09" w:rsidRPr="004873CC" w:rsidTr="00740F2C">
        <w:trPr>
          <w:trHeight w:val="288"/>
        </w:trPr>
        <w:tc>
          <w:tcPr>
            <w:tcW w:w="136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rPr>
                <w:rFonts w:eastAsia="Times New Roman" w:cs="Calibri"/>
                <w:color w:val="000000"/>
                <w:sz w:val="18"/>
                <w:szCs w:val="18"/>
                <w:lang w:val="es-ES" w:eastAsia="es-ES"/>
              </w:rPr>
            </w:pPr>
            <w:r w:rsidRPr="004873CC">
              <w:rPr>
                <w:rFonts w:eastAsia="Times New Roman" w:cs="Calibri"/>
                <w:color w:val="000000"/>
                <w:sz w:val="18"/>
                <w:szCs w:val="18"/>
                <w:lang w:val="es-ES" w:eastAsia="es-ES"/>
              </w:rPr>
              <w:t>Chen</w:t>
            </w:r>
            <w:r w:rsidRPr="004873CC">
              <w:rPr>
                <w:rFonts w:ascii="Times New Roman" w:hAnsi="Times New Roman"/>
                <w:sz w:val="18"/>
                <w:szCs w:val="18"/>
              </w:rPr>
              <w:fldChar w:fldCharType="begin" w:fldLock="1"/>
            </w:r>
            <w:r>
              <w:rPr>
                <w:rFonts w:ascii="Times New Roman" w:hAnsi="Times New Roman"/>
                <w:sz w:val="18"/>
                <w:szCs w:val="18"/>
              </w:rPr>
              <w:instrText>ADDIN CSL_CITATION {"citationItems":[{"id":"ITEM-1","itemData":{"ISSN":"22274898","abstract":"• AIM: To investigate the clinical efficacy and safety of femtosecond laser-assisted steepest-meridian clear corneal incisions for correcting preexisting corneal astigmatism performed at the time of cataract surgery. • METHODS: This prospective case series study comprised consecutive age-related cataract patients with corneal regular astigmatism (range: +0.75 to +2.50 D) who had femtosecond laser-assisted steepest-meridian clear corneal incisions (single or paired). Corneal astigmatism was performed with the Pentacam preoperatively and 3mo postoperatively. Total corneal astigmatism and steepest-meridian measured in the 3-mm central zone were used to guide the location, size and number of clear corneal incision. The vector analysis of astigmatic change was performed using the Alpins method. • RESULTS: Totally 138 eyes of 138 patients were included. The mean preoperative corneal astigmatism was 1.31±0.41 D, and was significantly reduced to 0.69±0.34 D (equivalent to difference vector) after surgery (P&lt;0.01). The surgically-induced astigmatism was 1.02±0.54 D. The correction index (ratio of target induced astigmatism and surgically-induced astigmatism: 0.72±0.36) as well as the magnitude of error (difference between surgically-induced astigmatism and target induced astigmatism: -0.29±0.51) represented a slight under correction. For angle of error, the arithmetic mean was 1.11±13.70, indicating no significant systematic alignment errors. • CONCLUSION: Femtosecond-assisted steepest-meridian clear corneal incision is a fast, customizable, adjustable, precise, and safe technique for the reduction of low to moderate corneal astigmatism during cataract surgery.","author":[{"dropping-particle":"","family":"Chen","given":"Wei","non-dropping-particle":"","parse-names":false,"suffix":""},{"dropping-particle":"","family":"Ji","given":"Min","non-dropping-particle":"","parse-names":false,"suffix":""},{"dropping-particle":"","family":"Wu","given":"Jian","non-dropping-particle":"","parse-names":false,"suffix":""},{"dropping-particle":"","family":"Wang","given":"Yong","non-dropping-particle":"","parse-names":false,"suffix":""},{"dropping-particle":"","family":"Zhou","given":"Jing","non-dropping-particle":"","parse-names":false,"suffix":""},{"dropping-particle":"","family":"Zhu","given":"Rong Rong","non-dropping-particle":"","parse-names":false,"suffix":""},{"dropping-particle":"","family":"Lu","given":"Hong","non-dropping-particle":"","parse-names":false,"suffix":""},{"dropping-particle":"","family":"Guan","given":"Huai Jin","non-dropping-particle":"","parse-names":false,"suffix":""}],"container-title":"International Journal of Ophthalmology","id":"ITEM-1","issue":"12","issued":{"date-parts":[["2020"]]},"page":"1895-1900","title":"Effect of femtosecond laser-assisted steepest-meridian clear corneal incisions on preexisting corneal regular astigmatism at the time of cataract surgery","type":"article-journal","volume":"13"},"uris":["http://www.mendeley.com/documents/?uuid=56a4ca08-4c6c-4bf5-9ab2-fffa59fbda77"]}],"mendeley":{"formattedCitation":"[65]","plainTextFormattedCitation":"[65]","previouslyFormattedCitation":"[65]"},"properties":{"noteIndex":0},"schema":"https://github.com/citation-style-language/schema/raw/master/csl-citation.json"}</w:instrText>
            </w:r>
            <w:r w:rsidRPr="004873CC">
              <w:rPr>
                <w:rFonts w:ascii="Times New Roman" w:hAnsi="Times New Roman"/>
                <w:sz w:val="18"/>
                <w:szCs w:val="18"/>
              </w:rPr>
              <w:fldChar w:fldCharType="separate"/>
            </w:r>
            <w:r w:rsidRPr="000D1793">
              <w:rPr>
                <w:rFonts w:ascii="Times New Roman" w:hAnsi="Times New Roman"/>
                <w:noProof/>
                <w:sz w:val="18"/>
                <w:szCs w:val="18"/>
              </w:rPr>
              <w:t>[65]</w:t>
            </w:r>
            <w:r w:rsidRPr="004873CC">
              <w:rPr>
                <w:rFonts w:ascii="Times New Roman" w:hAnsi="Times New Roman"/>
                <w:sz w:val="18"/>
                <w:szCs w:val="18"/>
              </w:rPr>
              <w:fldChar w:fldCharType="end"/>
            </w:r>
          </w:p>
        </w:tc>
        <w:tc>
          <w:tcPr>
            <w:tcW w:w="64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2020</w:t>
            </w:r>
          </w:p>
        </w:tc>
        <w:tc>
          <w:tcPr>
            <w:tcW w:w="5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138</w:t>
            </w:r>
          </w:p>
        </w:tc>
        <w:tc>
          <w:tcPr>
            <w:tcW w:w="587"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OCCI</w:t>
            </w:r>
          </w:p>
        </w:tc>
        <w:tc>
          <w:tcPr>
            <w:tcW w:w="107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 xml:space="preserve">FS LenSx </w:t>
            </w:r>
          </w:p>
        </w:tc>
        <w:tc>
          <w:tcPr>
            <w:tcW w:w="1028"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1</w:t>
            </w:r>
          </w:p>
        </w:tc>
        <w:tc>
          <w:tcPr>
            <w:tcW w:w="76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2,8</w:t>
            </w:r>
          </w:p>
        </w:tc>
        <w:tc>
          <w:tcPr>
            <w:tcW w:w="136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Steepest</w:t>
            </w:r>
          </w:p>
        </w:tc>
        <w:tc>
          <w:tcPr>
            <w:tcW w:w="1795"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549"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1,31</w:t>
            </w:r>
          </w:p>
        </w:tc>
        <w:tc>
          <w:tcPr>
            <w:tcW w:w="732"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5</w:t>
            </w:r>
          </w:p>
        </w:tc>
        <w:tc>
          <w:tcPr>
            <w:tcW w:w="7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40</w:t>
            </w:r>
          </w:p>
        </w:tc>
        <w:tc>
          <w:tcPr>
            <w:tcW w:w="7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69</w:t>
            </w:r>
          </w:p>
        </w:tc>
        <w:tc>
          <w:tcPr>
            <w:tcW w:w="505"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86</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9</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54</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75</w:t>
            </w:r>
          </w:p>
        </w:tc>
        <w:tc>
          <w:tcPr>
            <w:tcW w:w="52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89</w:t>
            </w:r>
          </w:p>
        </w:tc>
      </w:tr>
      <w:tr w:rsidR="005F7F09" w:rsidRPr="004873CC" w:rsidTr="00740F2C">
        <w:trPr>
          <w:trHeight w:val="288"/>
        </w:trPr>
        <w:tc>
          <w:tcPr>
            <w:tcW w:w="136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rPr>
                <w:rFonts w:eastAsia="Times New Roman" w:cs="Calibri"/>
                <w:color w:val="000000"/>
                <w:sz w:val="18"/>
                <w:szCs w:val="18"/>
                <w:lang w:val="es-ES" w:eastAsia="es-ES"/>
              </w:rPr>
            </w:pPr>
            <w:r w:rsidRPr="004873CC">
              <w:rPr>
                <w:rFonts w:eastAsia="Times New Roman" w:cs="Calibri"/>
                <w:color w:val="000000"/>
                <w:sz w:val="18"/>
                <w:szCs w:val="18"/>
                <w:lang w:val="es-ES" w:eastAsia="es-ES"/>
              </w:rPr>
              <w:t>Chen</w:t>
            </w:r>
            <w:r w:rsidRPr="004873CC">
              <w:rPr>
                <w:rFonts w:ascii="Times New Roman" w:hAnsi="Times New Roman"/>
                <w:sz w:val="18"/>
                <w:szCs w:val="18"/>
              </w:rPr>
              <w:fldChar w:fldCharType="begin" w:fldLock="1"/>
            </w:r>
            <w:r>
              <w:rPr>
                <w:rFonts w:ascii="Times New Roman" w:hAnsi="Times New Roman"/>
                <w:sz w:val="18"/>
                <w:szCs w:val="18"/>
              </w:rPr>
              <w:instrText>ADDIN CSL_CITATION {"citationItems":[{"id":"ITEM-1","itemData":{"ISSN":"2211-5056","author":[{"dropping-particle":"","family":"Chen","given":"Ming","non-dropping-particle":"","parse-names":false,"suffix":""},{"dropping-particle":"","family":"Reinsbach","given":"Michael","non-dropping-particle":"","parse-names":false,"suffix":""},{"dropping-particle":"","family":"Wilbanks","given":"NathanD","non-dropping-particle":"","parse-names":false,"suffix":""},{"dropping-particle":"","family":"Chang","given":"Chaokai","non-dropping-particle":"","parse-names":false,"suffix":""},{"dropping-particle":"","family":"Chao","given":"ChenCheng","non-dropping-particle":"","parse-names":false,"suffix":""}],"container-title":"Taiwan Journal of Ophthalmology","id":"ITEM-1","issue":"1","issued":{"date-parts":[["2019"]]},"page":"27","title":"Utilizing intraoperative aberrometry and digital eye tracking to develop a novel nomogram for manual astigmatic keratotomy to effectively decrease mild astigmatism during cataract surgery","type":"article-journal","volume":"9"},"uris":["http://www.mendeley.com/documents/?uuid=1884a820-f908-4503-aef1-dd3330f9521f"]}],"mendeley":{"formattedCitation":"[68]","plainTextFormattedCitation":"[68]","previouslyFormattedCitation":"[68]"},"properties":{"noteIndex":0},"schema":"https://github.com/citation-style-language/schema/raw/master/csl-citation.json"}</w:instrText>
            </w:r>
            <w:r w:rsidRPr="004873CC">
              <w:rPr>
                <w:rFonts w:ascii="Times New Roman" w:hAnsi="Times New Roman"/>
                <w:sz w:val="18"/>
                <w:szCs w:val="18"/>
              </w:rPr>
              <w:fldChar w:fldCharType="separate"/>
            </w:r>
            <w:r w:rsidRPr="000D1793">
              <w:rPr>
                <w:rFonts w:ascii="Times New Roman" w:hAnsi="Times New Roman"/>
                <w:noProof/>
                <w:sz w:val="18"/>
                <w:szCs w:val="18"/>
              </w:rPr>
              <w:t>[68]</w:t>
            </w:r>
            <w:r w:rsidRPr="004873CC">
              <w:rPr>
                <w:rFonts w:ascii="Times New Roman" w:hAnsi="Times New Roman"/>
                <w:sz w:val="18"/>
                <w:szCs w:val="18"/>
              </w:rPr>
              <w:fldChar w:fldCharType="end"/>
            </w:r>
          </w:p>
        </w:tc>
        <w:tc>
          <w:tcPr>
            <w:tcW w:w="64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2019</w:t>
            </w:r>
          </w:p>
        </w:tc>
        <w:tc>
          <w:tcPr>
            <w:tcW w:w="5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60</w:t>
            </w:r>
          </w:p>
        </w:tc>
        <w:tc>
          <w:tcPr>
            <w:tcW w:w="587"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AK</w:t>
            </w:r>
          </w:p>
        </w:tc>
        <w:tc>
          <w:tcPr>
            <w:tcW w:w="107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Manual</w:t>
            </w:r>
          </w:p>
        </w:tc>
        <w:tc>
          <w:tcPr>
            <w:tcW w:w="1028"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3</w:t>
            </w:r>
          </w:p>
        </w:tc>
        <w:tc>
          <w:tcPr>
            <w:tcW w:w="76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136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1795"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Pr>
                <w:rFonts w:eastAsia="Times New Roman" w:cs="Calibri"/>
                <w:color w:val="000000"/>
                <w:sz w:val="18"/>
                <w:szCs w:val="18"/>
                <w:lang w:val="es-ES" w:eastAsia="es-ES"/>
              </w:rPr>
              <w:t>NA (</w:t>
            </w:r>
            <w:r w:rsidRPr="004873CC">
              <w:rPr>
                <w:rFonts w:eastAsia="Times New Roman" w:cs="Calibri"/>
                <w:color w:val="000000"/>
                <w:sz w:val="18"/>
                <w:szCs w:val="18"/>
                <w:lang w:val="es-ES" w:eastAsia="es-ES"/>
              </w:rPr>
              <w:t>Verion guide</w:t>
            </w:r>
            <w:r>
              <w:rPr>
                <w:rFonts w:eastAsia="Times New Roman" w:cs="Calibri"/>
                <w:color w:val="000000"/>
                <w:sz w:val="18"/>
                <w:szCs w:val="18"/>
                <w:lang w:val="es-ES" w:eastAsia="es-ES"/>
              </w:rPr>
              <w:t>)</w:t>
            </w:r>
          </w:p>
        </w:tc>
        <w:tc>
          <w:tcPr>
            <w:tcW w:w="549"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1,1</w:t>
            </w:r>
          </w:p>
        </w:tc>
        <w:tc>
          <w:tcPr>
            <w:tcW w:w="732"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505"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52</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85</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97</w:t>
            </w:r>
          </w:p>
        </w:tc>
        <w:tc>
          <w:tcPr>
            <w:tcW w:w="52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r>
      <w:tr w:rsidR="005F7F09" w:rsidRPr="004873CC" w:rsidTr="00740F2C">
        <w:trPr>
          <w:trHeight w:val="288"/>
        </w:trPr>
        <w:tc>
          <w:tcPr>
            <w:tcW w:w="136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rPr>
                <w:rFonts w:eastAsia="Times New Roman" w:cs="Calibri"/>
                <w:color w:val="000000"/>
                <w:sz w:val="18"/>
                <w:szCs w:val="18"/>
                <w:lang w:val="es-ES" w:eastAsia="es-ES"/>
              </w:rPr>
            </w:pPr>
            <w:r w:rsidRPr="004873CC">
              <w:rPr>
                <w:rFonts w:eastAsia="Times New Roman" w:cs="Calibri"/>
                <w:color w:val="000000"/>
                <w:sz w:val="18"/>
                <w:szCs w:val="18"/>
                <w:lang w:val="es-ES" w:eastAsia="es-ES"/>
              </w:rPr>
              <w:t>Chen</w:t>
            </w:r>
            <w:r w:rsidRPr="004873CC">
              <w:rPr>
                <w:rFonts w:ascii="Times New Roman" w:hAnsi="Times New Roman"/>
                <w:sz w:val="18"/>
                <w:szCs w:val="18"/>
              </w:rPr>
              <w:fldChar w:fldCharType="begin" w:fldLock="1"/>
            </w:r>
            <w:r>
              <w:rPr>
                <w:rFonts w:ascii="Times New Roman" w:hAnsi="Times New Roman"/>
                <w:sz w:val="18"/>
                <w:szCs w:val="18"/>
              </w:rPr>
              <w:instrText>ADDIN CSL_CITATION {"citationItems":[{"id":"ITEM-1","itemData":{"ISSN":"2211-5056","author":[{"dropping-particle":"","family":"Chen","given":"Ming","non-dropping-particle":"","parse-names":false,"suffix":""},{"dropping-particle":"","family":"Reinsbach","given":"Michael","non-dropping-particle":"","parse-names":false,"suffix":""},{"dropping-particle":"","family":"Wilbanks","given":"NathanD","non-dropping-particle":"","parse-names":false,"suffix":""},{"dropping-particle":"","family":"Chang","given":"Chaokai","non-dropping-particle":"","parse-names":false,"suffix":""},{"dropping-particle":"","family":"Chao","given":"ChenCheng","non-dropping-particle":"","parse-names":false,"suffix":""}],"container-title":"Taiwan Journal of Ophthalmology","id":"ITEM-1","issue":"1","issued":{"date-parts":[["2019"]]},"page":"27","title":"Utilizing intraoperative aberrometry and digital eye tracking to develop a novel nomogram for manual astigmatic keratotomy to effectively decrease mild astigmatism during cataract surgery","type":"article-journal","volume":"9"},"uris":["http://www.mendeley.com/documents/?uuid=1884a820-f908-4503-aef1-dd3330f9521f"]}],"mendeley":{"formattedCitation":"[68]","plainTextFormattedCitation":"[68]","previouslyFormattedCitation":"[68]"},"properties":{"noteIndex":0},"schema":"https://github.com/citation-style-language/schema/raw/master/csl-citation.json"}</w:instrText>
            </w:r>
            <w:r w:rsidRPr="004873CC">
              <w:rPr>
                <w:rFonts w:ascii="Times New Roman" w:hAnsi="Times New Roman"/>
                <w:sz w:val="18"/>
                <w:szCs w:val="18"/>
              </w:rPr>
              <w:fldChar w:fldCharType="separate"/>
            </w:r>
            <w:r w:rsidRPr="000D1793">
              <w:rPr>
                <w:rFonts w:ascii="Times New Roman" w:hAnsi="Times New Roman"/>
                <w:noProof/>
                <w:sz w:val="18"/>
                <w:szCs w:val="18"/>
              </w:rPr>
              <w:t>[68]</w:t>
            </w:r>
            <w:r w:rsidRPr="004873CC">
              <w:rPr>
                <w:rFonts w:ascii="Times New Roman" w:hAnsi="Times New Roman"/>
                <w:sz w:val="18"/>
                <w:szCs w:val="18"/>
              </w:rPr>
              <w:fldChar w:fldCharType="end"/>
            </w:r>
          </w:p>
        </w:tc>
        <w:tc>
          <w:tcPr>
            <w:tcW w:w="64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2019</w:t>
            </w:r>
          </w:p>
        </w:tc>
        <w:tc>
          <w:tcPr>
            <w:tcW w:w="5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60</w:t>
            </w:r>
          </w:p>
        </w:tc>
        <w:tc>
          <w:tcPr>
            <w:tcW w:w="587" w:type="dxa"/>
            <w:tcBorders>
              <w:top w:val="nil"/>
              <w:left w:val="nil"/>
              <w:bottom w:val="nil"/>
              <w:right w:val="nil"/>
            </w:tcBorders>
            <w:shd w:val="clear" w:color="auto" w:fill="auto"/>
            <w:noWrap/>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AK</w:t>
            </w:r>
          </w:p>
        </w:tc>
        <w:tc>
          <w:tcPr>
            <w:tcW w:w="107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Manual</w:t>
            </w:r>
          </w:p>
        </w:tc>
        <w:tc>
          <w:tcPr>
            <w:tcW w:w="1028"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3</w:t>
            </w:r>
          </w:p>
        </w:tc>
        <w:tc>
          <w:tcPr>
            <w:tcW w:w="76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136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1795"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549"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1,1</w:t>
            </w:r>
          </w:p>
        </w:tc>
        <w:tc>
          <w:tcPr>
            <w:tcW w:w="732"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505"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38</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70</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87</w:t>
            </w:r>
          </w:p>
        </w:tc>
        <w:tc>
          <w:tcPr>
            <w:tcW w:w="52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r>
      <w:tr w:rsidR="005F7F09" w:rsidRPr="004873CC" w:rsidTr="00740F2C">
        <w:trPr>
          <w:trHeight w:val="288"/>
        </w:trPr>
        <w:tc>
          <w:tcPr>
            <w:tcW w:w="136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rPr>
                <w:rFonts w:eastAsia="Times New Roman" w:cs="Calibri"/>
                <w:color w:val="000000"/>
                <w:sz w:val="18"/>
                <w:szCs w:val="18"/>
                <w:lang w:val="es-ES" w:eastAsia="es-ES"/>
              </w:rPr>
            </w:pPr>
            <w:r w:rsidRPr="004873CC">
              <w:rPr>
                <w:rFonts w:eastAsia="Times New Roman" w:cs="Calibri"/>
                <w:color w:val="000000"/>
                <w:sz w:val="18"/>
                <w:szCs w:val="18"/>
                <w:lang w:val="es-ES" w:eastAsia="es-ES"/>
              </w:rPr>
              <w:t>Baharozian</w:t>
            </w:r>
            <w:r w:rsidRPr="004873CC">
              <w:rPr>
                <w:rFonts w:ascii="Times New Roman" w:hAnsi="Times New Roman"/>
                <w:noProof/>
                <w:sz w:val="18"/>
                <w:szCs w:val="18"/>
              </w:rPr>
              <w:fldChar w:fldCharType="begin" w:fldLock="1"/>
            </w:r>
            <w:r>
              <w:rPr>
                <w:rFonts w:ascii="Times New Roman" w:hAnsi="Times New Roman"/>
                <w:noProof/>
                <w:sz w:val="18"/>
                <w:szCs w:val="18"/>
              </w:rPr>
              <w:instrText>ADDIN CSL_CITATION {"citationItems":[{"id":"ITEM-1","itemData":{"ISSN":"11775483","abstract":"Purpose: The purpose of this study was to determine an arcuate incision (AI) nomogram to treat astigmatism during femtosecond laser-assisted cataract surgery. Methods: This is a retrospective, cohort study. Femtosecond laser (FSL)-assisted transepithelial AIs were created at a 9.0 mm optical zone, 80% depth, centered on the limbus. We modified the manual Donnenfeld limbal relaxing incision nomogram to 70% for with-the-rule (WTR), 80% for oblique (OBL), and 100% for against-the-rule (ATR) astigmatism. The correction index (CI) equaled AI-induced astigmatism/target-induced astigmatism. Measures included preoperative keratometric corneal cylinder (Pre Kcyl), postoperative Kcyl (Post Kcyl), and postoperative residual refractive astigmatism (Post RRA). Results: Mean Pre Kcyl and 1-2 months Post RRA in 161 eyes of 116 patients were 0.626±0.417 diopters (D) (range 0.5-2 D), and 0.495±0.400 D (range 0-1.5 D), respectively. Mean absolute astigmatic changes (Pre Kcyl-Post Kcyl) without accounting for axis change in the WTR, ATR, and OBL groups were 0.165±0.383 D (P,0.001), 0.374±0.536 D (P,0.001), and 0.253±0.416 D (P=0.02), respectively. Mean absolute astigmatic changes using RRA as the postoperative measurement (Pre Kcyl-Post RRA) without accounting for axis change were 0.440±0.461 D (P,0.001), 0.238±0.571 D (P,0.05), 0.154±0.450 (P=0.111) in WTR, ATR, and OBL groups, respectively. CIs for WTR, ATR, and OBL were 0.53, 1.01, and 0.95, respectively. There were no intraoperative or postoperative complications related to the AIs. Conclusion: Transepithelial FSL-AIs using the modified Donnenfeld nomogram show potential for management of mild to moderate corneal astigmatism. An increase in the magnitude or reduction of the optical zone size for the treatment of WTR and ATR astigmatism for this nomogram may further improve refractive accuracy.","author":[{"dropping-particle":"","family":"Baharozian","given":"Connor J.","non-dropping-particle":"","parse-names":false,"suffix":""},{"dropping-particle":"","family":"Song","given":"Christian","non-dropping-particle":"","parse-names":false,"suffix":""},{"dropping-particle":"","family":"Hatch","given":"Kathryn M.","non-dropping-particle":"","parse-names":false,"suffix":""},{"dropping-particle":"","family":"Talamo","given":"Jonathan H.","non-dropping-particle":"","parse-names":false,"suffix":""}],"container-title":"Clinical Ophthalmology","id":"ITEM-1","issued":{"date-parts":[["2017"]]},"page":"1841-1848","title":"A novel nomogram for the treatment of astigmatism with femtosecond-laser arcuate incisions at the time of cataract surgery","type":"article-journal","volume":"11"},"uris":["http://www.mendeley.com/documents/?uuid=795e61a8-e454-4f04-bf44-592a7b0b431e"]}],"mendeley":{"formattedCitation":"[86]","plainTextFormattedCitation":"[86]","previouslyFormattedCitation":"[86]"},"properties":{"noteIndex":0},"schema":"https://github.com/citation-style-language/schema/raw/master/csl-citation.json"}</w:instrText>
            </w:r>
            <w:r w:rsidRPr="004873CC">
              <w:rPr>
                <w:rFonts w:ascii="Times New Roman" w:hAnsi="Times New Roman"/>
                <w:noProof/>
                <w:sz w:val="18"/>
                <w:szCs w:val="18"/>
              </w:rPr>
              <w:fldChar w:fldCharType="separate"/>
            </w:r>
            <w:r w:rsidRPr="000D1793">
              <w:rPr>
                <w:rFonts w:ascii="Times New Roman" w:hAnsi="Times New Roman"/>
                <w:noProof/>
                <w:sz w:val="18"/>
                <w:szCs w:val="18"/>
              </w:rPr>
              <w:t>[86]</w:t>
            </w:r>
            <w:r w:rsidRPr="004873CC">
              <w:rPr>
                <w:rFonts w:ascii="Times New Roman" w:hAnsi="Times New Roman"/>
                <w:noProof/>
                <w:sz w:val="18"/>
                <w:szCs w:val="18"/>
              </w:rPr>
              <w:fldChar w:fldCharType="end"/>
            </w:r>
          </w:p>
        </w:tc>
        <w:tc>
          <w:tcPr>
            <w:tcW w:w="64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2017</w:t>
            </w:r>
          </w:p>
        </w:tc>
        <w:tc>
          <w:tcPr>
            <w:tcW w:w="5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161</w:t>
            </w:r>
          </w:p>
        </w:tc>
        <w:tc>
          <w:tcPr>
            <w:tcW w:w="587" w:type="dxa"/>
            <w:tcBorders>
              <w:top w:val="nil"/>
              <w:left w:val="nil"/>
              <w:bottom w:val="nil"/>
              <w:right w:val="nil"/>
            </w:tcBorders>
            <w:shd w:val="clear" w:color="auto" w:fill="auto"/>
            <w:noWrap/>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AK</w:t>
            </w:r>
          </w:p>
        </w:tc>
        <w:tc>
          <w:tcPr>
            <w:tcW w:w="107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Catalys</w:t>
            </w:r>
          </w:p>
        </w:tc>
        <w:tc>
          <w:tcPr>
            <w:tcW w:w="1028"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1</w:t>
            </w:r>
          </w:p>
        </w:tc>
        <w:tc>
          <w:tcPr>
            <w:tcW w:w="76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136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1795"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Donnenfeld Modified</w:t>
            </w:r>
          </w:p>
        </w:tc>
        <w:tc>
          <w:tcPr>
            <w:tcW w:w="549"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0,85</w:t>
            </w:r>
          </w:p>
        </w:tc>
        <w:tc>
          <w:tcPr>
            <w:tcW w:w="732"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50</w:t>
            </w:r>
          </w:p>
        </w:tc>
        <w:tc>
          <w:tcPr>
            <w:tcW w:w="7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505"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52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r>
      <w:tr w:rsidR="005F7F09" w:rsidRPr="00606154" w:rsidTr="00740F2C">
        <w:trPr>
          <w:trHeight w:val="288"/>
        </w:trPr>
        <w:tc>
          <w:tcPr>
            <w:tcW w:w="136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rPr>
                <w:rFonts w:eastAsia="Times New Roman" w:cs="Calibri"/>
                <w:color w:val="000000"/>
                <w:sz w:val="18"/>
                <w:szCs w:val="18"/>
                <w:lang w:val="es-ES" w:eastAsia="es-ES"/>
              </w:rPr>
            </w:pPr>
            <w:r w:rsidRPr="004873CC">
              <w:rPr>
                <w:rFonts w:eastAsia="Times New Roman" w:cs="Calibri"/>
                <w:color w:val="000000"/>
                <w:sz w:val="18"/>
                <w:szCs w:val="18"/>
                <w:lang w:val="es-ES" w:eastAsia="es-ES"/>
              </w:rPr>
              <w:t>Lopes</w:t>
            </w:r>
            <w:r w:rsidRPr="004873CC">
              <w:rPr>
                <w:rFonts w:ascii="Times New Roman" w:hAnsi="Times New Roman"/>
                <w:sz w:val="18"/>
                <w:szCs w:val="18"/>
              </w:rPr>
              <w:fldChar w:fldCharType="begin" w:fldLock="1"/>
            </w:r>
            <w:r>
              <w:rPr>
                <w:rFonts w:ascii="Times New Roman" w:hAnsi="Times New Roman"/>
                <w:sz w:val="18"/>
                <w:szCs w:val="18"/>
              </w:rPr>
              <w:instrText>ADDIN CSL_CITATION {"citationItems":[{"id":"ITEM-1","itemData":{"ISSN":"03656691","PMID":"34340778","abstract":"Purpose: The aim of this study was to compare the results of intrastromal arcuate incisions (AIs) and transepithelial AIs to treat corneal astigmatism during femtosecond laser-assisted cataract surgery (FLACS). Methods: This retrospective study included 20 patients with corneal astigmatism between 0.70 and 2.00 diopters (D) who underwent FLACS with concurrent intrastromal AIs in one eye and transepithelial AIs in the fellow eye. The main outcomes measures at 2-3 months of follow-up were the difference between preoperative and postoperative keratometric corneal cylinder (Kcyl), the correction index (CI) and the percentage of overcorrection. Results: The mean difference between preoperative and postoperative Kcyl revealed a mean value of 0.36 ± 0.37 D in the transepithelial group and 0.53 ± 0.42 D in the intrastromal group (P &lt; .001). The mean CI was 0.83 ± 0.71 in the transepithelial group and 0.68 ± 0.29 in intrastromal group (P = .17). Five eyes (25%) had an astigmatism overcorrection in the transepithelial group and 1 eye (5%) in the intrastromal group. Conclusions: Both intrastromal and transepithelial AIs showed potential for mild to moderate astigmatism correction and appeared to be a safe procedure. Despite transepithelial AIs presented a higher CI, the intrastromal AIs results were more predictable.","author":[{"dropping-particle":"","family":"Lopes","given":"D.","non-dropping-particle":"","parse-names":false,"suffix":""},{"dropping-particle":"","family":"Loureir</w:instrText>
            </w:r>
            <w:r w:rsidRPr="005D5805">
              <w:rPr>
                <w:rFonts w:ascii="Times New Roman" w:hAnsi="Times New Roman"/>
                <w:sz w:val="18"/>
                <w:szCs w:val="18"/>
                <w:lang w:val="es-ES"/>
              </w:rPr>
              <w:instrText>o","given":"T.","non-dropping-particle":"","parse-names":false,"suffix":""},{"dropping-particle":"","family":"Carreira","given":"R.","non-dropping-particle":"","parse-names":false,"suffix":""},{"dropping-particle":"","family":"Rodrigues Barros","given":"S.","non-dropping-particle":"","parse-names":false,"suffix":""},{"dropping-particle":"","family":"Nobre Cardoso","given":"J.","non-dropping-particle":"","parse-names":false,"suffix":""},{"dropping-particle":"","family":"Campos","given":"P.","non-dropping-particle":"","parse-names":false,"suffix":""},{"dropping-particle":"","family":"Machado","given":"I.","non-dropping-particle":"","parse-names":false,"suffix":""},{"dropping-particle":"","family":"Campos","given":"N.","non-dropping-particle":"","parse-names":false,"suffix":""}],"container-title":"Archivos de la Sociedad Espanola de Oftalmologia","id":"ITEM-1","issue":"8","issued":{"date-parts":[["2021"]]},"page":"408-414","publisher":"Sociedad Espa&amp;ntilde;ola de Oftalmolog&amp;iacute;a","title":"Transepithelial or intrastromal femtosecond laser arcuate keratotomy to manage corneal astigmatism at the time of cataract surgery","type":"article-journal","volume":"96"},"uris":["http://www.mendeley.com/documents/?uuid=e99562f5-87ea-44a9-9324-0280528533a6"]}],"mendeley":{"formattedCitation":"[85]","plainTextFormattedCitation":"[85]","previouslyFormattedCitation":"[85]"},"properties":{"noteIndex":0},"schema":"https://github.com/citation-style-language/schema/raw/master/csl-citation.json"}</w:instrText>
            </w:r>
            <w:r w:rsidRPr="004873CC">
              <w:rPr>
                <w:rFonts w:ascii="Times New Roman" w:hAnsi="Times New Roman"/>
                <w:sz w:val="18"/>
                <w:szCs w:val="18"/>
              </w:rPr>
              <w:fldChar w:fldCharType="separate"/>
            </w:r>
            <w:r w:rsidRPr="000D1793">
              <w:rPr>
                <w:rFonts w:ascii="Times New Roman" w:hAnsi="Times New Roman"/>
                <w:noProof/>
                <w:sz w:val="18"/>
                <w:szCs w:val="18"/>
                <w:lang w:val="es-ES"/>
              </w:rPr>
              <w:t>[85]</w:t>
            </w:r>
            <w:r w:rsidRPr="004873CC">
              <w:rPr>
                <w:rFonts w:ascii="Times New Roman" w:hAnsi="Times New Roman"/>
                <w:sz w:val="18"/>
                <w:szCs w:val="18"/>
              </w:rPr>
              <w:fldChar w:fldCharType="end"/>
            </w:r>
          </w:p>
        </w:tc>
        <w:tc>
          <w:tcPr>
            <w:tcW w:w="64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2021</w:t>
            </w:r>
          </w:p>
        </w:tc>
        <w:tc>
          <w:tcPr>
            <w:tcW w:w="5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20</w:t>
            </w:r>
          </w:p>
        </w:tc>
        <w:tc>
          <w:tcPr>
            <w:tcW w:w="587" w:type="dxa"/>
            <w:tcBorders>
              <w:top w:val="nil"/>
              <w:left w:val="nil"/>
              <w:bottom w:val="nil"/>
              <w:right w:val="nil"/>
            </w:tcBorders>
            <w:shd w:val="clear" w:color="auto" w:fill="auto"/>
            <w:noWrap/>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AK</w:t>
            </w:r>
          </w:p>
        </w:tc>
        <w:tc>
          <w:tcPr>
            <w:tcW w:w="107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Catalys</w:t>
            </w:r>
          </w:p>
        </w:tc>
        <w:tc>
          <w:tcPr>
            <w:tcW w:w="1028"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3</w:t>
            </w:r>
          </w:p>
        </w:tc>
        <w:tc>
          <w:tcPr>
            <w:tcW w:w="76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136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1795"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Julian Stevens v3</w:t>
            </w:r>
          </w:p>
        </w:tc>
        <w:tc>
          <w:tcPr>
            <w:tcW w:w="549"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1,17</w:t>
            </w:r>
          </w:p>
        </w:tc>
        <w:tc>
          <w:tcPr>
            <w:tcW w:w="732"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30</w:t>
            </w:r>
          </w:p>
        </w:tc>
        <w:tc>
          <w:tcPr>
            <w:tcW w:w="7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505"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75</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52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r>
      <w:tr w:rsidR="005F7F09" w:rsidRPr="004873CC" w:rsidTr="00740F2C">
        <w:trPr>
          <w:trHeight w:val="288"/>
        </w:trPr>
        <w:tc>
          <w:tcPr>
            <w:tcW w:w="136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rPr>
                <w:rFonts w:eastAsia="Times New Roman" w:cs="Calibri"/>
                <w:color w:val="000000"/>
                <w:sz w:val="18"/>
                <w:szCs w:val="18"/>
                <w:lang w:val="es-ES" w:eastAsia="es-ES"/>
              </w:rPr>
            </w:pPr>
            <w:r w:rsidRPr="004873CC">
              <w:rPr>
                <w:rFonts w:eastAsia="Times New Roman" w:cs="Calibri"/>
                <w:color w:val="000000"/>
                <w:sz w:val="18"/>
                <w:szCs w:val="18"/>
                <w:lang w:val="es-ES" w:eastAsia="es-ES"/>
              </w:rPr>
              <w:t>Stanojcic</w:t>
            </w:r>
            <w:r w:rsidRPr="004873CC">
              <w:rPr>
                <w:rFonts w:ascii="Times New Roman" w:hAnsi="Times New Roman"/>
                <w:sz w:val="18"/>
                <w:szCs w:val="18"/>
              </w:rPr>
              <w:fldChar w:fldCharType="begin" w:fldLock="1"/>
            </w:r>
            <w:r>
              <w:rPr>
                <w:rFonts w:ascii="Times New Roman" w:hAnsi="Times New Roman"/>
                <w:sz w:val="18"/>
                <w:szCs w:val="18"/>
                <w:lang w:val="es-ES"/>
              </w:rPr>
              <w:instrText>ADDIN CSL_CITATION {"citationItems":[{"id":"ITEM-1","itemData":{"ISSN":"14682079","PMID":"32699049","abstract":"Aims To report 12-month outcomes of randomised controlled trial comparing conventional phacoemulsification surgery (CPS) with femtosecond laser-assisted cataract surgery (FLACS). Methods This was a single-centre, prospective single-masked randomised case-controlled trial. Four hundred patients were randomised to CPS or FLACS with the LenSx platform (Alcon Laboratories Inc.). Visual acuity, refraction, central corneal thickness, endothelial cell loss (ECL), adverse events and quality of life outcomes, using EuroQOL 5-dimensions (EQ-5D-3 L) and cataract surgery patient-reported outcome measures (PROMs) questionnaires (Cat-PROM5), were recorded. Results Two hundred and thirty four patients (58.5%) attended 12-month follow-up (116 FLACS, 118 CPS). Mean LogMAR unaided distance visual acuity) (±SD) was 0.12 (0.18) with FLACS and 0.13 (0.19) with CPS (p=0.68; 95% Confidence Interval [CI]-0.06,0.04). Mean spherical equivalent (SE) refraction was -0.1±0.6 diopters (D) with FLACS and -0.2±0.6 D with CPS (p=0.44; 95% CI -0.09, 0.21). Mean corrected distance visual acuity (±SD) was -0.01 (0.1) with FLACS and 0(0.1) with CPS (p=0.45; 95% CI -0.04,0.02). Two patients per group underwent YAG laser capsulotomy for posterior capsular opacification (p=1). Mean ECL (per mm 2 ±SD) was 301±320 with FLACS and 228±303 with CPS (p=0.07; 95% CI -7.26, 153.26). Mean Cat-PROM scores (±SD) were -5.5 (2.6) with FLACS and -5.8 (2.5) with CPS (p=0.3; 95% CI 0.31,1.01). EQ5-3DL mean index score (±SD) was 0.92 (0.13) with FLACS and 0.89 (0.14) with CPS (p=0.1; 95% CI -0.1, 0.01). Vector analysis comparing manual limbal relaxing incisions (LRIs) and intrastromal femtosecond laser-assisted astigmatic keratotomies (iFAKs) showed a greater correction index (p=0.02; 95% CI 0.06 to 0.60) and smaller difference vector (p=0.046; 95% CI -0.54, -0.01) with iFAK. Conclusions There were no differences in vision, refraction, adverse postoperative events or PROMs between FLACS and CPS groups at 12 months. iFAKs may provide more effective astigmatic correction compared to LRIs, 12 months postoperatively.","author":[{"dropping-particle":"","family":"Stanojcic","given":"Nick","non-dropping-particle":"","parse-names":false,"suffix":""},{"dropping-particle":"","family":"Roberts","given":"Harry William","non-dropping-particle":"","parse-names":false,"suffix":""},{"dropping-particle":"","family":"Wagh","given":"Vijay K.","non-dropping-particle":"","parse-names":false,"suffix":""},{"dropping-particle":"","family":"Li","given":"Ji Peng Olivia","non-dropping-particle":"","parse-names":false,"suffix":""},{"dropping-particle":"","family":"Naderi","given":"Khayam","non-dropping-particle":"","parse-names":false,"suffix":""},{"dropping-particle":"","family":"O'Brart","given":"David P.","non-dropping-particle":"","parse-names":false,"suffix":""}],"container-title":"British Journal of Ophthalmology","id":"ITEM-1","issue":"5","issued":{"date-parts":[["2021"]]},"page":"631-638","title":"A randomised controlled trial comparing femtosecond laser-assisted cataract surgery versus conventional phacoemulsification surgery: 12-month results","type":"article-journal","volume":"105"},"uris":["http://www.mendeley.com/documents/?uuid=c1487f6f-53b4-45e9-9fde-310683ec926e"]}],"mendeley":{"formattedCitation":"[84]","plainTextFormattedCitation":"[84]","previouslyFormattedCitation":"[84]"},"properties":{"noteIndex":0},"schema":"https://github.com/citation-style-language/schema/raw/master/csl-citation.json"}</w:instrText>
            </w:r>
            <w:r w:rsidRPr="004873CC">
              <w:rPr>
                <w:rFonts w:ascii="Times New Roman" w:hAnsi="Times New Roman"/>
                <w:sz w:val="18"/>
                <w:szCs w:val="18"/>
              </w:rPr>
              <w:fldChar w:fldCharType="separate"/>
            </w:r>
            <w:r w:rsidRPr="000D1793">
              <w:rPr>
                <w:rFonts w:ascii="Times New Roman" w:hAnsi="Times New Roman"/>
                <w:noProof/>
                <w:sz w:val="18"/>
                <w:szCs w:val="18"/>
              </w:rPr>
              <w:t>[84]</w:t>
            </w:r>
            <w:r w:rsidRPr="004873CC">
              <w:rPr>
                <w:rFonts w:ascii="Times New Roman" w:hAnsi="Times New Roman"/>
                <w:sz w:val="18"/>
                <w:szCs w:val="18"/>
              </w:rPr>
              <w:fldChar w:fldCharType="end"/>
            </w:r>
          </w:p>
        </w:tc>
        <w:tc>
          <w:tcPr>
            <w:tcW w:w="64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2021</w:t>
            </w:r>
          </w:p>
        </w:tc>
        <w:tc>
          <w:tcPr>
            <w:tcW w:w="5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51</w:t>
            </w:r>
          </w:p>
        </w:tc>
        <w:tc>
          <w:tcPr>
            <w:tcW w:w="587" w:type="dxa"/>
            <w:tcBorders>
              <w:top w:val="nil"/>
              <w:left w:val="nil"/>
              <w:bottom w:val="nil"/>
              <w:right w:val="nil"/>
            </w:tcBorders>
            <w:shd w:val="clear" w:color="auto" w:fill="auto"/>
            <w:noWrap/>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AK</w:t>
            </w:r>
          </w:p>
        </w:tc>
        <w:tc>
          <w:tcPr>
            <w:tcW w:w="107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Manual</w:t>
            </w:r>
          </w:p>
        </w:tc>
        <w:tc>
          <w:tcPr>
            <w:tcW w:w="1028"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12</w:t>
            </w:r>
          </w:p>
        </w:tc>
        <w:tc>
          <w:tcPr>
            <w:tcW w:w="76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2,4</w:t>
            </w:r>
          </w:p>
        </w:tc>
        <w:tc>
          <w:tcPr>
            <w:tcW w:w="136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Pr>
                <w:rFonts w:eastAsia="Times New Roman" w:cs="Calibri"/>
                <w:color w:val="000000"/>
                <w:sz w:val="18"/>
                <w:szCs w:val="18"/>
                <w:lang w:val="es-ES" w:eastAsia="es-ES"/>
              </w:rPr>
              <w:t>Steepest</w:t>
            </w:r>
          </w:p>
        </w:tc>
        <w:tc>
          <w:tcPr>
            <w:tcW w:w="1795"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Donnenfeld</w:t>
            </w:r>
          </w:p>
        </w:tc>
        <w:tc>
          <w:tcPr>
            <w:tcW w:w="549"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1,48</w:t>
            </w:r>
          </w:p>
        </w:tc>
        <w:tc>
          <w:tcPr>
            <w:tcW w:w="732"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505"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15</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35</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56</w:t>
            </w:r>
          </w:p>
        </w:tc>
        <w:tc>
          <w:tcPr>
            <w:tcW w:w="52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72</w:t>
            </w:r>
          </w:p>
        </w:tc>
      </w:tr>
      <w:tr w:rsidR="005F7F09" w:rsidRPr="004873CC" w:rsidTr="00740F2C">
        <w:trPr>
          <w:trHeight w:val="288"/>
        </w:trPr>
        <w:tc>
          <w:tcPr>
            <w:tcW w:w="136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rPr>
                <w:rFonts w:eastAsia="Times New Roman" w:cs="Calibri"/>
                <w:color w:val="000000"/>
                <w:sz w:val="18"/>
                <w:szCs w:val="18"/>
                <w:lang w:val="es-ES" w:eastAsia="es-ES"/>
              </w:rPr>
            </w:pPr>
            <w:r w:rsidRPr="004873CC">
              <w:rPr>
                <w:rFonts w:eastAsia="Times New Roman" w:cs="Calibri"/>
                <w:color w:val="000000"/>
                <w:sz w:val="18"/>
                <w:szCs w:val="18"/>
                <w:lang w:val="es-ES" w:eastAsia="es-ES"/>
              </w:rPr>
              <w:t>Wendelstein</w:t>
            </w:r>
            <w:r w:rsidRPr="004873CC">
              <w:rPr>
                <w:rFonts w:ascii="Times New Roman" w:hAnsi="Times New Roman"/>
                <w:noProof/>
                <w:sz w:val="18"/>
                <w:szCs w:val="18"/>
              </w:rPr>
              <w:fldChar w:fldCharType="begin" w:fldLock="1"/>
            </w:r>
            <w:r>
              <w:rPr>
                <w:rFonts w:ascii="Times New Roman" w:hAnsi="Times New Roman"/>
                <w:noProof/>
                <w:sz w:val="18"/>
                <w:szCs w:val="18"/>
              </w:rPr>
              <w:instrText>ADDIN CSL_CITATION {"citationItems":[{"id":"ITEM-1","itemData":{"ISSN":"17553768","PMID":"33629542","abstract":"Purpose: Validating a new nomogram for low to moderate astigmatism (0.75 D to 2.5 D) correction with epithelium- and Bowman-penetrating femtosecond laser-assisted arcuate incisions. Methodology: Prospective, interventional case series at the Augen- und Laserklinik, Castrop-Rauxel, Germany. Cataract patients with low to moderate corneal astigmatism were treated with femtosecond laser-assisted arcuate incisions. Patients with previous refractive corneal treatment were excluded. Outcome assessment was based on manifest refraction, astigmatic vector analysis and visual acuity. Results: The study analysed 43 eyes of 33 patients after three months and 35 eyes of 27 patients after 12 months. After 12 months, 100% of all eyes treated had ≤1.0 D and 97% ≤0.5 D of subjective residual astigmatism. Mean residual astigmatism was 0.27 D. 90% of all eyes were within one line of difference between UDVA and CDVA. SEQ Mean Absolute Error was 0.26 D and SEQ. Mean error was −0.08 ± 0.32 D. CI was 0.98 ± 0.2 D, and Index of Success, 0.20 ± 0.18 D. Conclusion: The Castrop nomogram showed results that are comparable to or better than results presented in the literature for existing nomograms. Our results for astigmatic reduction are comparable to published results for TIOL implantation. It seems to be a predictable and safe measure to reduce manifest astigmatism.","author":[{"dropping-particle":"","family":"Wendelstein","given":"Jascha A.","non-dropping-particle":"","parse-names":false,"suffix":""},{"dropping-particle":"","family":"Hoffmann","given":"Peter C.","non-dropping-particle":"","parse-names":false,"suffix":""},{"dropping-particle":"","family":"Mariacher","given":"Siegfried","non-dropping-particle":"","parse-names":false,"suffix":""},{"dropping-particle":"","family":"Wingert","given":"Tina","non-dropping-particle":"","parse-names":false,"suffix":""},{"dropping-particle":"","family":"Hirnschall","given":"Nino","non-dropping-particle":"","parse-names":false,"suffix":""},{"dropping-particle":"","family":"Findl","given":"Oliver","non-dropping-particle":"","parse-names":false,"suffix":""},{"dropping-particle":"","family":"Bolz","given":"Matthias","non-dropping-particle":"","parse-names":false,"suffix":""}],"container-title":"Acta Ophthalmologica","id":"ITEM-1","issue":"8","issued":{"date-parts":[["2021"]]},"page":"e1297-e1306","title":"Precision and refractive predictability of a new nomogram for femtosecond laser-assisted corneal arcuate incisions","type":"article-journal","volume":"99"},"uris":["http://www.mendeley.com/documents/?uuid=e8af2b3c-c20c-4acf-bef7-aa3a67238233"]}],"mendeley":{"formattedCitation":"[12]","plainTextFormattedCitation":"[12]","previouslyFormattedCitation":"[12]"},"properties":{"noteIndex":0},"schema":"https://github.com/citation-style-language/schema/raw/master/csl-citation.json"}</w:instrText>
            </w:r>
            <w:r w:rsidRPr="004873CC">
              <w:rPr>
                <w:rFonts w:ascii="Times New Roman" w:hAnsi="Times New Roman"/>
                <w:noProof/>
                <w:sz w:val="18"/>
                <w:szCs w:val="18"/>
              </w:rPr>
              <w:fldChar w:fldCharType="separate"/>
            </w:r>
            <w:r w:rsidRPr="000D1793">
              <w:rPr>
                <w:rFonts w:ascii="Times New Roman" w:hAnsi="Times New Roman"/>
                <w:noProof/>
                <w:sz w:val="18"/>
                <w:szCs w:val="18"/>
              </w:rPr>
              <w:t>[12]</w:t>
            </w:r>
            <w:r w:rsidRPr="004873CC">
              <w:rPr>
                <w:rFonts w:ascii="Times New Roman" w:hAnsi="Times New Roman"/>
                <w:noProof/>
                <w:sz w:val="18"/>
                <w:szCs w:val="18"/>
              </w:rPr>
              <w:fldChar w:fldCharType="end"/>
            </w:r>
            <w:r w:rsidRPr="004873CC">
              <w:rPr>
                <w:rFonts w:eastAsia="Times New Roman" w:cs="Calibri"/>
                <w:color w:val="000000"/>
                <w:sz w:val="18"/>
                <w:szCs w:val="18"/>
                <w:lang w:val="es-ES" w:eastAsia="es-ES"/>
              </w:rPr>
              <w:t xml:space="preserve"> </w:t>
            </w:r>
          </w:p>
        </w:tc>
        <w:tc>
          <w:tcPr>
            <w:tcW w:w="64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2021</w:t>
            </w:r>
          </w:p>
        </w:tc>
        <w:tc>
          <w:tcPr>
            <w:tcW w:w="5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43</w:t>
            </w:r>
          </w:p>
        </w:tc>
        <w:tc>
          <w:tcPr>
            <w:tcW w:w="587" w:type="dxa"/>
            <w:tcBorders>
              <w:top w:val="nil"/>
              <w:left w:val="nil"/>
              <w:bottom w:val="nil"/>
              <w:right w:val="nil"/>
            </w:tcBorders>
            <w:shd w:val="clear" w:color="auto" w:fill="auto"/>
            <w:noWrap/>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AK</w:t>
            </w:r>
          </w:p>
        </w:tc>
        <w:tc>
          <w:tcPr>
            <w:tcW w:w="107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Victus</w:t>
            </w:r>
          </w:p>
        </w:tc>
        <w:tc>
          <w:tcPr>
            <w:tcW w:w="1028"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3</w:t>
            </w:r>
          </w:p>
        </w:tc>
        <w:tc>
          <w:tcPr>
            <w:tcW w:w="76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2,2</w:t>
            </w:r>
          </w:p>
        </w:tc>
        <w:tc>
          <w:tcPr>
            <w:tcW w:w="136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Temporal</w:t>
            </w:r>
          </w:p>
        </w:tc>
        <w:tc>
          <w:tcPr>
            <w:tcW w:w="1795"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Castrop</w:t>
            </w:r>
          </w:p>
        </w:tc>
        <w:tc>
          <w:tcPr>
            <w:tcW w:w="549"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1,45</w:t>
            </w:r>
          </w:p>
        </w:tc>
        <w:tc>
          <w:tcPr>
            <w:tcW w:w="732"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505"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60</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97</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99</w:t>
            </w:r>
          </w:p>
        </w:tc>
        <w:tc>
          <w:tcPr>
            <w:tcW w:w="52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100</w:t>
            </w:r>
          </w:p>
        </w:tc>
      </w:tr>
      <w:tr w:rsidR="005F7F09" w:rsidRPr="004873CC" w:rsidTr="00740F2C">
        <w:trPr>
          <w:trHeight w:val="288"/>
        </w:trPr>
        <w:tc>
          <w:tcPr>
            <w:tcW w:w="136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rPr>
                <w:rFonts w:eastAsia="Times New Roman" w:cs="Calibri"/>
                <w:color w:val="000000"/>
                <w:sz w:val="18"/>
                <w:szCs w:val="18"/>
                <w:lang w:val="es-ES" w:eastAsia="es-ES"/>
              </w:rPr>
            </w:pPr>
            <w:r w:rsidRPr="004873CC">
              <w:rPr>
                <w:rFonts w:eastAsia="Times New Roman" w:cs="Calibri"/>
                <w:color w:val="000000"/>
                <w:sz w:val="18"/>
                <w:szCs w:val="18"/>
                <w:lang w:val="es-ES" w:eastAsia="es-ES"/>
              </w:rPr>
              <w:t>Rani</w:t>
            </w:r>
            <w:r w:rsidRPr="004873CC">
              <w:rPr>
                <w:rFonts w:ascii="Times New Roman" w:hAnsi="Times New Roman"/>
                <w:noProof/>
                <w:sz w:val="18"/>
                <w:szCs w:val="18"/>
              </w:rPr>
              <w:fldChar w:fldCharType="begin" w:fldLock="1"/>
            </w:r>
            <w:r>
              <w:rPr>
                <w:rFonts w:ascii="Times New Roman" w:hAnsi="Times New Roman"/>
                <w:noProof/>
                <w:sz w:val="18"/>
                <w:szCs w:val="18"/>
              </w:rPr>
              <w:instrText>ADDIN CSL_CITATION {"citationItems":[{"id":"ITEM-1","itemData":{"ISSN":"1998-3689 (Electronic)","PMID":"32709778","abstract":"PURPOSE: To evaluate the astigmatism correcting effect of penetrating arcuate keratotomy (AK) done during femtosecond laser-assisted cataract surgery (FLACS). METHODS: In this nonrandomized prospective study, 80 eyes of 70 patients were studied. The study included patients who underwent combined FLACS and AK, with corneal astigmatism ranging from 0.4 to 1.5 diopters (D). Femtosecond laser-assisted penetrating arcuate keratotomies were created at 8 mm optical zone at 80% depth and were centered at the limbus. Keratometric astigmatism was measured prior to and 3 months post-surgery. Vector analysis was performed using Power vector analysis method. RESULTS: The mean preoperative keratometric astigmatism without accounting for axis was 0.85 ± 0.27 D, which reduced significantly to 0.47 ± 0.27 D at 3-month follow-up. The mean astigmatism correction attained without accounting for axis was 0.38 ± 0.32 D. The vector corrected mean preoperative astigmatism was 0.85 ± 0.27 D which reduced significantly to 0.50 ± 0.31 D postoperatively (P &lt; 0.001, 95% CI). Vector corrected mean astigmatism correction attained was 0.35 ± 0.38 D. There were no significant intraoperative or postoperative complications. CONCLUSION: Preexisting astigmatism can be tackled effectively with penetrating AK during FLACS although under correction is observed with present nomograms. Further refinements may achieve better correction.","author":[{"dropping-particle":"","family":"Rani","given":"Kirti","non-dropping-particle":"","parse-names":false,"suffix":""},{"dropping-particle":"","family":"Grover","given":"Ashok K","non-dropping-particle":"","parse-names":false,"suffix":""},{"dropping-particle":"","family":"Singh","given":"Ashutosh K","non-dropping-particle":"","parse-names":false,"suffix":""},{"dropping-particle":"","family":"Grover","given":"Tushar","non-dropping-particle":"","parse-names":false,"suffix":""},{"dropping-particle":"","family":"Garg","given":"S P","non-dropping-particle":"","parse-names":false,"suffix":""}],"container-title":"Indian journal of ophthalmology","id":"ITEM-1","issue":"8","issued":{"date-parts":[["2020","8"]]},"language":"eng","page":"1569-1572","title":"Correction of preexisting astigmatism by penetrating arcuate keratotomy in femtosecond laser-assisted cataract surgery.","type":"article-journal","volume":"68"},"uris":["http://www.mendeley.com/documents/?uuid=7c9d2828-94f1-46cf-9dc3-2d3222af71d6"]}],"mendeley":{"formattedCitation":"[82]","plainTextFormattedCitation":"[82]","previouslyFormattedCitation":"[82]"},"properties":{"noteIndex":0},"schema":"https://github.com/citation-style-language/schema/raw/master/csl-citation.json"}</w:instrText>
            </w:r>
            <w:r w:rsidRPr="004873CC">
              <w:rPr>
                <w:rFonts w:ascii="Times New Roman" w:hAnsi="Times New Roman"/>
                <w:noProof/>
                <w:sz w:val="18"/>
                <w:szCs w:val="18"/>
              </w:rPr>
              <w:fldChar w:fldCharType="separate"/>
            </w:r>
            <w:r w:rsidRPr="000D1793">
              <w:rPr>
                <w:rFonts w:ascii="Times New Roman" w:hAnsi="Times New Roman"/>
                <w:noProof/>
                <w:sz w:val="18"/>
                <w:szCs w:val="18"/>
              </w:rPr>
              <w:t>[82]</w:t>
            </w:r>
            <w:r w:rsidRPr="004873CC">
              <w:rPr>
                <w:rFonts w:ascii="Times New Roman" w:hAnsi="Times New Roman"/>
                <w:noProof/>
                <w:sz w:val="18"/>
                <w:szCs w:val="18"/>
              </w:rPr>
              <w:fldChar w:fldCharType="end"/>
            </w:r>
          </w:p>
        </w:tc>
        <w:tc>
          <w:tcPr>
            <w:tcW w:w="64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2020</w:t>
            </w:r>
          </w:p>
        </w:tc>
        <w:tc>
          <w:tcPr>
            <w:tcW w:w="5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80</w:t>
            </w:r>
          </w:p>
        </w:tc>
        <w:tc>
          <w:tcPr>
            <w:tcW w:w="587" w:type="dxa"/>
            <w:tcBorders>
              <w:top w:val="nil"/>
              <w:left w:val="nil"/>
              <w:bottom w:val="nil"/>
              <w:right w:val="nil"/>
            </w:tcBorders>
            <w:shd w:val="clear" w:color="auto" w:fill="auto"/>
            <w:noWrap/>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AK</w:t>
            </w:r>
          </w:p>
        </w:tc>
        <w:tc>
          <w:tcPr>
            <w:tcW w:w="107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Catalys</w:t>
            </w:r>
          </w:p>
        </w:tc>
        <w:tc>
          <w:tcPr>
            <w:tcW w:w="1028"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3</w:t>
            </w:r>
          </w:p>
        </w:tc>
        <w:tc>
          <w:tcPr>
            <w:tcW w:w="76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136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1795"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Donnenfeld Modified</w:t>
            </w:r>
          </w:p>
        </w:tc>
        <w:tc>
          <w:tcPr>
            <w:tcW w:w="549"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0,85</w:t>
            </w:r>
          </w:p>
        </w:tc>
        <w:tc>
          <w:tcPr>
            <w:tcW w:w="732"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69</w:t>
            </w:r>
          </w:p>
        </w:tc>
        <w:tc>
          <w:tcPr>
            <w:tcW w:w="7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505"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95</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52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r>
      <w:tr w:rsidR="005F7F09" w:rsidRPr="004873CC" w:rsidTr="00740F2C">
        <w:trPr>
          <w:trHeight w:val="288"/>
        </w:trPr>
        <w:tc>
          <w:tcPr>
            <w:tcW w:w="136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rPr>
                <w:rFonts w:eastAsia="Times New Roman" w:cs="Calibri"/>
                <w:color w:val="000000"/>
                <w:sz w:val="18"/>
                <w:szCs w:val="18"/>
                <w:lang w:val="es-ES" w:eastAsia="es-ES"/>
              </w:rPr>
            </w:pPr>
            <w:r w:rsidRPr="004873CC">
              <w:rPr>
                <w:rFonts w:eastAsia="Times New Roman" w:cs="Calibri"/>
                <w:color w:val="000000"/>
                <w:sz w:val="18"/>
                <w:szCs w:val="18"/>
                <w:lang w:val="es-ES" w:eastAsia="es-ES"/>
              </w:rPr>
              <w:t>Visco</w:t>
            </w:r>
            <w:r w:rsidRPr="004873CC">
              <w:rPr>
                <w:rFonts w:ascii="Times New Roman" w:hAnsi="Times New Roman"/>
                <w:noProof/>
                <w:sz w:val="18"/>
                <w:szCs w:val="18"/>
              </w:rPr>
              <w:fldChar w:fldCharType="begin" w:fldLock="1"/>
            </w:r>
            <w:r>
              <w:rPr>
                <w:rFonts w:ascii="Times New Roman" w:hAnsi="Times New Roman"/>
                <w:noProof/>
                <w:sz w:val="18"/>
                <w:szCs w:val="18"/>
              </w:rPr>
              <w:instrText>ADDIN CSL_CITATION {"citationItems":[{"id":"ITEM-1","itemData":{"ISSN":"18734502","PMID":"31856987","abstract":"Purpose: To evaluate the outcomes of femtosecond laser–assisted arcuate keratotomy combined with cataract surgery in eyes with low-to-moderate corneal astigmatism. Setting: Eyes of York Private Practice Ophthalmology Clinic, York, Pennsylvania, USA. Design: Retrospective case series. Methods: This retrospective analysis included case records of patients with preexisting corneal astigmatism ranging from 0.5 to 2.0 diopter (D). Study parameters included corneal astigmatism, refractive astigmatism, and uncorrected (UDVA) and corrected (CDVA) distance visual acuities. The results, which were analyzed at 3 months postoperatively, included frequency distribution histograms, vector analysis, and single-angle polar plots. Results: The study comprised case records of 189 eyes of 143 patients (56 men and 87 women). The postoperative refractive astigmatism was reduced significantly compared with preoperative corneal astigmatism to 0.14 D ± 0.23 (SD) from 0.92 ± 0.34 D (P &lt; .001). One hundred eighty-one eyes (95.8%) demonstrated postoperative refractive astigmatism of 0.5 D or less. The mean surgically induced change along the preoperative steep axis was −0.59 ± 0.56 D, and the change along the orthogonal axis was 0.01 ± 0.35 D. Postoperatively, 171 eyes (90.5%) had astigmatism angle of error of 15 degrees or less. The postoperative mean UDVA and CDVA were 0.09 ± 0.16 logarithm of the minimum angle of resolution (logMAR) and 0.02 ± 0.05 logMAR, respectively. One hundred seventy eyes (90%) had a postoperative UDVA of 20/30 or better. The results demonstrated stability at 12 months postoperatively. No intraoperative or postoperative arcuate keratotomy-related events were observed. Conclusion: The results suggest that femtosecond laser–assisted arcuate keratotomy represents a safe and effective method for astigmatism correction at the time of cataract surgery with demonstrated stability of correction for at least 1 year postoperatively.","author":[{"dropping-particle":"","family":"Visco","given":"Denise M.","non-dropping-particle":"","parse-names":false,"suffix":""},{"dropping-particle":"","family":"Bedi","given":"Raman","non-dropping-particle":"","parse-names":false,"suffix":""},{"dropping-particle":"","family":"Packer","given":"Mark","non-dropping-particle":"","parse-names":false,"suffix":""}],"container-title":"Journal of Cataract and Refractive Surgery","id":"ITEM-1","issue":"12","issued":{"date-parts":[["2019"]]},"page":"1762-1769","publisher":"The Authors","title":"Femtosecond laser–assisted arcuate keratotomy at the time of cataract surgery for the management of preexisting astigmatism","type":"article-journal","volume":"45"},"uris":["http://www.mendeley.com/documents/?uuid=b2016729-ed63-45dd-a163-50065b278678"]}],"mendeley":{"formattedCitation":"[75]","plainTextFormattedCitation":"[75]","previouslyFormattedCitation":"[75]"},"properties":{"noteIndex":0},"schema":"https://github.com/citation-style-language/schema/raw/master/csl-citation.json"}</w:instrText>
            </w:r>
            <w:r w:rsidRPr="004873CC">
              <w:rPr>
                <w:rFonts w:ascii="Times New Roman" w:hAnsi="Times New Roman"/>
                <w:noProof/>
                <w:sz w:val="18"/>
                <w:szCs w:val="18"/>
              </w:rPr>
              <w:fldChar w:fldCharType="separate"/>
            </w:r>
            <w:r w:rsidRPr="000D1793">
              <w:rPr>
                <w:rFonts w:ascii="Times New Roman" w:hAnsi="Times New Roman"/>
                <w:noProof/>
                <w:sz w:val="18"/>
                <w:szCs w:val="18"/>
              </w:rPr>
              <w:t>[75]</w:t>
            </w:r>
            <w:r w:rsidRPr="004873CC">
              <w:rPr>
                <w:rFonts w:ascii="Times New Roman" w:hAnsi="Times New Roman"/>
                <w:noProof/>
                <w:sz w:val="18"/>
                <w:szCs w:val="18"/>
              </w:rPr>
              <w:fldChar w:fldCharType="end"/>
            </w:r>
          </w:p>
        </w:tc>
        <w:tc>
          <w:tcPr>
            <w:tcW w:w="64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2019</w:t>
            </w:r>
          </w:p>
        </w:tc>
        <w:tc>
          <w:tcPr>
            <w:tcW w:w="5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189</w:t>
            </w:r>
          </w:p>
        </w:tc>
        <w:tc>
          <w:tcPr>
            <w:tcW w:w="587" w:type="dxa"/>
            <w:tcBorders>
              <w:top w:val="nil"/>
              <w:left w:val="nil"/>
              <w:bottom w:val="nil"/>
              <w:right w:val="nil"/>
            </w:tcBorders>
            <w:shd w:val="clear" w:color="auto" w:fill="auto"/>
            <w:noWrap/>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AK</w:t>
            </w:r>
          </w:p>
        </w:tc>
        <w:tc>
          <w:tcPr>
            <w:tcW w:w="107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Lensar</w:t>
            </w:r>
          </w:p>
        </w:tc>
        <w:tc>
          <w:tcPr>
            <w:tcW w:w="1028"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3</w:t>
            </w:r>
          </w:p>
        </w:tc>
        <w:tc>
          <w:tcPr>
            <w:tcW w:w="76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136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1795"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Paired</w:t>
            </w:r>
          </w:p>
        </w:tc>
        <w:tc>
          <w:tcPr>
            <w:tcW w:w="549"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0,92</w:t>
            </w:r>
          </w:p>
        </w:tc>
        <w:tc>
          <w:tcPr>
            <w:tcW w:w="732"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505"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80</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96</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100</w:t>
            </w:r>
          </w:p>
        </w:tc>
        <w:tc>
          <w:tcPr>
            <w:tcW w:w="52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100</w:t>
            </w:r>
          </w:p>
        </w:tc>
      </w:tr>
      <w:tr w:rsidR="005F7F09" w:rsidRPr="004873CC" w:rsidTr="00740F2C">
        <w:trPr>
          <w:trHeight w:val="288"/>
        </w:trPr>
        <w:tc>
          <w:tcPr>
            <w:tcW w:w="136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rPr>
                <w:rFonts w:eastAsia="Times New Roman" w:cs="Calibri"/>
                <w:color w:val="000000"/>
                <w:sz w:val="18"/>
                <w:szCs w:val="18"/>
                <w:lang w:val="es-ES" w:eastAsia="es-ES"/>
              </w:rPr>
            </w:pPr>
            <w:r w:rsidRPr="004873CC">
              <w:rPr>
                <w:rFonts w:eastAsia="Times New Roman" w:cs="Calibri"/>
                <w:color w:val="000000"/>
                <w:sz w:val="18"/>
                <w:szCs w:val="18"/>
                <w:lang w:val="es-ES" w:eastAsia="es-ES"/>
              </w:rPr>
              <w:t>Ganesh</w:t>
            </w:r>
            <w:r w:rsidRPr="004873CC">
              <w:rPr>
                <w:rFonts w:ascii="Times New Roman" w:hAnsi="Times New Roman"/>
                <w:noProof/>
                <w:sz w:val="18"/>
                <w:szCs w:val="18"/>
              </w:rPr>
              <w:fldChar w:fldCharType="begin" w:fldLock="1"/>
            </w:r>
            <w:r>
              <w:rPr>
                <w:rFonts w:ascii="Times New Roman" w:hAnsi="Times New Roman"/>
                <w:noProof/>
                <w:sz w:val="18"/>
                <w:szCs w:val="18"/>
              </w:rPr>
              <w:instrText>ADDIN CSL_CITATION {"citationItems":[{"id":"ITEM-1","itemData":{"ISBN":"0000000000000","ISSN":"18734502","PMID":"32050207","abstract":"Purpose:To compare the safety, efficacy, and predictability of femtosecond laser-enabled anterior penetrating and intrastromal arcuate incisions for the correction of preoperative astigmatism at the time of cataract surgery.Setting:Nethradhama Super Speciality Eye Hospital, Bangalore, India.Design:Prospective randomized comparison study.Methods:This study included 50 eyes of 50 patients who had femtosecond laser-assisted cataract surgery with the CATALYS Precision System (Johnson &amp; Johnson Vision Care, Inc.). Twenty-five eyes received anterior penetrating and 25 eyes received intrastromal arcuate incisions for the correction of corneal astigmatism in the range of 0.75 to 2.00 diopters (D). Six months postoperatively, vector analysis of astigmatism was performed using the Alpins method with the ASSORT software.Results:The mean preoperative keratometric astigmatism and target-induced astigmatism were 1.07 D and 1.16 D in the anterior penetrating group and 1.23 D and 1.50 D in the intrastromal group, respectively. There was no statistically significant difference between the postoperative keratometric astigmatism (anterior penetrating = 0.65, intrastromal = 0.90, P value =.13) and surgically induced astigmatism (anterior penetrating = 1.23, intrastromal = 1.08, P value =.55) at 6 months postoperatively. The correction index was 0.95 in the anterior penetrating group and 0.55 in the intrastromal group, signifying an undercorrection of 5% and 45% of eyes in the anterior penetrating and intrastromal group, respectively. Eighty percent of eyes in the anterior penetrating group and 72% of eyes in the intrastromal group were within ±0.5 D of refractive astigmatism.Conclusions:Both anterior penetrating and intrastromal incisions were effective in reducing preoperative astigmatism using the femtosecond laser technology. However, the anterior penetrating incisions showed comparatively better correction, whereas the intrastromal incisions resulted in significant undercorrection at 6 months.","author":[{"dropping-particle":"","family":"Ganesh","given":"Sri","non-dropping-particle":"","parse-names":false,"suffix":""},{"dropping-particle":"","family":"Brar","given":"Sheetal","non-dropping-particle":"","parse-names":false,"suffix":""},{"dropping-particle":"","family":"Reddy Arra","given":"Raghavender","non-dropping-particle":"","parse-names":false,"suffix":""}],"container-title":"Journal of Cataract and Refractive Surgery","id":"ITEM-1","issue":"3","issued":{"date-parts":[["2020"]]},"page":"394-402","title":"Comparison of astigmatism correction between anterior penetrating and intrastromal arcuate incisions in eyes undergoing femtosecond laser-assisted cataract surgery","type":"article-journal","volume":"46"},"uris":["http://www.mendeley.com/documents/?uuid=1c9b5f13-833a-46b3-8edd-16cc975cd762"]}],"mendeley":{"formattedCitation":"[81]","plainTextFormattedCitation":"[81]","previouslyFormattedCitation":"[81]"},"properties":{"noteIndex":0},"schema":"https://github.com/citation-style-language/schema/raw/master/csl-citation.json"}</w:instrText>
            </w:r>
            <w:r w:rsidRPr="004873CC">
              <w:rPr>
                <w:rFonts w:ascii="Times New Roman" w:hAnsi="Times New Roman"/>
                <w:noProof/>
                <w:sz w:val="18"/>
                <w:szCs w:val="18"/>
              </w:rPr>
              <w:fldChar w:fldCharType="separate"/>
            </w:r>
            <w:r w:rsidRPr="000D1793">
              <w:rPr>
                <w:rFonts w:ascii="Times New Roman" w:hAnsi="Times New Roman"/>
                <w:noProof/>
                <w:sz w:val="18"/>
                <w:szCs w:val="18"/>
              </w:rPr>
              <w:t>[81]</w:t>
            </w:r>
            <w:r w:rsidRPr="004873CC">
              <w:rPr>
                <w:rFonts w:ascii="Times New Roman" w:hAnsi="Times New Roman"/>
                <w:noProof/>
                <w:sz w:val="18"/>
                <w:szCs w:val="18"/>
              </w:rPr>
              <w:fldChar w:fldCharType="end"/>
            </w:r>
          </w:p>
        </w:tc>
        <w:tc>
          <w:tcPr>
            <w:tcW w:w="64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2020</w:t>
            </w:r>
          </w:p>
        </w:tc>
        <w:tc>
          <w:tcPr>
            <w:tcW w:w="5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25</w:t>
            </w:r>
          </w:p>
        </w:tc>
        <w:tc>
          <w:tcPr>
            <w:tcW w:w="587" w:type="dxa"/>
            <w:tcBorders>
              <w:top w:val="nil"/>
              <w:left w:val="nil"/>
              <w:bottom w:val="nil"/>
              <w:right w:val="nil"/>
            </w:tcBorders>
            <w:shd w:val="clear" w:color="auto" w:fill="auto"/>
            <w:noWrap/>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AK</w:t>
            </w:r>
          </w:p>
        </w:tc>
        <w:tc>
          <w:tcPr>
            <w:tcW w:w="107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Catalys</w:t>
            </w:r>
          </w:p>
        </w:tc>
        <w:tc>
          <w:tcPr>
            <w:tcW w:w="1028"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6</w:t>
            </w:r>
          </w:p>
        </w:tc>
        <w:tc>
          <w:tcPr>
            <w:tcW w:w="76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2,8</w:t>
            </w:r>
          </w:p>
        </w:tc>
        <w:tc>
          <w:tcPr>
            <w:tcW w:w="136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Temporal</w:t>
            </w:r>
          </w:p>
        </w:tc>
        <w:tc>
          <w:tcPr>
            <w:tcW w:w="1795"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Donnenfeld</w:t>
            </w:r>
          </w:p>
        </w:tc>
        <w:tc>
          <w:tcPr>
            <w:tcW w:w="549"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1,07</w:t>
            </w:r>
          </w:p>
        </w:tc>
        <w:tc>
          <w:tcPr>
            <w:tcW w:w="732"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505"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56</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80</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92</w:t>
            </w:r>
          </w:p>
        </w:tc>
        <w:tc>
          <w:tcPr>
            <w:tcW w:w="52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100</w:t>
            </w:r>
          </w:p>
        </w:tc>
      </w:tr>
      <w:tr w:rsidR="005F7F09" w:rsidRPr="004873CC" w:rsidTr="00740F2C">
        <w:trPr>
          <w:trHeight w:val="288"/>
        </w:trPr>
        <w:tc>
          <w:tcPr>
            <w:tcW w:w="136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rPr>
                <w:rFonts w:eastAsia="Times New Roman" w:cs="Calibri"/>
                <w:color w:val="000000"/>
                <w:sz w:val="18"/>
                <w:szCs w:val="18"/>
                <w:lang w:val="es-ES" w:eastAsia="es-ES"/>
              </w:rPr>
            </w:pPr>
            <w:r w:rsidRPr="004873CC">
              <w:rPr>
                <w:rFonts w:eastAsia="Times New Roman" w:cs="Calibri"/>
                <w:color w:val="000000"/>
                <w:sz w:val="18"/>
                <w:szCs w:val="18"/>
                <w:lang w:val="es-ES" w:eastAsia="es-ES"/>
              </w:rPr>
              <w:t>Wang</w:t>
            </w:r>
            <w:r w:rsidRPr="004873CC">
              <w:rPr>
                <w:rFonts w:ascii="Times New Roman" w:hAnsi="Times New Roman"/>
                <w:noProof/>
                <w:sz w:val="18"/>
                <w:szCs w:val="18"/>
              </w:rPr>
              <w:fldChar w:fldCharType="begin" w:fldLock="1"/>
            </w:r>
            <w:r>
              <w:rPr>
                <w:rFonts w:ascii="Times New Roman" w:hAnsi="Times New Roman"/>
                <w:noProof/>
                <w:sz w:val="18"/>
                <w:szCs w:val="18"/>
              </w:rPr>
              <w:instrText>ADDIN CSL_CITATION {"citationItems":[{"id":"ITEM-1","itemData":{"ISBN":"0000000000000","ISSN":"0886-3350","author":[{"dropping-particle":"","family":"Wang","given":"Li","non-dropping-particle":"","parse-names":false,"suffix":""},{"dropping-particle":"","family":"Scott","given":"Wendell","non-dropping-particle":"","parse-names":false,"suffix":""},{"dropping-particle":"","family":"Montes de Oca","given":"Ildamaris","non-dropping-particle":"","parse-names":false,"suffix":""},{"dropping-particle":"","family":"Koch","given":"Douglas D.","non-dropping-particle":"","parse-names":false,"suffix":""},{"dropping-particle":"","family":"Tauber","given":"Shachar","non-dropping-particle":"","parse-names":false,"suffix":""},{"dropping-particle":"","family":"Al-Mohtaseb","given":"Zaina","non-dropping-particle":"","parse-names":false,"suffix":""}],"container-title":"Journal of Cataract and Refractive Surgery","id":"ITEM-1","issue":"9","issued":{"date-parts":[["2022","9"]]},"page":"1063-1072","title":"Outcome of astigmatism correction using femtosecond laser combined with cataract surgery: penetrating vs intrastromal incisions","type":"article-journal","volume":"48"},"uris":["http://www.mendeley.com/documents/?uuid=bbf1e49f-8fb0-4bf4-a20e-2ce412ae6667"]}],"mendeley":{"formattedCitation":"[76]","plainTextFormattedCitation":"[76]","previouslyFormattedCitation":"[76]"},"properties":{"noteIndex":0},"schema":"https://github.com/citation-style-language/schema/raw/master/csl-citation.json"}</w:instrText>
            </w:r>
            <w:r w:rsidRPr="004873CC">
              <w:rPr>
                <w:rFonts w:ascii="Times New Roman" w:hAnsi="Times New Roman"/>
                <w:noProof/>
                <w:sz w:val="18"/>
                <w:szCs w:val="18"/>
              </w:rPr>
              <w:fldChar w:fldCharType="separate"/>
            </w:r>
            <w:r w:rsidRPr="000D1793">
              <w:rPr>
                <w:rFonts w:ascii="Times New Roman" w:hAnsi="Times New Roman"/>
                <w:noProof/>
                <w:sz w:val="18"/>
                <w:szCs w:val="18"/>
              </w:rPr>
              <w:t>[76]</w:t>
            </w:r>
            <w:r w:rsidRPr="004873CC">
              <w:rPr>
                <w:rFonts w:ascii="Times New Roman" w:hAnsi="Times New Roman"/>
                <w:noProof/>
                <w:sz w:val="18"/>
                <w:szCs w:val="18"/>
              </w:rPr>
              <w:fldChar w:fldCharType="end"/>
            </w:r>
          </w:p>
        </w:tc>
        <w:tc>
          <w:tcPr>
            <w:tcW w:w="64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2022</w:t>
            </w:r>
          </w:p>
        </w:tc>
        <w:tc>
          <w:tcPr>
            <w:tcW w:w="5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78</w:t>
            </w:r>
          </w:p>
        </w:tc>
        <w:tc>
          <w:tcPr>
            <w:tcW w:w="587" w:type="dxa"/>
            <w:tcBorders>
              <w:top w:val="nil"/>
              <w:left w:val="nil"/>
              <w:bottom w:val="nil"/>
              <w:right w:val="nil"/>
            </w:tcBorders>
            <w:shd w:val="clear" w:color="auto" w:fill="auto"/>
            <w:noWrap/>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AK</w:t>
            </w:r>
          </w:p>
        </w:tc>
        <w:tc>
          <w:tcPr>
            <w:tcW w:w="107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Catalys</w:t>
            </w:r>
          </w:p>
        </w:tc>
        <w:tc>
          <w:tcPr>
            <w:tcW w:w="1028"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1</w:t>
            </w:r>
          </w:p>
        </w:tc>
        <w:tc>
          <w:tcPr>
            <w:tcW w:w="76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2,4</w:t>
            </w:r>
          </w:p>
        </w:tc>
        <w:tc>
          <w:tcPr>
            <w:tcW w:w="136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Temporal</w:t>
            </w:r>
          </w:p>
        </w:tc>
        <w:tc>
          <w:tcPr>
            <w:tcW w:w="1795"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Paired 8 mm</w:t>
            </w:r>
          </w:p>
        </w:tc>
        <w:tc>
          <w:tcPr>
            <w:tcW w:w="549"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0,97</w:t>
            </w:r>
          </w:p>
        </w:tc>
        <w:tc>
          <w:tcPr>
            <w:tcW w:w="732"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1</w:t>
            </w:r>
          </w:p>
        </w:tc>
        <w:tc>
          <w:tcPr>
            <w:tcW w:w="7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10</w:t>
            </w:r>
          </w:p>
        </w:tc>
        <w:tc>
          <w:tcPr>
            <w:tcW w:w="7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19</w:t>
            </w:r>
          </w:p>
        </w:tc>
        <w:tc>
          <w:tcPr>
            <w:tcW w:w="505"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58</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63</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78</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91</w:t>
            </w:r>
          </w:p>
        </w:tc>
        <w:tc>
          <w:tcPr>
            <w:tcW w:w="52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95</w:t>
            </w:r>
          </w:p>
        </w:tc>
      </w:tr>
      <w:tr w:rsidR="005F7F09" w:rsidRPr="004873CC" w:rsidTr="00740F2C">
        <w:trPr>
          <w:trHeight w:val="288"/>
        </w:trPr>
        <w:tc>
          <w:tcPr>
            <w:tcW w:w="136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rPr>
                <w:rFonts w:eastAsia="Times New Roman" w:cs="Calibri"/>
                <w:color w:val="000000"/>
                <w:sz w:val="18"/>
                <w:szCs w:val="18"/>
                <w:lang w:val="es-ES" w:eastAsia="es-ES"/>
              </w:rPr>
            </w:pPr>
            <w:r w:rsidRPr="004873CC">
              <w:rPr>
                <w:rFonts w:eastAsia="Times New Roman" w:cs="Calibri"/>
                <w:color w:val="000000"/>
                <w:sz w:val="18"/>
                <w:szCs w:val="18"/>
                <w:lang w:val="es-ES" w:eastAsia="es-ES"/>
              </w:rPr>
              <w:t>Wang</w:t>
            </w:r>
            <w:r w:rsidRPr="004873CC">
              <w:rPr>
                <w:rFonts w:ascii="Times New Roman" w:hAnsi="Times New Roman"/>
                <w:noProof/>
                <w:sz w:val="18"/>
                <w:szCs w:val="18"/>
              </w:rPr>
              <w:fldChar w:fldCharType="begin" w:fldLock="1"/>
            </w:r>
            <w:r>
              <w:rPr>
                <w:rFonts w:ascii="Times New Roman" w:hAnsi="Times New Roman"/>
                <w:noProof/>
                <w:sz w:val="18"/>
                <w:szCs w:val="18"/>
              </w:rPr>
              <w:instrText>ADDIN CSL_CITATION {"citationItems":[{"id":"ITEM-1","itemData":{"ISBN":"0000000000000","ISSN":"0886-3350","author":[{"dropping-particle":"","family":"Wang","given":"Li","non-dropping-particle":"","parse-names":false,"suffix":""},{"dropping-particle":"","family":"Scott","given":"Wendell","non-dropping-particle":"","parse-names":false,"suffix":""},{"dropping-particle":"","family":"Montes de Oca","given":"Ildamaris","non-dropping-particle":"","parse-names":false,"suffix":""},{"dropping-particle":"","family":"Koch","given":"Douglas D.","non-dropping-particle":"","parse-names":false,"suffix":""},{"dropping-particle":"","family":"Tauber","given":"Shachar","non-dropping-particle":"","parse-names":false,"suffix":""},{"dropping-particle":"","family":"Al-Mohtaseb","given":"Zaina","non-dropping-particle":"","parse-names":false,"suffix":""}],"container-title":"Journal of Cataract and Refractive Surgery","id":"ITEM-1","issue":"9","issued":{"date-parts":[["2022","9"]]},"page":"1063-1072","title":"Outcome of astigmatism correction using femtosecond laser combined with cataract surgery: penetrating vs intrastromal incisions","type":"article-journal","volume":"48"},"uris":["http://www.mendeley.com/documents/?uuid=bbf1e49f-8fb0-4bf4-a20e-2ce412ae6667"]}],"mendeley":{"formattedCitation":"[76]","plainTextFormattedCitation":"[76]","previouslyFormattedCitation":"[76]"},"properties":{"noteIndex":0},"schema":"https://github.com/citation-style-language/schema/raw/master/csl-citation.json"}</w:instrText>
            </w:r>
            <w:r w:rsidRPr="004873CC">
              <w:rPr>
                <w:rFonts w:ascii="Times New Roman" w:hAnsi="Times New Roman"/>
                <w:noProof/>
                <w:sz w:val="18"/>
                <w:szCs w:val="18"/>
              </w:rPr>
              <w:fldChar w:fldCharType="separate"/>
            </w:r>
            <w:r w:rsidRPr="000D1793">
              <w:rPr>
                <w:rFonts w:ascii="Times New Roman" w:hAnsi="Times New Roman"/>
                <w:noProof/>
                <w:sz w:val="18"/>
                <w:szCs w:val="18"/>
              </w:rPr>
              <w:t>[76]</w:t>
            </w:r>
            <w:r w:rsidRPr="004873CC">
              <w:rPr>
                <w:rFonts w:ascii="Times New Roman" w:hAnsi="Times New Roman"/>
                <w:noProof/>
                <w:sz w:val="18"/>
                <w:szCs w:val="18"/>
              </w:rPr>
              <w:fldChar w:fldCharType="end"/>
            </w:r>
          </w:p>
        </w:tc>
        <w:tc>
          <w:tcPr>
            <w:tcW w:w="64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2022</w:t>
            </w:r>
          </w:p>
        </w:tc>
        <w:tc>
          <w:tcPr>
            <w:tcW w:w="5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45</w:t>
            </w:r>
          </w:p>
        </w:tc>
        <w:tc>
          <w:tcPr>
            <w:tcW w:w="587" w:type="dxa"/>
            <w:tcBorders>
              <w:top w:val="nil"/>
              <w:left w:val="nil"/>
              <w:bottom w:val="nil"/>
              <w:right w:val="nil"/>
            </w:tcBorders>
            <w:shd w:val="clear" w:color="auto" w:fill="auto"/>
            <w:noWrap/>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AK</w:t>
            </w:r>
          </w:p>
        </w:tc>
        <w:tc>
          <w:tcPr>
            <w:tcW w:w="107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Catalys</w:t>
            </w:r>
          </w:p>
        </w:tc>
        <w:tc>
          <w:tcPr>
            <w:tcW w:w="1028"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1</w:t>
            </w:r>
          </w:p>
        </w:tc>
        <w:tc>
          <w:tcPr>
            <w:tcW w:w="76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2,4</w:t>
            </w:r>
          </w:p>
        </w:tc>
        <w:tc>
          <w:tcPr>
            <w:tcW w:w="136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Temporal</w:t>
            </w:r>
          </w:p>
        </w:tc>
        <w:tc>
          <w:tcPr>
            <w:tcW w:w="1795"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Paired 9 mm</w:t>
            </w:r>
          </w:p>
        </w:tc>
        <w:tc>
          <w:tcPr>
            <w:tcW w:w="549"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1,04</w:t>
            </w:r>
          </w:p>
        </w:tc>
        <w:tc>
          <w:tcPr>
            <w:tcW w:w="732"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2</w:t>
            </w:r>
          </w:p>
        </w:tc>
        <w:tc>
          <w:tcPr>
            <w:tcW w:w="7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18</w:t>
            </w:r>
          </w:p>
        </w:tc>
        <w:tc>
          <w:tcPr>
            <w:tcW w:w="7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24</w:t>
            </w:r>
          </w:p>
        </w:tc>
        <w:tc>
          <w:tcPr>
            <w:tcW w:w="505"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49</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58</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93</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98</w:t>
            </w:r>
          </w:p>
        </w:tc>
        <w:tc>
          <w:tcPr>
            <w:tcW w:w="52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100</w:t>
            </w:r>
          </w:p>
        </w:tc>
      </w:tr>
      <w:tr w:rsidR="005F7F09" w:rsidRPr="004873CC" w:rsidTr="00740F2C">
        <w:trPr>
          <w:trHeight w:val="288"/>
        </w:trPr>
        <w:tc>
          <w:tcPr>
            <w:tcW w:w="136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rPr>
                <w:rFonts w:eastAsia="Times New Roman" w:cs="Calibri"/>
                <w:color w:val="000000"/>
                <w:sz w:val="18"/>
                <w:szCs w:val="18"/>
                <w:lang w:val="es-ES" w:eastAsia="es-ES"/>
              </w:rPr>
            </w:pPr>
            <w:r w:rsidRPr="004873CC">
              <w:rPr>
                <w:rFonts w:eastAsia="Times New Roman" w:cs="Calibri"/>
                <w:color w:val="000000"/>
                <w:sz w:val="18"/>
                <w:szCs w:val="18"/>
                <w:lang w:val="es-ES" w:eastAsia="es-ES"/>
              </w:rPr>
              <w:t>Eliwa</w:t>
            </w:r>
            <w:r w:rsidRPr="004873CC">
              <w:rPr>
                <w:rFonts w:ascii="Times New Roman" w:hAnsi="Times New Roman"/>
                <w:sz w:val="18"/>
                <w:szCs w:val="18"/>
              </w:rPr>
              <w:fldChar w:fldCharType="begin" w:fldLock="1"/>
            </w:r>
            <w:r>
              <w:rPr>
                <w:rFonts w:ascii="Times New Roman" w:hAnsi="Times New Roman"/>
                <w:sz w:val="18"/>
                <w:szCs w:val="18"/>
              </w:rPr>
              <w:instrText>ADDIN CSL_CITATION {"citationItems":[{"id":"ITEM-1","itemData":{"ISBN":"2016012102","ISSN":"19382391","PMID":"27027622","abstract":"PURPOSE: To study the effect of limbal relaxing incisions on corneal aberrations after phacoemulsification with aspheric intraocular lens (IOL) implantation. METHODS: Forty-five eyes underwent microincision cataract surgery with on-axis phacoemulsification incision. These eyes were divided into two groups: limbal relaxing incision group (23 eyes) and control group (22 eyes). In the limbal relaxing incision group, a single limbal relaxing incision was performed on the steepest meridian of corneal topography and the degrees of arc were determined using the DONO-Donnenfeld nomogram. The eyes in the control group were operated on by microincision cataract surgery without limbal relaxing incision. Corneal topography and wavefront analysis over 6-mm pupil size were performed preoperatively and 1 month postoperatively in both groups. Target induced astigmatism vector, surgically induced astigmatism vector, difference vector, magnitude of error, flattening effect, and torque were analyzed using the Alpins vectorial method. RESULTS: The limbal relaxing incision group showed significant reduction in topographic astigmatism by 51.87% of preoperative topographical astigmatism (P &lt; .0001). The mean surgically induced astigmatism of limbal relaxing incision was 1.29 ± 0.71 diopters (D), which was close to the mean target induced astigmatism (1.33 ± 0.20 D), whereas the control group did not show a significant change in topographic astigmatism (0.17 ± 0.11 D; P = .73). Higher order aberrations of the cornea did not show significant change in either group except quatrefoil aberration, which significantly increased in the limbal relaxing incision group but not in the control group, with no significant difference between the two groups regarding corneal aberrations. CONCLUSIONS: Limbal relaxing incision is an effective method in reducing corneal astigmatism with neutral effect on corneal aberrations.","author":[{"dropping-particle":"","family":"Eliwa","given":"Tamer F.","non-dropping-particle":"","parse-names":false,"suffix":""},{"dropping-particle":"","family":"Abdellatif","given":"Mona K.","non-dropping-particle":"","parse-names":false,"suffix":""},{"dropping-particle":"","family":"Hamza","given":"Ismail I.","non-dropping-particle":"","parse-names":false,"suffix":""}],"container-title":"Journal of Refractive Surgery","id":"ITEM-1","issue":"3","issued":{"date-parts":[["2016"]]},"page":"156-162","title":"Effect of limbal relaxing incisions on corneal aberrations","type":"article-journal","volume":"32"},"uris":["http://www.mendeley.com/documents/?uuid=e08fc3d6-3b84-4384-9cb0-ca09bfe18af7"]}],"mendeley":{"formattedCitation":"[103]","plainTextFormattedCitation":"[103]","previouslyFormattedCitation":"[103]"},"properties":{"noteIndex":0},"schema":"https://github.com/citation-style-language/schema/raw/master/csl-citation.json"}</w:instrText>
            </w:r>
            <w:r w:rsidRPr="004873CC">
              <w:rPr>
                <w:rFonts w:ascii="Times New Roman" w:hAnsi="Times New Roman"/>
                <w:sz w:val="18"/>
                <w:szCs w:val="18"/>
              </w:rPr>
              <w:fldChar w:fldCharType="separate"/>
            </w:r>
            <w:r w:rsidRPr="000D1793">
              <w:rPr>
                <w:rFonts w:ascii="Times New Roman" w:hAnsi="Times New Roman"/>
                <w:noProof/>
                <w:sz w:val="18"/>
                <w:szCs w:val="18"/>
              </w:rPr>
              <w:t>[103]</w:t>
            </w:r>
            <w:r w:rsidRPr="004873CC">
              <w:rPr>
                <w:rFonts w:ascii="Times New Roman" w:hAnsi="Times New Roman"/>
                <w:sz w:val="18"/>
                <w:szCs w:val="18"/>
              </w:rPr>
              <w:fldChar w:fldCharType="end"/>
            </w:r>
          </w:p>
        </w:tc>
        <w:tc>
          <w:tcPr>
            <w:tcW w:w="64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2016</w:t>
            </w:r>
          </w:p>
        </w:tc>
        <w:tc>
          <w:tcPr>
            <w:tcW w:w="5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32</w:t>
            </w:r>
          </w:p>
        </w:tc>
        <w:tc>
          <w:tcPr>
            <w:tcW w:w="587"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LRI</w:t>
            </w:r>
          </w:p>
        </w:tc>
        <w:tc>
          <w:tcPr>
            <w:tcW w:w="107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Manual</w:t>
            </w:r>
          </w:p>
        </w:tc>
        <w:tc>
          <w:tcPr>
            <w:tcW w:w="1028"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12</w:t>
            </w:r>
          </w:p>
        </w:tc>
        <w:tc>
          <w:tcPr>
            <w:tcW w:w="76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2,2</w:t>
            </w:r>
          </w:p>
        </w:tc>
        <w:tc>
          <w:tcPr>
            <w:tcW w:w="136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Steepest</w:t>
            </w:r>
          </w:p>
        </w:tc>
        <w:tc>
          <w:tcPr>
            <w:tcW w:w="1795"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Donnenfeld</w:t>
            </w:r>
          </w:p>
        </w:tc>
        <w:tc>
          <w:tcPr>
            <w:tcW w:w="549"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1,33</w:t>
            </w:r>
          </w:p>
        </w:tc>
        <w:tc>
          <w:tcPr>
            <w:tcW w:w="732"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505"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4</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26</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52</w:t>
            </w:r>
          </w:p>
        </w:tc>
        <w:tc>
          <w:tcPr>
            <w:tcW w:w="52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65</w:t>
            </w:r>
          </w:p>
        </w:tc>
      </w:tr>
      <w:tr w:rsidR="005F7F09" w:rsidRPr="004873CC" w:rsidTr="00740F2C">
        <w:trPr>
          <w:trHeight w:val="288"/>
        </w:trPr>
        <w:tc>
          <w:tcPr>
            <w:tcW w:w="136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rPr>
                <w:rFonts w:eastAsia="Times New Roman" w:cs="Calibri"/>
                <w:color w:val="000000"/>
                <w:sz w:val="18"/>
                <w:szCs w:val="18"/>
                <w:lang w:val="es-ES" w:eastAsia="es-ES"/>
              </w:rPr>
            </w:pPr>
            <w:r w:rsidRPr="004873CC">
              <w:rPr>
                <w:rFonts w:eastAsia="Times New Roman" w:cs="Calibri"/>
                <w:color w:val="000000"/>
                <w:sz w:val="18"/>
                <w:szCs w:val="18"/>
                <w:lang w:val="es-ES" w:eastAsia="es-ES"/>
              </w:rPr>
              <w:t>Riaz</w:t>
            </w:r>
            <w:r w:rsidRPr="004873CC">
              <w:rPr>
                <w:rFonts w:ascii="Times New Roman" w:hAnsi="Times New Roman"/>
                <w:noProof/>
                <w:sz w:val="18"/>
                <w:szCs w:val="18"/>
              </w:rPr>
              <w:fldChar w:fldCharType="begin" w:fldLock="1"/>
            </w:r>
            <w:r>
              <w:rPr>
                <w:rFonts w:ascii="Times New Roman" w:hAnsi="Times New Roman"/>
                <w:noProof/>
                <w:sz w:val="18"/>
                <w:szCs w:val="18"/>
              </w:rPr>
              <w:instrText>ADDIN CSL_CITATION {"citationItems":[{"id":"ITEM-1","itemData":{"ISBN":"0000000000000","ISSN":"18734502","PMID":"34544087","abstract":"PURPOSE: To report refractive and keratometric astigmatism outcomes of resident-performed limbal relaxing incisions (LRIs) during cataract surgery. SETTING: Tertiary care academic teaching hospital. DESIGN: Retrospective case series. METHODS: The length, location, and number of LRIs were determined preoperatively using an online calculator. Variables studied were preoperative keratometry and postoperative uncorrected and corrected distance visual acuity, refraction, and keratometry at 1-month, 3-month, and 12-month visits (POM1, POM3, and POM12, respectively). Subgroup analysis was performed on amount and type of astigmatism. The astigmatism double-angle plot tool and analysis of with-the-wound (WtW) and against-the-wound (AtW) changes were used to assess the effect of astigmatism correction at POM1, POM3, and POM12 visits. RESULTS: In 118 eyes, a higher percentage of eyes demonstrated refractive astigmatism 0.25 diopter (D) or less, 0.50 D or less, 0.75D or less, and 1.0 D or less at POM1 and POM12 (all P &lt; .05) compared with preoperative keratometric astigmatism. Subgroup analysis showed improvement in all groups and types of astigmatism (P &lt; .01). Patients achieved a statistically significant reduction of keratometric astigmatism at POM1, POM3, and POM12 (all P ≤ .0001) relative to baseline, and changes differed significantly based on the preoperative amount of astigmatism (all P ≤ .0001, with greater reductions associated with higher baseline astigmatism) but not by location of the steep meridian. There were significant WtW-AtW changes at POM1, POM3, and POM12. Regression of effect after 1 month was approximately 0.11 D. CONCLUSIONS: Resident-performed LRIs achieved effective and sustained reduction of both refractive and keratometric astigmatism regardless of meridian or magnitude of astigmatism for at least 1 year postoperatively.","author":[{"dropping-particle":"","family":"Riaz","given":"Kamran M.","non-dropping-particle":"","parse-names":false,"suffix":""},{"dropping-particle":"","family":"Wang","given":"Li","non-dropping-particle":"","parse-names":false,"suffix":""},{"dropping-particle":"","family":"Williams","given":"Blake","non-dropping-particle":"","parse-names":false,"suffix":""},{"dropping-particle":"","family":"Dvorak","given":"Justin D.","non-dropping-particle":"","parse-names":false,"suffix":""},{"dropping-particle":"","family":"Kloek","given":"Carolyn E.","non-dropping-particle":"","parse-names":false,"suffix":""},{"dropping-particle":"V.","family":"Farooq","given":"Asim","non-dropping-particle":"","parse-names":false,"suffix":""},{"dropping-particle":"","family":"Koch","given":"Douglas D.","non-dropping-particle":"","parse-names":false,"suffix":""}],"container-title":"Journal of cataract and refractive surgery","id":"ITEM-1","issue":"10","issued":{"date-parts":[["2021"]]},"page":"1319-1326","title":"Refractive and keratometric outcomes of supervised novice surgeon-performed limbal relaxing incisions: 1-year results","type":"article-journal","volume":"47"},"uris":["http://www.mendeley.com/documents/?uuid=eff8a4b5-786d-4528-88e6-8a7c6b7d12f3"]}],"mendeley":{"formattedCitation":"[100]","plainTextFormattedCitation":"[100]","previouslyFormattedCitation":"[100]"},"properties":{"noteIndex":0},"schema":"https://github.com/citation-style-language/schema/raw/master/csl-citation.json"}</w:instrText>
            </w:r>
            <w:r w:rsidRPr="004873CC">
              <w:rPr>
                <w:rFonts w:ascii="Times New Roman" w:hAnsi="Times New Roman"/>
                <w:noProof/>
                <w:sz w:val="18"/>
                <w:szCs w:val="18"/>
              </w:rPr>
              <w:fldChar w:fldCharType="separate"/>
            </w:r>
            <w:r w:rsidRPr="000D1793">
              <w:rPr>
                <w:rFonts w:ascii="Times New Roman" w:hAnsi="Times New Roman"/>
                <w:noProof/>
                <w:sz w:val="18"/>
                <w:szCs w:val="18"/>
              </w:rPr>
              <w:t>[100]</w:t>
            </w:r>
            <w:r w:rsidRPr="004873CC">
              <w:rPr>
                <w:rFonts w:ascii="Times New Roman" w:hAnsi="Times New Roman"/>
                <w:noProof/>
                <w:sz w:val="18"/>
                <w:szCs w:val="18"/>
              </w:rPr>
              <w:fldChar w:fldCharType="end"/>
            </w:r>
          </w:p>
        </w:tc>
        <w:tc>
          <w:tcPr>
            <w:tcW w:w="64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2021</w:t>
            </w:r>
          </w:p>
        </w:tc>
        <w:tc>
          <w:tcPr>
            <w:tcW w:w="5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118</w:t>
            </w:r>
          </w:p>
        </w:tc>
        <w:tc>
          <w:tcPr>
            <w:tcW w:w="587"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LRI</w:t>
            </w:r>
          </w:p>
        </w:tc>
        <w:tc>
          <w:tcPr>
            <w:tcW w:w="107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Manual</w:t>
            </w:r>
          </w:p>
        </w:tc>
        <w:tc>
          <w:tcPr>
            <w:tcW w:w="1028"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12</w:t>
            </w:r>
          </w:p>
        </w:tc>
        <w:tc>
          <w:tcPr>
            <w:tcW w:w="76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2,4</w:t>
            </w:r>
          </w:p>
        </w:tc>
        <w:tc>
          <w:tcPr>
            <w:tcW w:w="136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1795"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Donnenfeld</w:t>
            </w:r>
          </w:p>
        </w:tc>
        <w:tc>
          <w:tcPr>
            <w:tcW w:w="549"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1,36</w:t>
            </w:r>
          </w:p>
        </w:tc>
        <w:tc>
          <w:tcPr>
            <w:tcW w:w="732"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505"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19</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35</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66</w:t>
            </w:r>
          </w:p>
        </w:tc>
        <w:tc>
          <w:tcPr>
            <w:tcW w:w="52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86</w:t>
            </w:r>
          </w:p>
        </w:tc>
      </w:tr>
      <w:tr w:rsidR="005F7F09" w:rsidRPr="004873CC" w:rsidTr="00740F2C">
        <w:trPr>
          <w:trHeight w:val="288"/>
        </w:trPr>
        <w:tc>
          <w:tcPr>
            <w:tcW w:w="136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rPr>
                <w:rFonts w:eastAsia="Times New Roman" w:cs="Calibri"/>
                <w:color w:val="000000"/>
                <w:sz w:val="18"/>
                <w:szCs w:val="18"/>
                <w:lang w:val="es-ES" w:eastAsia="es-ES"/>
              </w:rPr>
            </w:pPr>
            <w:r w:rsidRPr="004873CC">
              <w:rPr>
                <w:rFonts w:eastAsia="Times New Roman" w:cs="Calibri"/>
                <w:color w:val="000000"/>
                <w:sz w:val="18"/>
                <w:szCs w:val="18"/>
                <w:lang w:val="es-ES" w:eastAsia="es-ES"/>
              </w:rPr>
              <w:t>Lim</w:t>
            </w:r>
            <w:r w:rsidRPr="004873CC">
              <w:rPr>
                <w:rFonts w:ascii="Times New Roman" w:hAnsi="Times New Roman"/>
                <w:noProof/>
                <w:sz w:val="18"/>
                <w:szCs w:val="18"/>
              </w:rPr>
              <w:fldChar w:fldCharType="begin" w:fldLock="1"/>
            </w:r>
            <w:r>
              <w:rPr>
                <w:rFonts w:ascii="Times New Roman" w:hAnsi="Times New Roman"/>
                <w:noProof/>
                <w:sz w:val="18"/>
                <w:szCs w:val="18"/>
              </w:rPr>
              <w:instrText>ADDIN CSL_CITATION {"citationItems":[{"id":"ITEM-1","itemData":{"ISSN":"11775483","abstract":"Purpose: To determine astigmatic changes of intrastromal limbal-relaxing incisions (LRIs) performed during femtosecond laser-assisted cataract surgery (FLACS). Design: Retrospective case series. Patients and Methods: Patients undergoing FLACS with adjunctive astigmatism management with intrastromal LRIs were included. All eyes had preoperative corneal cylinder (Kcyl) ≥0.20 D on ocular biometry. An intrastromal LRI nomogram of single, non-paired LRIs placed at the 9 mm optical zone was used. Keratometry was measured preopera-tively, and postoperatively at 1 week, 1 month, and 3 months (POM3). Alpins astigmatism analysis was used to calculate target-induced astigmatism (TIA, equivalent to preoperative Kcyl), surgically induced astigmatism (SIA), difference vectors (DV), and correction indices (CI). Secondary analysis included multivariable binary logistic regression to determine clinical factors associated with corrections &gt;125% (CI &gt; 1.25). Results: A total of 154 eyes (125 patients) were studied. Mean preoperative Kcyl was 0.87 ±0.42 D (SD), which did not significantly differ from POM3 Kcyl (0.87±0.51 D, p=0.470). Only the against-the-rule (ATR) subgroup demonstrated a small but significant reduction in Kcyl from preoperative (0.96±0.51D) to POM3 (0.89±0.55D, p=0.032). Sixteen eyes (10.4%) had Kcyl ≤0.5 D preoperatively, compared to 46 eyes (29.9%) at POM3 (p&lt;0.0001). Mean SIA was 0.80±0.52 D. Mean DV was 0.85±0.47. Mean CI was 0.79. Fifty-one eyes (33%) had astigmatism correction &gt;125%. On multivariable regression analysis, ATR astigmatism class (p=0.026) and lower arc lengths (30º) (p=0.005) were associated with correction &gt;125%. Lower preoperative corneal astigmatism was inversely correlated with CI (p&lt;0.001). Conclusion: Although intrastromal LRIs can be conveniently performed during FLACS and appear safe, only patients with ATR astigmatism demonstrated a significant reduction in corneal astigmatism 3-months postoperatively under the current nomogram. Areas for future refinements to the nomogram were identified.","author":[{"dropping-particle":"","family":"Lim","given":"Carter W.","non-dropping-particle":"","parse-names":false,"suffix":""},{"dropping-particle":"","family":"Somani","given":"Sohel","non-dropping-particle":"","parse-names":false,"suffix":""},{"dropping-particle":"","family":"Chiu","given":"Hannah H.","non-dropping-particle":"","parse-names":false,"suffix":""},{"dropping-particle":"","family":"Maini","given":"Raj","non-dropping-particle":"","parse-names":false,"suffix":""},{"dropping-particle":"","family":"Tam","given":"Eric S.","non-dropping-particle":"","parse-names":false,"suffix":""}],"container-title":"Clinical Ophthalmology","id":"ITEM-1","issued":{"date-parts":[["2020"]]},"page":"1059-1070","title":"Astigmatic outcomes of single, non-paired intrastromal limbal relaxing incisions during femtosecond laser-assisted cataract surgery based on a custom nomogram","type":"article-journal","volume":"14"},"uris":["http://www.mendeley.com/documents/?uuid=9689ce14-85c8-48f6-98d3-93e31d546588"]}],"mendeley":{"formattedCitation":"[108]","plainTextFormattedCitation":"[108]","previouslyFormattedCitation":"[108]"},"properties":{"noteIndex":0},"schema":"https://github.com/citation-style-language/schema/raw/master/csl-citation.json"}</w:instrText>
            </w:r>
            <w:r w:rsidRPr="004873CC">
              <w:rPr>
                <w:rFonts w:ascii="Times New Roman" w:hAnsi="Times New Roman"/>
                <w:noProof/>
                <w:sz w:val="18"/>
                <w:szCs w:val="18"/>
              </w:rPr>
              <w:fldChar w:fldCharType="separate"/>
            </w:r>
            <w:r w:rsidRPr="000D1793">
              <w:rPr>
                <w:rFonts w:ascii="Times New Roman" w:hAnsi="Times New Roman"/>
                <w:noProof/>
                <w:sz w:val="18"/>
                <w:szCs w:val="18"/>
              </w:rPr>
              <w:t>[108]</w:t>
            </w:r>
            <w:r w:rsidRPr="004873CC">
              <w:rPr>
                <w:rFonts w:ascii="Times New Roman" w:hAnsi="Times New Roman"/>
                <w:noProof/>
                <w:sz w:val="18"/>
                <w:szCs w:val="18"/>
              </w:rPr>
              <w:fldChar w:fldCharType="end"/>
            </w:r>
          </w:p>
        </w:tc>
        <w:tc>
          <w:tcPr>
            <w:tcW w:w="64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2020</w:t>
            </w:r>
          </w:p>
        </w:tc>
        <w:tc>
          <w:tcPr>
            <w:tcW w:w="5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154</w:t>
            </w:r>
          </w:p>
        </w:tc>
        <w:tc>
          <w:tcPr>
            <w:tcW w:w="587"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LRI</w:t>
            </w:r>
          </w:p>
        </w:tc>
        <w:tc>
          <w:tcPr>
            <w:tcW w:w="107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Catalys</w:t>
            </w:r>
          </w:p>
        </w:tc>
        <w:tc>
          <w:tcPr>
            <w:tcW w:w="1028"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3</w:t>
            </w:r>
          </w:p>
        </w:tc>
        <w:tc>
          <w:tcPr>
            <w:tcW w:w="76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2,5</w:t>
            </w:r>
          </w:p>
        </w:tc>
        <w:tc>
          <w:tcPr>
            <w:tcW w:w="136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Temporal</w:t>
            </w:r>
          </w:p>
        </w:tc>
        <w:tc>
          <w:tcPr>
            <w:tcW w:w="1795"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Personal</w:t>
            </w:r>
          </w:p>
        </w:tc>
        <w:tc>
          <w:tcPr>
            <w:tcW w:w="549"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0,87</w:t>
            </w:r>
          </w:p>
        </w:tc>
        <w:tc>
          <w:tcPr>
            <w:tcW w:w="732"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505"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23</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63</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79</w:t>
            </w:r>
          </w:p>
        </w:tc>
        <w:tc>
          <w:tcPr>
            <w:tcW w:w="52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89</w:t>
            </w:r>
          </w:p>
        </w:tc>
      </w:tr>
      <w:tr w:rsidR="005F7F09" w:rsidRPr="00606154" w:rsidTr="00740F2C">
        <w:trPr>
          <w:trHeight w:val="288"/>
        </w:trPr>
        <w:tc>
          <w:tcPr>
            <w:tcW w:w="136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rPr>
                <w:rFonts w:eastAsia="Times New Roman" w:cs="Calibri"/>
                <w:color w:val="000000"/>
                <w:sz w:val="18"/>
                <w:szCs w:val="18"/>
                <w:lang w:val="es-ES" w:eastAsia="es-ES"/>
              </w:rPr>
            </w:pPr>
            <w:r w:rsidRPr="004873CC">
              <w:rPr>
                <w:rFonts w:eastAsia="Times New Roman" w:cs="Calibri"/>
                <w:color w:val="000000"/>
                <w:sz w:val="18"/>
                <w:szCs w:val="18"/>
                <w:lang w:val="es-ES" w:eastAsia="es-ES"/>
              </w:rPr>
              <w:t>Blehm</w:t>
            </w:r>
            <w:r w:rsidRPr="004873CC">
              <w:rPr>
                <w:rFonts w:ascii="Times New Roman" w:hAnsi="Times New Roman"/>
                <w:noProof/>
                <w:sz w:val="18"/>
                <w:szCs w:val="18"/>
              </w:rPr>
              <w:fldChar w:fldCharType="begin" w:fldLock="1"/>
            </w:r>
            <w:r>
              <w:rPr>
                <w:rFonts w:ascii="Times New Roman" w:hAnsi="Times New Roman"/>
                <w:noProof/>
                <w:sz w:val="18"/>
                <w:szCs w:val="18"/>
              </w:rPr>
              <w:instrText>ADDIN CSL_CITATION {"citationItems":[{"id":"ITEM-1","itemData":{"ISSN":"11775483","abstract":"Purpose: To compare the relative effectiveness of Verion-LenSx guided femtosecond arcuate incisions and manual incisions in reducing postoperative refractive astigmatism. Patients and Methods: This was a contralateral eye, prospective study that included subjects with 0.50 D to 1.75 D of corneal astigmatism who wanted less refractive astigmatism post cataract surgery. The surgeon used anterior keratometry and the Woodcock astigmatism nomogram for preoperative planning, while the LenSx femtosecond laser with the Verion Image Guided System was used to create all laser arcuate incisions. Manual incisions were planned using the Donnenfeld nomogram and made with a fixed-depth diamond knife. The primary outcome measure was the residual refractive astigmatism at 3 months postoperative. Secondary outcome measures included the manifest refraction, uncorrected distance visual acuity and the change in corneal astigmatism from 1 to 3 months postoperative. Results: Forty-one subjects were successfully enrolled in the study, with data from 38 subjects available at 3 months. There were no statistically significant differences in refractive astigmatism, corneal astigmatism, uncorrected distance visual acuity or manifest refraction between the Manual and Femto groups at either 1 month or 3 months. Significant changes in refractive and corneal astigmatism were noted between 1 months and 3 months. Ninety percent of e</w:instrText>
            </w:r>
            <w:r w:rsidRPr="005D5805">
              <w:rPr>
                <w:rFonts w:ascii="Times New Roman" w:hAnsi="Times New Roman"/>
                <w:noProof/>
                <w:sz w:val="18"/>
                <w:szCs w:val="18"/>
                <w:lang w:val="es-ES"/>
              </w:rPr>
              <w:instrText>yes in both groups had ≤0.50 D of refractive astigmatism at 3 months. Two minor non-serious adverse events (full-thickness incisions of the cornea) occurred in two eyes of two different subjects in the Manual group; they were resolved without incident. Conclusion: Laser arcuate incisions appear to be an effective means of reducing postoperative refractive astigmatism at the time of cataract surgery. No significant clinical differences were observed between incisions made manually and those made with an image-guided femto-second laser system. The lower number of minor adverse events experienced with the femtosecond laser system is an apparent advantage.","author":[{"dropping-particle":"","family":"Blehm","given":"Clayton","non-dropping-particle":"","parse-names":false,"suffix":""},{"dropping-particle":"","family":"Potvin","given":"Richard","non-dropping-particle":"","parse-names":false,"suffix":""}],"container-title":"Clinical Ophthalmology","id":"ITEM-1","issued":{"date-parts":[["2021"]]},"page":"2635-2641","title":"Clinical outcomes after femtosecond laser-assisted arcuate corneal incisions versus manual incisions","type":"article-journal","volume":"15"},"uris":["http://www.mendeley.com/documents/?uuid=57c67401-8cd6-4e00-9380-cea9d7584012"]}],"mendeley":{"formattedCitation":"[105]","plainTextFormattedCitation":"[105]","previouslyFormattedCitation":"[105]"},"properties":{"noteIndex":0},"schema":"https://github.com/citation-style-language/schema/raw/master/csl-citation.json"}</w:instrText>
            </w:r>
            <w:r w:rsidRPr="004873CC">
              <w:rPr>
                <w:rFonts w:ascii="Times New Roman" w:hAnsi="Times New Roman"/>
                <w:noProof/>
                <w:sz w:val="18"/>
                <w:szCs w:val="18"/>
              </w:rPr>
              <w:fldChar w:fldCharType="separate"/>
            </w:r>
            <w:r w:rsidRPr="005D5805">
              <w:rPr>
                <w:rFonts w:ascii="Times New Roman" w:hAnsi="Times New Roman"/>
                <w:noProof/>
                <w:sz w:val="18"/>
                <w:szCs w:val="18"/>
                <w:lang w:val="es-ES"/>
              </w:rPr>
              <w:t>[105]</w:t>
            </w:r>
            <w:r w:rsidRPr="004873CC">
              <w:rPr>
                <w:rFonts w:ascii="Times New Roman" w:hAnsi="Times New Roman"/>
                <w:noProof/>
                <w:sz w:val="18"/>
                <w:szCs w:val="18"/>
              </w:rPr>
              <w:fldChar w:fldCharType="end"/>
            </w:r>
          </w:p>
        </w:tc>
        <w:tc>
          <w:tcPr>
            <w:tcW w:w="64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2021</w:t>
            </w:r>
          </w:p>
        </w:tc>
        <w:tc>
          <w:tcPr>
            <w:tcW w:w="5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38</w:t>
            </w:r>
          </w:p>
        </w:tc>
        <w:tc>
          <w:tcPr>
            <w:tcW w:w="587"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LRI</w:t>
            </w:r>
          </w:p>
        </w:tc>
        <w:tc>
          <w:tcPr>
            <w:tcW w:w="107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Manual</w:t>
            </w:r>
          </w:p>
        </w:tc>
        <w:tc>
          <w:tcPr>
            <w:tcW w:w="1028"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3</w:t>
            </w:r>
          </w:p>
        </w:tc>
        <w:tc>
          <w:tcPr>
            <w:tcW w:w="76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136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1795"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Donnenfeld</w:t>
            </w:r>
          </w:p>
        </w:tc>
        <w:tc>
          <w:tcPr>
            <w:tcW w:w="549"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0,98</w:t>
            </w:r>
          </w:p>
        </w:tc>
        <w:tc>
          <w:tcPr>
            <w:tcW w:w="732"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505"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79</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89</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95</w:t>
            </w:r>
          </w:p>
        </w:tc>
        <w:tc>
          <w:tcPr>
            <w:tcW w:w="52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97</w:t>
            </w:r>
          </w:p>
        </w:tc>
      </w:tr>
      <w:tr w:rsidR="005F7F09" w:rsidRPr="004873CC" w:rsidTr="00740F2C">
        <w:trPr>
          <w:trHeight w:val="288"/>
        </w:trPr>
        <w:tc>
          <w:tcPr>
            <w:tcW w:w="136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rPr>
                <w:rFonts w:eastAsia="Times New Roman" w:cs="Calibri"/>
                <w:color w:val="000000"/>
                <w:sz w:val="18"/>
                <w:szCs w:val="18"/>
                <w:lang w:val="es-ES" w:eastAsia="es-ES"/>
              </w:rPr>
            </w:pPr>
            <w:r w:rsidRPr="004873CC">
              <w:rPr>
                <w:rFonts w:eastAsia="Times New Roman" w:cs="Calibri"/>
                <w:color w:val="000000"/>
                <w:sz w:val="18"/>
                <w:szCs w:val="18"/>
                <w:lang w:val="es-ES" w:eastAsia="es-ES"/>
              </w:rPr>
              <w:t>Blehm</w:t>
            </w:r>
            <w:r w:rsidRPr="004873CC">
              <w:rPr>
                <w:rFonts w:ascii="Times New Roman" w:hAnsi="Times New Roman"/>
                <w:noProof/>
                <w:sz w:val="18"/>
                <w:szCs w:val="18"/>
              </w:rPr>
              <w:fldChar w:fldCharType="begin" w:fldLock="1"/>
            </w:r>
            <w:r>
              <w:rPr>
                <w:rFonts w:ascii="Times New Roman" w:hAnsi="Times New Roman"/>
                <w:noProof/>
                <w:sz w:val="18"/>
                <w:szCs w:val="18"/>
                <w:lang w:val="es-ES"/>
              </w:rPr>
              <w:instrText>ADDIN CSL_CITATION {"citationItems":[{"id":"ITEM-1","itemData":{"ISSN":"11775483","abstract":"Purpose: To compare the relative effectiveness of Verion-LenSx guided femtosecond arcuate incisions and manual incisions in reducing postoperative refractive astigmatism. Patients and Methods: This was a contralateral eye, prospective study that included subjects with 0.50 D to 1.75 D of corneal astigmatism who wanted less refractive astigmatism post cataract surgery. The surgeon used anterior keratometry and the Woodcock astigmatism nomogram for preoperative planning, while the LenSx femtosecond laser with the Verion Image Guided System was used to create all laser arcuate incisions. Manual incisions were planned using the Donnenfeld nomogram and made with a fixed-depth diamond knife. The primary outcome measure was the residual refractive astigmatism at 3 months postoperative. Secondary outcome measures included the manifest refraction, uncorrected distance visual acuity and the change in corneal astigmatism from 1 to 3 months postoperative. Results: Forty-one subjects were successfully enrolled in the study, with data from 38 subjects available at 3 months. There were no statistically significant differences in refractive astigmatism, corneal astigmatism, uncorrected distance visual acuity or manifest refraction between the Manual and Femto groups at either 1 month or 3 months. Significant changes in refractive and corneal astigmatism were noted between 1 months and 3 months. Ninety percent of eyes in both groups had ≤0.50 D of refractive astigmatism at 3 months. Two minor non-serious adverse events (full-thickness incisions of the cornea) occurred in two eyes of two different subjects in the Manual group; they were resolved without incident. Conclusion: Laser arcuate incisions appear to be an effective means of reducing postoperative refractive astigmatism at the time of cataract surgery. No significant clinical differences were observed between incisions made manually and those made with an image-guided femto-second laser system. The lower number of minor adverse events experienced with the femtosecond laser system is an apparent advantage.","author":[{"dropping-particle":"","family":"Blehm","given":"Clayton","non-dropping-particle":"","parse-names":false,"suffix":""},{"dropping-particle":"","family":"Potvin","given":"Richard","non-dropping-particle":"","parse-names":false,"suffix":""}],"container-title":"Clinical Ophthalmology","id":"ITEM-1","issued":{"date-parts":[["2021"]]},"page":"2635-2641","title":"Clinical outcomes after femtosecond laser-assisted arcuate corneal incisions versus manual incisions","type":"article-journal","volume":"15"},"uris":["http://www.mendeley.com/documents/?uuid=57c67401-8cd6-4e00-9380-cea9d7584012"]}],"mendeley":{"formattedCitation":"[105]","plainTextFormattedCitation":"[105]","previouslyFormattedCitation":"[105]"},"properties":{"noteIndex":0},"schema":"https://github.com/citation-style-language/schema/raw/master/csl-citation.json"}</w:instrText>
            </w:r>
            <w:r w:rsidRPr="004873CC">
              <w:rPr>
                <w:rFonts w:ascii="Times New Roman" w:hAnsi="Times New Roman"/>
                <w:noProof/>
                <w:sz w:val="18"/>
                <w:szCs w:val="18"/>
              </w:rPr>
              <w:fldChar w:fldCharType="separate"/>
            </w:r>
            <w:r w:rsidRPr="000D1793">
              <w:rPr>
                <w:rFonts w:ascii="Times New Roman" w:hAnsi="Times New Roman"/>
                <w:noProof/>
                <w:sz w:val="18"/>
                <w:szCs w:val="18"/>
              </w:rPr>
              <w:t>[105]</w:t>
            </w:r>
            <w:r w:rsidRPr="004873CC">
              <w:rPr>
                <w:rFonts w:ascii="Times New Roman" w:hAnsi="Times New Roman"/>
                <w:noProof/>
                <w:sz w:val="18"/>
                <w:szCs w:val="18"/>
              </w:rPr>
              <w:fldChar w:fldCharType="end"/>
            </w:r>
          </w:p>
        </w:tc>
        <w:tc>
          <w:tcPr>
            <w:tcW w:w="64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2021</w:t>
            </w:r>
          </w:p>
        </w:tc>
        <w:tc>
          <w:tcPr>
            <w:tcW w:w="5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38</w:t>
            </w:r>
          </w:p>
        </w:tc>
        <w:tc>
          <w:tcPr>
            <w:tcW w:w="587"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LRI</w:t>
            </w:r>
          </w:p>
        </w:tc>
        <w:tc>
          <w:tcPr>
            <w:tcW w:w="107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LenSX</w:t>
            </w:r>
          </w:p>
        </w:tc>
        <w:tc>
          <w:tcPr>
            <w:tcW w:w="1028"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3</w:t>
            </w:r>
          </w:p>
        </w:tc>
        <w:tc>
          <w:tcPr>
            <w:tcW w:w="76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136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1795"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Woodcock</w:t>
            </w:r>
          </w:p>
        </w:tc>
        <w:tc>
          <w:tcPr>
            <w:tcW w:w="549"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1,05</w:t>
            </w:r>
          </w:p>
        </w:tc>
        <w:tc>
          <w:tcPr>
            <w:tcW w:w="732"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505"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79</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95</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97</w:t>
            </w:r>
          </w:p>
        </w:tc>
        <w:tc>
          <w:tcPr>
            <w:tcW w:w="52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97</w:t>
            </w:r>
          </w:p>
        </w:tc>
      </w:tr>
      <w:tr w:rsidR="005F7F09" w:rsidRPr="004873CC" w:rsidTr="00740F2C">
        <w:trPr>
          <w:trHeight w:val="288"/>
        </w:trPr>
        <w:tc>
          <w:tcPr>
            <w:tcW w:w="136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rPr>
                <w:rFonts w:eastAsia="Times New Roman" w:cs="Calibri"/>
                <w:color w:val="000000"/>
                <w:sz w:val="18"/>
                <w:szCs w:val="18"/>
                <w:lang w:val="es-ES" w:eastAsia="es-ES"/>
              </w:rPr>
            </w:pPr>
            <w:r w:rsidRPr="004873CC">
              <w:rPr>
                <w:rFonts w:eastAsia="Times New Roman" w:cs="Calibri"/>
                <w:color w:val="000000"/>
                <w:sz w:val="18"/>
                <w:szCs w:val="18"/>
                <w:lang w:val="es-ES" w:eastAsia="es-ES"/>
              </w:rPr>
              <w:t>Wang</w:t>
            </w:r>
            <w:r w:rsidRPr="004873CC">
              <w:rPr>
                <w:rFonts w:ascii="Times New Roman" w:hAnsi="Times New Roman"/>
                <w:noProof/>
                <w:sz w:val="18"/>
                <w:szCs w:val="18"/>
              </w:rPr>
              <w:fldChar w:fldCharType="begin" w:fldLock="1"/>
            </w:r>
            <w:r>
              <w:rPr>
                <w:rFonts w:ascii="Times New Roman" w:hAnsi="Times New Roman"/>
                <w:noProof/>
                <w:sz w:val="18"/>
                <w:szCs w:val="18"/>
              </w:rPr>
              <w:instrText>ADDIN CSL_CITATION {"citationItems":[{"id":"ITEM-1","itemData":{"ISSN":"18734502","PMID":"27492097","abstract":"Purpose To evaluate the effectiveness of femtosecond laser penetrating corneal relaxing incisions (CRIs) in reducing corneal astigmatism during cataract surgery. Setting Shanxi Eye Hospital, Taiyuan, Shanxi Province, China. Design Prospective case series. Methods Using the Lensx laser, CRIs were placed at a diameter of 8.0 mm with a depth of 90%. Corneal astigmatism was measured before surgery and 1 and 3 months after surgery. Vector analyses were performed. To obtain the net corneal changes, the with-the-wound (WTR) and against-the-wound (ATR) changes were calculated along the meridian of the CRI. Multiple regression analysis with generalized estimating equations was used to evaluate the factors contributing to the effectiveness of CRIs. Results The study comprised 51 eyes. One and 3 months postoperatively, respectively, the mean keratometric astigmatism was reduced significantly by 0.65 diopter (D) and 0.67 D (both P &lt; .05); compared with preoperative corneal astigmatism, the percentage of eyes within ±0.50 D of refractive astigmatism significantly increased by 42.6% and 46.7% (both P &lt; .05) and the mean refractive astigmatism was significantly decreased at 1 month (0.27 @ 93 versus 0.17 × 17) (P &lt; .05) but not at 3 months (0.09 @ 138 versus 0.07 × 172) (P &gt; .05). The mean WTW and ATW changes were −1.05 D and −1.00 D, respectively, and 14.9% and 6.7% of eyes, respectively, were overcorrected. Age, CRI length, and CRI location were factors contributing to net corneal changes. A nomogram is proposed. Conclusion Femtosecond laser CRIs were effective in reducing corneal astigmatism during cataract surgery, and their long-term effectiveness should be evaluated. Financial Disclosure Dr. Koch is a consultant to Abbott Medical Optics, Inc., Alcon Laboratories, Inc., and Revision Optics, Inc. None of the other authors has a financial or proprietary interest in any material or method mentioned.","author":[{"dropping-particle":"","family":"Wang","given":"Li","non-dropping-particle":"","parse-names":false,"suffix":""},{"dropping-particle":"","family":"Zhang","given":"Suhua","non-dropping-particle":"","parse-names":false,"suffix":""},{"dropping-particle":"","family":"Zhang","given":"Zhe","non-dropping-particle":"","parse-names":false,"suffix":""},{"dropping-particle":"","family":"Koch","given":"Douglas D.","non-dropping-particle":"","parse-names":false,"suffix":""},{"dropping-particle":"","family":"Jia","given":"Yading","non-dropping-particle":"","parse-names":false,"suffix":""},{"dropping-particle":"","family":"Cao","given":"Weifang","non-dropping-particle":"","parse-names":false,"suffix":""},{"dropping-particle":"","family":"Li","given":"Xiaoyan","non-dropping-particle":"","parse-names":false,"suffix":""}],"container-title":"Journal of Cataract and Refractive Surgery","id":"ITEM-1","issue":"7","issued":{"date-parts":[["2016"]]},"page":"995-1002","publisher":"ASCRS and ESCRS","title":"Femtosecond laser penetrating corneal relaxing incisions combined with cataract surgery","type":"article-journal","volume":"42"},"uris":["http://www.mendeley.com/documents/?uuid=b5c833a6-574d-4378-8f62-3edda6cdfa06"]}],"mendeley":{"formattedCitation":"[101]","plainTextFormattedCitation":"[101]","previouslyFormattedCitation":"[101]"},"properties":{"noteIndex":0},"schema":"https://github.com/citation-style-language/schema/raw/master/csl-citation.json"}</w:instrText>
            </w:r>
            <w:r w:rsidRPr="004873CC">
              <w:rPr>
                <w:rFonts w:ascii="Times New Roman" w:hAnsi="Times New Roman"/>
                <w:noProof/>
                <w:sz w:val="18"/>
                <w:szCs w:val="18"/>
              </w:rPr>
              <w:fldChar w:fldCharType="separate"/>
            </w:r>
            <w:r w:rsidRPr="000D1793">
              <w:rPr>
                <w:rFonts w:ascii="Times New Roman" w:hAnsi="Times New Roman"/>
                <w:noProof/>
                <w:sz w:val="18"/>
                <w:szCs w:val="18"/>
              </w:rPr>
              <w:t>[101]</w:t>
            </w:r>
            <w:r w:rsidRPr="004873CC">
              <w:rPr>
                <w:rFonts w:ascii="Times New Roman" w:hAnsi="Times New Roman"/>
                <w:noProof/>
                <w:sz w:val="18"/>
                <w:szCs w:val="18"/>
              </w:rPr>
              <w:fldChar w:fldCharType="end"/>
            </w:r>
          </w:p>
        </w:tc>
        <w:tc>
          <w:tcPr>
            <w:tcW w:w="64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2016</w:t>
            </w:r>
          </w:p>
        </w:tc>
        <w:tc>
          <w:tcPr>
            <w:tcW w:w="5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51</w:t>
            </w:r>
          </w:p>
        </w:tc>
        <w:tc>
          <w:tcPr>
            <w:tcW w:w="587"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LRI</w:t>
            </w:r>
          </w:p>
        </w:tc>
        <w:tc>
          <w:tcPr>
            <w:tcW w:w="107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LenSX</w:t>
            </w:r>
          </w:p>
        </w:tc>
        <w:tc>
          <w:tcPr>
            <w:tcW w:w="1028"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3</w:t>
            </w:r>
          </w:p>
        </w:tc>
        <w:tc>
          <w:tcPr>
            <w:tcW w:w="76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2,2</w:t>
            </w:r>
          </w:p>
        </w:tc>
        <w:tc>
          <w:tcPr>
            <w:tcW w:w="136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1795"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Donnenfeld</w:t>
            </w:r>
          </w:p>
        </w:tc>
        <w:tc>
          <w:tcPr>
            <w:tcW w:w="549"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1,41</w:t>
            </w:r>
          </w:p>
        </w:tc>
        <w:tc>
          <w:tcPr>
            <w:tcW w:w="732"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505"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33</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50</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67</w:t>
            </w:r>
          </w:p>
        </w:tc>
        <w:tc>
          <w:tcPr>
            <w:tcW w:w="52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87</w:t>
            </w:r>
          </w:p>
        </w:tc>
      </w:tr>
      <w:tr w:rsidR="005F7F09" w:rsidRPr="004873CC" w:rsidTr="00740F2C">
        <w:trPr>
          <w:trHeight w:val="288"/>
        </w:trPr>
        <w:tc>
          <w:tcPr>
            <w:tcW w:w="1366" w:type="dxa"/>
            <w:tcBorders>
              <w:top w:val="nil"/>
              <w:left w:val="nil"/>
              <w:bottom w:val="nil"/>
              <w:right w:val="nil"/>
            </w:tcBorders>
            <w:shd w:val="clear" w:color="auto" w:fill="auto"/>
            <w:noWrap/>
            <w:vAlign w:val="bottom"/>
            <w:hideMark/>
          </w:tcPr>
          <w:p w:rsidR="005F7F09" w:rsidRPr="005D5805" w:rsidRDefault="005F7F09" w:rsidP="00740F2C">
            <w:pPr>
              <w:spacing w:after="0" w:line="240" w:lineRule="auto"/>
              <w:rPr>
                <w:rFonts w:eastAsia="Times New Roman" w:cs="Calibri"/>
                <w:color w:val="000000"/>
                <w:sz w:val="18"/>
                <w:szCs w:val="18"/>
                <w:lang w:eastAsia="es-ES"/>
              </w:rPr>
            </w:pPr>
            <w:r w:rsidRPr="004873CC">
              <w:rPr>
                <w:rFonts w:eastAsia="Times New Roman" w:cs="Calibri"/>
                <w:color w:val="000000"/>
                <w:sz w:val="18"/>
                <w:szCs w:val="18"/>
                <w:lang w:val="es-ES" w:eastAsia="es-ES"/>
              </w:rPr>
              <w:t>Roberts</w:t>
            </w:r>
            <w:r w:rsidRPr="004873CC">
              <w:rPr>
                <w:rFonts w:ascii="Times New Roman" w:hAnsi="Times New Roman"/>
                <w:noProof/>
                <w:sz w:val="18"/>
                <w:szCs w:val="18"/>
              </w:rPr>
              <w:fldChar w:fldCharType="begin" w:fldLock="1"/>
            </w:r>
            <w:r>
              <w:rPr>
                <w:rFonts w:ascii="Times New Roman" w:hAnsi="Times New Roman"/>
                <w:noProof/>
                <w:sz w:val="18"/>
                <w:szCs w:val="18"/>
              </w:rPr>
              <w:instrText>ADDIN CSL_CITATION {"citationItems":[{"id":"ITEM-1","itemData":{"ISSN":"18734502","PMID":"30033111","abstract":"Purpose: To compare the results of manual limbal relaxing incisions (LRIs) performed during conventional phacoemulsification surgery with those of nonpenetrating femtosecond laser arcuate keratotomies performed during femtosecond laser–assisted cataract surgery to manage corneal astigmatism. Setting: Guy's and St. Thomas’ NHS Foundation Trust, London, United Kingdom. Design: Randomized case-controlled trial. Methods: This was a secondary outcome of a randomized controlled trial comparing 400 patients treated with conventional phacoemulsification surgery or femtosecond laser–assisted cataract surgery. All patients with corneal astigmatism greater than 0.9 diopter (D) were offered LRIs or femtosecond laser arcuate keratotomy based on the original randomization. Visual acuity, postoperative refraction, and corneal topography were recorded 4 weeks postoperatively. Vector analysis was performed using the Alpins method. Results: Fifty-one eyes of 51 patients received LRIs, and 53 eyes of 53 patients received femtosecond arcuate keratotomies. The mean target induced astigmatism was 1.50 D and 1.38 D, respectively, with 1.02 D and 1.23 D surgically induced astigmatism (P =.21), resulting in the femtosecond arcuate keratotomy group having a smaller difference vector (1.17 D versus 0.89 D; P =.02) and a greater correction index (0.48 versus 0.73; P =.02). Forty-four percent of patients in the femtosecond arcuate keratotomy group and 20% in the LRI group attained a postoperative cylinder of less than 0.50 D (P =.01). Conclusions: The femtosecond arcuate keratotomy group achieved a higher correction index and a smaller difference vector. The femtosecond arcuate keratotomy patients showed less postoperative cylinder than LRI patients.","author":[{"dropping-particle":"","family":"Roberts","given":"Harry W.","non-dropping-particle":"","parse-names":false,"suffix":""},{"dropping-particle":"","family":"Wagh","given":"Vijay K.","non-dropping-particle":"","parse-names":false,"suffix":""},{"dropping-particle":"","family":"Sullivan","given":"Daniel L.","non-dropping-particle":"","parse-names":false,"suffix":""},{"dropping-particle":"","family":"Archer","given":"Timothy J.","non-dropping-particle":"","parse-names":false,"suffix":""},{"dropping-particle":"","family":"O'Brart","given":"David P.S.","non-dropping-particle":"","parse-names":false,"suffix":""}],"container-title":"Journal of Cataract and Refractive Surgery","id":"ITEM-1","issue":"8","issued":{"date-parts":[["2018"]]},"page":"955-963","publisher":"ASCRS and ESCRS","title":"Refractive outcomes after limbal relaxing incisions or femtosecond laser arcuate keratotomy to manage corneal astigmatism at the time of cataract surgery","type":"article-journal","volume":"44"},"uris":["http://www.mendeley.com/documents/?uuid=eb01edb7-f301-42e0-b1bb-111169b28c4b"]}],"mendeley":{"formattedCitation":"[106]","plainTextFormattedCitation":"[106]","previouslyFormattedCitation":"[106]"},"properties":{"noteIndex":0},"schema":"https://github.com/citation-style-language/schema/raw/master/csl-citation.json"}</w:instrText>
            </w:r>
            <w:r w:rsidRPr="004873CC">
              <w:rPr>
                <w:rFonts w:ascii="Times New Roman" w:hAnsi="Times New Roman"/>
                <w:noProof/>
                <w:sz w:val="18"/>
                <w:szCs w:val="18"/>
              </w:rPr>
              <w:fldChar w:fldCharType="separate"/>
            </w:r>
            <w:r w:rsidRPr="000D1793">
              <w:rPr>
                <w:rFonts w:ascii="Times New Roman" w:hAnsi="Times New Roman"/>
                <w:noProof/>
                <w:sz w:val="18"/>
                <w:szCs w:val="18"/>
              </w:rPr>
              <w:t>[106]</w:t>
            </w:r>
            <w:r w:rsidRPr="004873CC">
              <w:rPr>
                <w:rFonts w:ascii="Times New Roman" w:hAnsi="Times New Roman"/>
                <w:noProof/>
                <w:sz w:val="18"/>
                <w:szCs w:val="18"/>
              </w:rPr>
              <w:fldChar w:fldCharType="end"/>
            </w:r>
          </w:p>
        </w:tc>
        <w:tc>
          <w:tcPr>
            <w:tcW w:w="640" w:type="dxa"/>
            <w:tcBorders>
              <w:top w:val="nil"/>
              <w:left w:val="nil"/>
              <w:bottom w:val="nil"/>
              <w:right w:val="nil"/>
            </w:tcBorders>
            <w:shd w:val="clear" w:color="auto" w:fill="auto"/>
            <w:noWrap/>
            <w:vAlign w:val="bottom"/>
            <w:hideMark/>
          </w:tcPr>
          <w:p w:rsidR="005F7F09" w:rsidRPr="005D5805" w:rsidRDefault="005F7F09" w:rsidP="00740F2C">
            <w:pPr>
              <w:spacing w:after="0" w:line="240" w:lineRule="auto"/>
              <w:jc w:val="center"/>
              <w:rPr>
                <w:rFonts w:eastAsia="Times New Roman" w:cs="Calibri"/>
                <w:color w:val="000000"/>
                <w:sz w:val="18"/>
                <w:szCs w:val="18"/>
                <w:lang w:eastAsia="es-ES"/>
              </w:rPr>
            </w:pPr>
            <w:r w:rsidRPr="005D5805">
              <w:rPr>
                <w:rFonts w:eastAsia="Times New Roman" w:cs="Calibri"/>
                <w:color w:val="000000"/>
                <w:sz w:val="18"/>
                <w:szCs w:val="18"/>
                <w:lang w:eastAsia="es-ES"/>
              </w:rPr>
              <w:t>2018</w:t>
            </w:r>
          </w:p>
        </w:tc>
        <w:tc>
          <w:tcPr>
            <w:tcW w:w="500" w:type="dxa"/>
            <w:tcBorders>
              <w:top w:val="nil"/>
              <w:left w:val="nil"/>
              <w:bottom w:val="nil"/>
              <w:right w:val="nil"/>
            </w:tcBorders>
            <w:shd w:val="clear" w:color="auto" w:fill="auto"/>
            <w:noWrap/>
            <w:vAlign w:val="bottom"/>
            <w:hideMark/>
          </w:tcPr>
          <w:p w:rsidR="005F7F09" w:rsidRPr="005D5805" w:rsidRDefault="005F7F09" w:rsidP="00740F2C">
            <w:pPr>
              <w:spacing w:after="0" w:line="240" w:lineRule="auto"/>
              <w:jc w:val="center"/>
              <w:rPr>
                <w:rFonts w:eastAsia="Times New Roman" w:cs="Calibri"/>
                <w:color w:val="000000"/>
                <w:sz w:val="18"/>
                <w:szCs w:val="18"/>
                <w:lang w:eastAsia="es-ES"/>
              </w:rPr>
            </w:pPr>
            <w:r w:rsidRPr="005D5805">
              <w:rPr>
                <w:rFonts w:eastAsia="Times New Roman" w:cs="Calibri"/>
                <w:color w:val="000000"/>
                <w:sz w:val="18"/>
                <w:szCs w:val="18"/>
                <w:lang w:eastAsia="es-ES"/>
              </w:rPr>
              <w:t>43</w:t>
            </w:r>
          </w:p>
        </w:tc>
        <w:tc>
          <w:tcPr>
            <w:tcW w:w="587" w:type="dxa"/>
            <w:tcBorders>
              <w:top w:val="nil"/>
              <w:left w:val="nil"/>
              <w:bottom w:val="nil"/>
              <w:right w:val="nil"/>
            </w:tcBorders>
            <w:shd w:val="clear" w:color="auto" w:fill="auto"/>
            <w:noWrap/>
            <w:vAlign w:val="bottom"/>
            <w:hideMark/>
          </w:tcPr>
          <w:p w:rsidR="005F7F09" w:rsidRPr="005D5805" w:rsidRDefault="005F7F09" w:rsidP="00740F2C">
            <w:pPr>
              <w:spacing w:after="0" w:line="240" w:lineRule="auto"/>
              <w:jc w:val="center"/>
              <w:rPr>
                <w:rFonts w:eastAsia="Times New Roman" w:cs="Calibri"/>
                <w:color w:val="000000"/>
                <w:sz w:val="18"/>
                <w:szCs w:val="18"/>
                <w:lang w:eastAsia="es-ES"/>
              </w:rPr>
            </w:pPr>
            <w:r w:rsidRPr="005D5805">
              <w:rPr>
                <w:rFonts w:eastAsia="Times New Roman" w:cs="Calibri"/>
                <w:color w:val="000000"/>
                <w:sz w:val="18"/>
                <w:szCs w:val="18"/>
                <w:lang w:eastAsia="es-ES"/>
              </w:rPr>
              <w:t>LRI</w:t>
            </w:r>
          </w:p>
        </w:tc>
        <w:tc>
          <w:tcPr>
            <w:tcW w:w="1070" w:type="dxa"/>
            <w:tcBorders>
              <w:top w:val="nil"/>
              <w:left w:val="nil"/>
              <w:bottom w:val="nil"/>
              <w:right w:val="nil"/>
            </w:tcBorders>
            <w:shd w:val="clear" w:color="auto" w:fill="auto"/>
            <w:noWrap/>
            <w:vAlign w:val="bottom"/>
            <w:hideMark/>
          </w:tcPr>
          <w:p w:rsidR="005F7F09" w:rsidRPr="005D5805" w:rsidRDefault="005F7F09" w:rsidP="00740F2C">
            <w:pPr>
              <w:spacing w:after="0" w:line="240" w:lineRule="auto"/>
              <w:jc w:val="center"/>
              <w:rPr>
                <w:rFonts w:eastAsia="Times New Roman" w:cs="Calibri"/>
                <w:color w:val="000000"/>
                <w:sz w:val="18"/>
                <w:szCs w:val="18"/>
                <w:lang w:eastAsia="es-ES"/>
              </w:rPr>
            </w:pPr>
            <w:r w:rsidRPr="005D5805">
              <w:rPr>
                <w:rFonts w:eastAsia="Times New Roman" w:cs="Calibri"/>
                <w:color w:val="000000"/>
                <w:sz w:val="18"/>
                <w:szCs w:val="18"/>
                <w:lang w:eastAsia="es-ES"/>
              </w:rPr>
              <w:t>Manual</w:t>
            </w:r>
          </w:p>
        </w:tc>
        <w:tc>
          <w:tcPr>
            <w:tcW w:w="1028" w:type="dxa"/>
            <w:tcBorders>
              <w:top w:val="nil"/>
              <w:left w:val="nil"/>
              <w:bottom w:val="nil"/>
              <w:right w:val="nil"/>
            </w:tcBorders>
            <w:shd w:val="clear" w:color="auto" w:fill="auto"/>
            <w:noWrap/>
            <w:vAlign w:val="bottom"/>
            <w:hideMark/>
          </w:tcPr>
          <w:p w:rsidR="005F7F09" w:rsidRPr="005D5805" w:rsidRDefault="005F7F09" w:rsidP="00740F2C">
            <w:pPr>
              <w:spacing w:after="0" w:line="240" w:lineRule="auto"/>
              <w:jc w:val="center"/>
              <w:rPr>
                <w:rFonts w:eastAsia="Times New Roman" w:cs="Calibri"/>
                <w:color w:val="000000"/>
                <w:sz w:val="18"/>
                <w:szCs w:val="18"/>
                <w:lang w:eastAsia="es-ES"/>
              </w:rPr>
            </w:pPr>
            <w:r w:rsidRPr="005D5805">
              <w:rPr>
                <w:rFonts w:eastAsia="Times New Roman" w:cs="Calibri"/>
                <w:color w:val="000000"/>
                <w:sz w:val="18"/>
                <w:szCs w:val="18"/>
                <w:lang w:eastAsia="es-ES"/>
              </w:rPr>
              <w:t>6</w:t>
            </w:r>
          </w:p>
        </w:tc>
        <w:tc>
          <w:tcPr>
            <w:tcW w:w="760" w:type="dxa"/>
            <w:tcBorders>
              <w:top w:val="nil"/>
              <w:left w:val="nil"/>
              <w:bottom w:val="nil"/>
              <w:right w:val="nil"/>
            </w:tcBorders>
            <w:shd w:val="clear" w:color="auto" w:fill="auto"/>
            <w:noWrap/>
            <w:vAlign w:val="bottom"/>
            <w:hideMark/>
          </w:tcPr>
          <w:p w:rsidR="005F7F09" w:rsidRPr="005D5805" w:rsidRDefault="005F7F09" w:rsidP="00740F2C">
            <w:pPr>
              <w:spacing w:after="0" w:line="240" w:lineRule="auto"/>
              <w:jc w:val="center"/>
              <w:rPr>
                <w:rFonts w:eastAsia="Times New Roman" w:cs="Calibri"/>
                <w:color w:val="000000"/>
                <w:sz w:val="18"/>
                <w:szCs w:val="18"/>
                <w:lang w:eastAsia="es-ES"/>
              </w:rPr>
            </w:pPr>
            <w:r w:rsidRPr="005D5805">
              <w:rPr>
                <w:rFonts w:eastAsia="Times New Roman" w:cs="Calibri"/>
                <w:color w:val="000000"/>
                <w:sz w:val="18"/>
                <w:szCs w:val="18"/>
                <w:lang w:eastAsia="es-ES"/>
              </w:rPr>
              <w:t>2,4</w:t>
            </w:r>
          </w:p>
        </w:tc>
        <w:tc>
          <w:tcPr>
            <w:tcW w:w="1360" w:type="dxa"/>
            <w:tcBorders>
              <w:top w:val="nil"/>
              <w:left w:val="nil"/>
              <w:bottom w:val="nil"/>
              <w:right w:val="nil"/>
            </w:tcBorders>
            <w:shd w:val="clear" w:color="auto" w:fill="auto"/>
            <w:noWrap/>
            <w:vAlign w:val="bottom"/>
            <w:hideMark/>
          </w:tcPr>
          <w:p w:rsidR="005F7F09" w:rsidRPr="005D5805" w:rsidRDefault="005F7F09" w:rsidP="00740F2C">
            <w:pPr>
              <w:spacing w:after="0" w:line="240" w:lineRule="auto"/>
              <w:jc w:val="center"/>
              <w:rPr>
                <w:rFonts w:eastAsia="Times New Roman" w:cs="Calibri"/>
                <w:color w:val="000000"/>
                <w:sz w:val="18"/>
                <w:szCs w:val="18"/>
                <w:lang w:eastAsia="es-ES"/>
              </w:rPr>
            </w:pPr>
            <w:r w:rsidRPr="005D5805">
              <w:rPr>
                <w:rFonts w:eastAsia="Times New Roman" w:cs="Calibri"/>
                <w:color w:val="000000"/>
                <w:sz w:val="18"/>
                <w:szCs w:val="18"/>
                <w:lang w:eastAsia="es-ES"/>
              </w:rPr>
              <w:t>Middle Arcuate</w:t>
            </w:r>
          </w:p>
        </w:tc>
        <w:tc>
          <w:tcPr>
            <w:tcW w:w="1795" w:type="dxa"/>
            <w:tcBorders>
              <w:top w:val="nil"/>
              <w:left w:val="nil"/>
              <w:bottom w:val="nil"/>
              <w:right w:val="nil"/>
            </w:tcBorders>
            <w:shd w:val="clear" w:color="auto" w:fill="auto"/>
            <w:noWrap/>
            <w:vAlign w:val="bottom"/>
            <w:hideMark/>
          </w:tcPr>
          <w:p w:rsidR="005F7F09" w:rsidRPr="005D5805" w:rsidRDefault="005F7F09" w:rsidP="00740F2C">
            <w:pPr>
              <w:spacing w:after="0" w:line="240" w:lineRule="auto"/>
              <w:jc w:val="center"/>
              <w:rPr>
                <w:rFonts w:eastAsia="Times New Roman" w:cs="Calibri"/>
                <w:color w:val="000000"/>
                <w:sz w:val="18"/>
                <w:szCs w:val="18"/>
                <w:lang w:eastAsia="es-ES"/>
              </w:rPr>
            </w:pPr>
            <w:r w:rsidRPr="005D5805">
              <w:rPr>
                <w:rFonts w:eastAsia="Times New Roman" w:cs="Calibri"/>
                <w:color w:val="000000"/>
                <w:sz w:val="18"/>
                <w:szCs w:val="18"/>
                <w:lang w:eastAsia="es-ES"/>
              </w:rPr>
              <w:t>Donnenfeld</w:t>
            </w:r>
          </w:p>
        </w:tc>
        <w:tc>
          <w:tcPr>
            <w:tcW w:w="549" w:type="dxa"/>
            <w:tcBorders>
              <w:top w:val="nil"/>
              <w:left w:val="nil"/>
              <w:bottom w:val="nil"/>
              <w:right w:val="nil"/>
            </w:tcBorders>
            <w:shd w:val="clear" w:color="auto" w:fill="auto"/>
            <w:noWrap/>
            <w:vAlign w:val="bottom"/>
            <w:hideMark/>
          </w:tcPr>
          <w:p w:rsidR="005F7F09" w:rsidRPr="005D5805" w:rsidRDefault="005F7F09" w:rsidP="00740F2C">
            <w:pPr>
              <w:spacing w:after="0" w:line="240" w:lineRule="auto"/>
              <w:jc w:val="center"/>
              <w:rPr>
                <w:rFonts w:eastAsia="Times New Roman" w:cs="Calibri"/>
                <w:color w:val="000000"/>
                <w:sz w:val="18"/>
                <w:szCs w:val="18"/>
                <w:lang w:eastAsia="es-ES"/>
              </w:rPr>
            </w:pPr>
            <w:r w:rsidRPr="005D5805">
              <w:rPr>
                <w:rFonts w:eastAsia="Times New Roman" w:cs="Calibri"/>
                <w:color w:val="000000"/>
                <w:sz w:val="18"/>
                <w:szCs w:val="18"/>
                <w:lang w:eastAsia="es-ES"/>
              </w:rPr>
              <w:t>1,5</w:t>
            </w:r>
          </w:p>
        </w:tc>
        <w:tc>
          <w:tcPr>
            <w:tcW w:w="732" w:type="dxa"/>
            <w:tcBorders>
              <w:top w:val="nil"/>
              <w:left w:val="nil"/>
              <w:bottom w:val="nil"/>
              <w:right w:val="nil"/>
            </w:tcBorders>
            <w:shd w:val="clear" w:color="auto" w:fill="auto"/>
            <w:noWrap/>
            <w:vAlign w:val="bottom"/>
            <w:hideMark/>
          </w:tcPr>
          <w:p w:rsidR="005F7F09" w:rsidRPr="005D5805" w:rsidRDefault="005F7F09" w:rsidP="00740F2C">
            <w:pPr>
              <w:spacing w:after="0" w:line="240" w:lineRule="auto"/>
              <w:jc w:val="center"/>
              <w:rPr>
                <w:rFonts w:eastAsia="Times New Roman" w:cs="Calibri"/>
                <w:color w:val="000000"/>
                <w:sz w:val="18"/>
                <w:szCs w:val="18"/>
                <w:lang w:eastAsia="es-ES"/>
              </w:rPr>
            </w:pPr>
            <w:r w:rsidRPr="005D5805">
              <w:rPr>
                <w:rFonts w:eastAsia="Times New Roman" w:cs="Calibri"/>
                <w:color w:val="000000"/>
                <w:sz w:val="18"/>
                <w:szCs w:val="18"/>
                <w:lang w:eastAsia="es-ES"/>
              </w:rPr>
              <w:t>NA</w:t>
            </w:r>
          </w:p>
        </w:tc>
        <w:tc>
          <w:tcPr>
            <w:tcW w:w="700" w:type="dxa"/>
            <w:tcBorders>
              <w:top w:val="nil"/>
              <w:left w:val="nil"/>
              <w:bottom w:val="nil"/>
              <w:right w:val="nil"/>
            </w:tcBorders>
            <w:shd w:val="clear" w:color="auto" w:fill="auto"/>
            <w:noWrap/>
            <w:vAlign w:val="bottom"/>
            <w:hideMark/>
          </w:tcPr>
          <w:p w:rsidR="005F7F09" w:rsidRPr="005D5805" w:rsidRDefault="005F7F09" w:rsidP="00740F2C">
            <w:pPr>
              <w:spacing w:after="0" w:line="240" w:lineRule="auto"/>
              <w:jc w:val="center"/>
              <w:rPr>
                <w:rFonts w:eastAsia="Times New Roman" w:cs="Calibri"/>
                <w:color w:val="000000"/>
                <w:sz w:val="18"/>
                <w:szCs w:val="18"/>
                <w:lang w:eastAsia="es-ES"/>
              </w:rPr>
            </w:pPr>
            <w:r w:rsidRPr="005D5805">
              <w:rPr>
                <w:rFonts w:eastAsia="Times New Roman" w:cs="Calibri"/>
                <w:color w:val="000000"/>
                <w:sz w:val="18"/>
                <w:szCs w:val="18"/>
                <w:lang w:eastAsia="es-ES"/>
              </w:rPr>
              <w:t>NA</w:t>
            </w:r>
          </w:p>
        </w:tc>
        <w:tc>
          <w:tcPr>
            <w:tcW w:w="700" w:type="dxa"/>
            <w:tcBorders>
              <w:top w:val="nil"/>
              <w:left w:val="nil"/>
              <w:bottom w:val="nil"/>
              <w:right w:val="nil"/>
            </w:tcBorders>
            <w:shd w:val="clear" w:color="auto" w:fill="auto"/>
            <w:noWrap/>
            <w:vAlign w:val="bottom"/>
            <w:hideMark/>
          </w:tcPr>
          <w:p w:rsidR="005F7F09" w:rsidRPr="005D5805" w:rsidRDefault="005F7F09" w:rsidP="00740F2C">
            <w:pPr>
              <w:spacing w:after="0" w:line="240" w:lineRule="auto"/>
              <w:jc w:val="center"/>
              <w:rPr>
                <w:rFonts w:eastAsia="Times New Roman" w:cs="Calibri"/>
                <w:color w:val="000000"/>
                <w:sz w:val="18"/>
                <w:szCs w:val="18"/>
                <w:lang w:eastAsia="es-ES"/>
              </w:rPr>
            </w:pPr>
            <w:r w:rsidRPr="005D5805">
              <w:rPr>
                <w:rFonts w:eastAsia="Times New Roman" w:cs="Calibri"/>
                <w:color w:val="000000"/>
                <w:sz w:val="18"/>
                <w:szCs w:val="18"/>
                <w:lang w:eastAsia="es-ES"/>
              </w:rPr>
              <w:t>NA</w:t>
            </w:r>
          </w:p>
        </w:tc>
        <w:tc>
          <w:tcPr>
            <w:tcW w:w="505" w:type="dxa"/>
            <w:tcBorders>
              <w:top w:val="nil"/>
              <w:left w:val="nil"/>
              <w:bottom w:val="nil"/>
              <w:right w:val="nil"/>
            </w:tcBorders>
            <w:shd w:val="clear" w:color="auto" w:fill="auto"/>
            <w:noWrap/>
            <w:vAlign w:val="bottom"/>
            <w:hideMark/>
          </w:tcPr>
          <w:p w:rsidR="005F7F09" w:rsidRPr="005D5805" w:rsidRDefault="005F7F09" w:rsidP="00740F2C">
            <w:pPr>
              <w:spacing w:after="0" w:line="240" w:lineRule="auto"/>
              <w:jc w:val="center"/>
              <w:rPr>
                <w:rFonts w:eastAsia="Times New Roman" w:cs="Calibri"/>
                <w:color w:val="000000"/>
                <w:sz w:val="18"/>
                <w:szCs w:val="18"/>
                <w:lang w:eastAsia="es-ES"/>
              </w:rPr>
            </w:pPr>
            <w:r w:rsidRPr="005D5805">
              <w:rPr>
                <w:rFonts w:eastAsia="Times New Roman" w:cs="Calibri"/>
                <w:color w:val="000000"/>
                <w:sz w:val="18"/>
                <w:szCs w:val="18"/>
                <w:lang w:eastAsia="es-ES"/>
              </w:rPr>
              <w:t>NA</w:t>
            </w:r>
          </w:p>
        </w:tc>
        <w:tc>
          <w:tcPr>
            <w:tcW w:w="736" w:type="dxa"/>
            <w:tcBorders>
              <w:top w:val="nil"/>
              <w:left w:val="nil"/>
              <w:bottom w:val="nil"/>
              <w:right w:val="nil"/>
            </w:tcBorders>
            <w:shd w:val="clear" w:color="auto" w:fill="auto"/>
            <w:noWrap/>
            <w:vAlign w:val="bottom"/>
            <w:hideMark/>
          </w:tcPr>
          <w:p w:rsidR="005F7F09" w:rsidRPr="005D5805" w:rsidRDefault="005F7F09" w:rsidP="00740F2C">
            <w:pPr>
              <w:spacing w:after="0" w:line="240" w:lineRule="auto"/>
              <w:jc w:val="center"/>
              <w:rPr>
                <w:rFonts w:eastAsia="Times New Roman" w:cs="Calibri"/>
                <w:color w:val="000000"/>
                <w:sz w:val="18"/>
                <w:szCs w:val="18"/>
                <w:lang w:eastAsia="es-ES"/>
              </w:rPr>
            </w:pPr>
            <w:r w:rsidRPr="005D5805">
              <w:rPr>
                <w:rFonts w:eastAsia="Times New Roman" w:cs="Calibri"/>
                <w:color w:val="000000"/>
                <w:sz w:val="18"/>
                <w:szCs w:val="18"/>
                <w:lang w:eastAsia="es-ES"/>
              </w:rPr>
              <w:t>7</w:t>
            </w:r>
          </w:p>
        </w:tc>
        <w:tc>
          <w:tcPr>
            <w:tcW w:w="736" w:type="dxa"/>
            <w:tcBorders>
              <w:top w:val="nil"/>
              <w:left w:val="nil"/>
              <w:bottom w:val="nil"/>
              <w:right w:val="nil"/>
            </w:tcBorders>
            <w:shd w:val="clear" w:color="auto" w:fill="auto"/>
            <w:noWrap/>
            <w:vAlign w:val="bottom"/>
            <w:hideMark/>
          </w:tcPr>
          <w:p w:rsidR="005F7F09" w:rsidRPr="005D5805" w:rsidRDefault="005F7F09" w:rsidP="00740F2C">
            <w:pPr>
              <w:spacing w:after="0" w:line="240" w:lineRule="auto"/>
              <w:jc w:val="center"/>
              <w:rPr>
                <w:rFonts w:eastAsia="Times New Roman" w:cs="Calibri"/>
                <w:color w:val="000000"/>
                <w:sz w:val="18"/>
                <w:szCs w:val="18"/>
                <w:lang w:eastAsia="es-ES"/>
              </w:rPr>
            </w:pPr>
            <w:r w:rsidRPr="005D5805">
              <w:rPr>
                <w:rFonts w:eastAsia="Times New Roman" w:cs="Calibri"/>
                <w:color w:val="000000"/>
                <w:sz w:val="18"/>
                <w:szCs w:val="18"/>
                <w:lang w:eastAsia="es-ES"/>
              </w:rPr>
              <w:t>19</w:t>
            </w:r>
          </w:p>
        </w:tc>
        <w:tc>
          <w:tcPr>
            <w:tcW w:w="736" w:type="dxa"/>
            <w:tcBorders>
              <w:top w:val="nil"/>
              <w:left w:val="nil"/>
              <w:bottom w:val="nil"/>
              <w:right w:val="nil"/>
            </w:tcBorders>
            <w:shd w:val="clear" w:color="auto" w:fill="auto"/>
            <w:noWrap/>
            <w:vAlign w:val="bottom"/>
            <w:hideMark/>
          </w:tcPr>
          <w:p w:rsidR="005F7F09" w:rsidRPr="005D5805" w:rsidRDefault="005F7F09" w:rsidP="00740F2C">
            <w:pPr>
              <w:spacing w:after="0" w:line="240" w:lineRule="auto"/>
              <w:jc w:val="center"/>
              <w:rPr>
                <w:rFonts w:eastAsia="Times New Roman" w:cs="Calibri"/>
                <w:color w:val="000000"/>
                <w:sz w:val="18"/>
                <w:szCs w:val="18"/>
                <w:lang w:eastAsia="es-ES"/>
              </w:rPr>
            </w:pPr>
            <w:r w:rsidRPr="005D5805">
              <w:rPr>
                <w:rFonts w:eastAsia="Times New Roman" w:cs="Calibri"/>
                <w:color w:val="000000"/>
                <w:sz w:val="18"/>
                <w:szCs w:val="18"/>
                <w:lang w:eastAsia="es-ES"/>
              </w:rPr>
              <w:t>64</w:t>
            </w:r>
          </w:p>
        </w:tc>
        <w:tc>
          <w:tcPr>
            <w:tcW w:w="520" w:type="dxa"/>
            <w:tcBorders>
              <w:top w:val="nil"/>
              <w:left w:val="nil"/>
              <w:bottom w:val="nil"/>
              <w:right w:val="nil"/>
            </w:tcBorders>
            <w:shd w:val="clear" w:color="auto" w:fill="auto"/>
            <w:noWrap/>
            <w:vAlign w:val="bottom"/>
            <w:hideMark/>
          </w:tcPr>
          <w:p w:rsidR="005F7F09" w:rsidRPr="005D5805" w:rsidRDefault="005F7F09" w:rsidP="00740F2C">
            <w:pPr>
              <w:spacing w:after="0" w:line="240" w:lineRule="auto"/>
              <w:jc w:val="center"/>
              <w:rPr>
                <w:rFonts w:eastAsia="Times New Roman" w:cs="Calibri"/>
                <w:color w:val="000000"/>
                <w:sz w:val="18"/>
                <w:szCs w:val="18"/>
                <w:lang w:eastAsia="es-ES"/>
              </w:rPr>
            </w:pPr>
            <w:r w:rsidRPr="005D5805">
              <w:rPr>
                <w:rFonts w:eastAsia="Times New Roman" w:cs="Calibri"/>
                <w:color w:val="000000"/>
                <w:sz w:val="18"/>
                <w:szCs w:val="18"/>
                <w:lang w:eastAsia="es-ES"/>
              </w:rPr>
              <w:t>74</w:t>
            </w:r>
          </w:p>
        </w:tc>
      </w:tr>
      <w:tr w:rsidR="005F7F09" w:rsidRPr="00606154" w:rsidTr="00740F2C">
        <w:trPr>
          <w:trHeight w:val="288"/>
        </w:trPr>
        <w:tc>
          <w:tcPr>
            <w:tcW w:w="136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rPr>
                <w:rFonts w:eastAsia="Times New Roman" w:cs="Calibri"/>
                <w:color w:val="000000"/>
                <w:sz w:val="18"/>
                <w:szCs w:val="18"/>
                <w:lang w:val="es-ES" w:eastAsia="es-ES"/>
              </w:rPr>
            </w:pPr>
            <w:r w:rsidRPr="005D5805">
              <w:rPr>
                <w:rFonts w:eastAsia="Times New Roman" w:cs="Calibri"/>
                <w:color w:val="000000"/>
                <w:sz w:val="18"/>
                <w:szCs w:val="18"/>
                <w:lang w:eastAsia="es-ES"/>
              </w:rPr>
              <w:t>Lopes</w:t>
            </w:r>
            <w:r w:rsidRPr="004873CC">
              <w:rPr>
                <w:rFonts w:ascii="Times New Roman" w:hAnsi="Times New Roman"/>
                <w:sz w:val="18"/>
                <w:szCs w:val="18"/>
              </w:rPr>
              <w:fldChar w:fldCharType="begin" w:fldLock="1"/>
            </w:r>
            <w:r>
              <w:rPr>
                <w:rFonts w:ascii="Times New Roman" w:hAnsi="Times New Roman"/>
                <w:sz w:val="18"/>
                <w:szCs w:val="18"/>
              </w:rPr>
              <w:instrText>ADDIN CSL_CITATION {"citationItems":[{"id":"ITEM-1","itemData":{"ISSN":"03656691","PMID":"34340778","abstract":"Purpose: The aim of this study was to compare the results of intrastromal arcuate incisions (AIs) and transepithelial AIs to treat corneal astigmatism during femtosecond laser-assisted cataract surgery (FLACS). Methods: This retrospective study included 20 patients with corneal astigmatism between 0.70 and 2.00 diopters (D) who underwent FLACS with concurrent intrastromal AIs in one eye and transepithelial AIs in the fellow eye. The main outcomes measures at 2-3 months of follow-up were the difference between preoperative and postoperative keratometric corneal cylinder (Kcyl), the correction index (CI) and the percentage of overcorrection. Results: The mean difference between preoperative and postoperative Kcyl revealed a mean value of 0.36 ± 0.37 D in the transepithelial group and 0.53 ± 0.42 D in the intrastromal group (P &lt; .001). The mean CI was 0.83 ± 0.71 in the transepithelial group and 0.68 ± 0.29 in intrastromal group (P = .17). Five eyes (25%) had an astigmatism overcorrection in the transepithelial group and 1 eye (5%) in the intrastromal group. Conclusions: Both intrastromal and transepithelial AIs showed potential for mild to moderate astigmatism correction and appeared to be a safe procedure. Despite transepithelial AIs presented a higher CI, the intrastromal AIs results were more predictable.","author":[{"dropping-particle":"","family":"Lopes","given":"D.","non-dropping-particle":"","parse-names":false,"suffix":""},{"dropping-particle":"","family":"Loureir</w:instrText>
            </w:r>
            <w:r w:rsidRPr="005D5805">
              <w:rPr>
                <w:rFonts w:ascii="Times New Roman" w:hAnsi="Times New Roman"/>
                <w:sz w:val="18"/>
                <w:szCs w:val="18"/>
                <w:lang w:val="es-ES"/>
              </w:rPr>
              <w:instrText>o","given":"T.","non-dropping-particle":"","parse-names":false,"suffix":""},{"dropping-particle":"","family":"Carreira","given":"R.","non-dropping-particle":"","parse-names":false,"suffix":""},{"dropping-particle":"","family":"Rodrigues Barros","given":"S.","non-dropping-particle":"","parse-names":false,"suffix":""},{"dropping-particle":"","family":"Nobre Cardoso","given":"J.","non-dropping-particle":"","parse-names":false,"suffix":""},{"dropping-particle":"","family":"Campos","given":"P.","non-dropping-particle":"","parse-names":false,"suffix":""},{"dropping-particle":"","family":"Machado","given":"I.","non-dropping-particle":"","parse-names":false,"suffix":""},{"dropping-particle":"","family":"Campos","given":"N.","non-dropping-particle":"","parse-names":false,"suffix":""}],"container-title":"Archivos de la Sociedad Espanola de Oftalmologia","id":"ITEM-1","issue":"8","issued":{"date-parts":[["2021"]]},"page":"408-414","publisher":"Sociedad Espa&amp;ntilde;ola de Oftalmolog&amp;iacute;a","title":"Transepithelial or intrastromal femtosecond laser arcuate keratotomy to manage corneal astigmatism at the time of cataract surgery","type":"article-journal","volume":"96"},"uris":["http://www.mendeley.com/documents/?uuid=e99562f5-87ea-44a9-9324-0280528533a6"]}],"mendeley":{"formattedCitation":"[85]","plainTextFormattedCitation":"[85]","previouslyFormattedCitation":"[85]"},"properties":{"noteIndex":0},"schema":"https://github.com/citation-style-language/schema/raw/master/csl-citation.json"}</w:instrText>
            </w:r>
            <w:r w:rsidRPr="004873CC">
              <w:rPr>
                <w:rFonts w:ascii="Times New Roman" w:hAnsi="Times New Roman"/>
                <w:sz w:val="18"/>
                <w:szCs w:val="18"/>
              </w:rPr>
              <w:fldChar w:fldCharType="separate"/>
            </w:r>
            <w:r w:rsidRPr="000D1793">
              <w:rPr>
                <w:rFonts w:ascii="Times New Roman" w:hAnsi="Times New Roman"/>
                <w:noProof/>
                <w:sz w:val="18"/>
                <w:szCs w:val="18"/>
                <w:lang w:val="es-ES"/>
              </w:rPr>
              <w:t>[85]</w:t>
            </w:r>
            <w:r w:rsidRPr="004873CC">
              <w:rPr>
                <w:rFonts w:ascii="Times New Roman" w:hAnsi="Times New Roman"/>
                <w:sz w:val="18"/>
                <w:szCs w:val="18"/>
              </w:rPr>
              <w:fldChar w:fldCharType="end"/>
            </w:r>
          </w:p>
        </w:tc>
        <w:tc>
          <w:tcPr>
            <w:tcW w:w="64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2021</w:t>
            </w:r>
          </w:p>
        </w:tc>
        <w:tc>
          <w:tcPr>
            <w:tcW w:w="5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20</w:t>
            </w:r>
          </w:p>
        </w:tc>
        <w:tc>
          <w:tcPr>
            <w:tcW w:w="587"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iAK</w:t>
            </w:r>
          </w:p>
        </w:tc>
        <w:tc>
          <w:tcPr>
            <w:tcW w:w="107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Catalys</w:t>
            </w:r>
          </w:p>
        </w:tc>
        <w:tc>
          <w:tcPr>
            <w:tcW w:w="1028"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3</w:t>
            </w:r>
          </w:p>
        </w:tc>
        <w:tc>
          <w:tcPr>
            <w:tcW w:w="76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136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1795"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Julian Stevens v3</w:t>
            </w:r>
          </w:p>
        </w:tc>
        <w:tc>
          <w:tcPr>
            <w:tcW w:w="549"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1,22</w:t>
            </w:r>
          </w:p>
        </w:tc>
        <w:tc>
          <w:tcPr>
            <w:tcW w:w="732"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40</w:t>
            </w:r>
          </w:p>
        </w:tc>
        <w:tc>
          <w:tcPr>
            <w:tcW w:w="7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505"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90</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52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r>
      <w:tr w:rsidR="005F7F09" w:rsidRPr="004873CC" w:rsidTr="00740F2C">
        <w:trPr>
          <w:trHeight w:val="288"/>
        </w:trPr>
        <w:tc>
          <w:tcPr>
            <w:tcW w:w="136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rPr>
                <w:rFonts w:eastAsia="Times New Roman" w:cs="Calibri"/>
                <w:color w:val="000000"/>
                <w:sz w:val="18"/>
                <w:szCs w:val="18"/>
                <w:lang w:val="es-ES" w:eastAsia="es-ES"/>
              </w:rPr>
            </w:pPr>
            <w:r w:rsidRPr="004873CC">
              <w:rPr>
                <w:rFonts w:eastAsia="Times New Roman" w:cs="Calibri"/>
                <w:color w:val="000000"/>
                <w:sz w:val="18"/>
                <w:szCs w:val="18"/>
                <w:lang w:val="es-ES" w:eastAsia="es-ES"/>
              </w:rPr>
              <w:t>Stanojcic</w:t>
            </w:r>
            <w:r w:rsidRPr="004873CC">
              <w:rPr>
                <w:rFonts w:ascii="Times New Roman" w:hAnsi="Times New Roman"/>
                <w:sz w:val="18"/>
                <w:szCs w:val="18"/>
              </w:rPr>
              <w:fldChar w:fldCharType="begin" w:fldLock="1"/>
            </w:r>
            <w:r>
              <w:rPr>
                <w:rFonts w:ascii="Times New Roman" w:hAnsi="Times New Roman"/>
                <w:sz w:val="18"/>
                <w:szCs w:val="18"/>
                <w:lang w:val="es-ES"/>
              </w:rPr>
              <w:instrText>ADDIN CSL_CITATION {"citationItems":[{"id":"ITEM-1","itemData":{"ISSN":"14682079","PMID":"32699049","abstract":"Aims To report 12-month outcomes of randomised controlled trial comparing conventional phacoemulsification surgery (CPS) with femtosecond laser-assisted cataract surgery (FLACS). Methods This was a single-centre, prospective single-masked randomised case-controlled trial. Four hundred patients were randomised to CPS or FLACS with the LenSx platform (Alcon Laboratories Inc.). Visual acuity, refraction, central corneal thickness, endothelial cell loss (ECL), adverse events and quality of life outcomes, using EuroQOL 5-dimensions (EQ-5D-3 L) and cataract surgery patient-reported outcome measures (PROMs) questionnaires (Cat-PROM5), were recorded. Results Two hundred and thirty four patients (58.5%) attended 12-month follow-up (116 FLACS, 118 CPS). Mean LogMAR unaided distance visual acuity) (±SD) was 0.12 (0.18) with FLACS and 0.13 (0.19) with CPS (p=0.68; 95% Confidence Interval [CI]-0.06,0.04). Mean spherical equivalent (SE) refraction was -0.1±0.6 diopters (D) with FLACS and -0.2±0.6 D with CPS (p=0.44; 95% CI -0.09, 0.21). Mean corrected distance visual acuity (±SD) was -0.01 (0.1) with FLACS and 0(0.1) with CPS (p=0.45; 95% CI -0.04,0.02). Two patients per group underwent YAG laser capsulotomy for posterior capsular opacification (p=1). Mean ECL (per mm 2 ±SD) was 301±320 with FLACS and 228±303 with CPS (p=0.07; 95% CI -7.26, 153.26). Mean Cat-PROM scores (±SD) were -5.5 (2.6) with FLACS and -5.8 (2.5) with CPS (p=0.3; 95% CI 0.31,1.01). EQ5-3DL mean index score (±SD) was 0.92 (0.13) with FLACS and 0.89 (0.14) with CPS (p=0.1; 95% CI -0.1, 0.01). Vector analysis comparing manual limbal relaxing incisions (LRIs) and intrastromal femtosecond laser-assisted astigmatic keratotomies (iFAKs) showed a greater correction index (p=0.02; 95% CI 0.06 to 0.60) and smaller difference vector (p=0.046; 95% CI -0.54, -0.01) with iFAK. Conclusions There were no differences in vision, refraction, adverse postoperative events or PROMs between FLACS and CPS groups at 12 months. iFAKs may provide more effective astigmatic correction compared to LRIs, 12 months postoperatively.","author":[{"dropping-particle":"","family":"Stanojcic","given":"Nick","non-dropping-particle":"","parse-names":false,"suffix":""},{"dropping-particle":"","family":"Roberts","given":"Harry William","non-dropping-particle":"","parse-names":false,"suffix":""},{"dropping-particle":"","family":"Wagh","given":"Vijay K.","non-dropping-particle":"","parse-names":false,"suffix":""},{"dropping-particle":"","family":"Li","given":"Ji Peng Olivia","non-dropping-particle":"","parse-names":false,"suffix":""},{"dropping-particle":"","family":"Naderi","given":"Khayam","non-dropping-particle":"","parse-names":false,"suffix":""},{"dropping-particle":"","family":"O'Brart","given":"David P.","non-dropping-particle":"","parse-names":false,"suffix":""}],"container-title":"British Journal of Ophthalmology","id":"ITEM-1","issue":"5","issued":{"date-parts":[["2021"]]},"page":"631-638","title":"A randomised controlled trial comparing femtosecond laser-assisted cataract surgery versus conventional phacoemulsification surgery: 12-month results","type":"article-journal","volume":"105"},"uris":["http://www.mendeley.com/documents/?uuid=c1487f6f-53b4-45e9-9fde-310683ec926e"]}],"mendeley":{"formattedCitation":"[84]","plainTextFormattedCitation":"[84]","previouslyFormattedCitation":"[84]"},"properties":{"noteIndex":0},"schema":"https://github.com/citation-style-language/schema/raw/master/csl-citation.json"}</w:instrText>
            </w:r>
            <w:r w:rsidRPr="004873CC">
              <w:rPr>
                <w:rFonts w:ascii="Times New Roman" w:hAnsi="Times New Roman"/>
                <w:sz w:val="18"/>
                <w:szCs w:val="18"/>
              </w:rPr>
              <w:fldChar w:fldCharType="separate"/>
            </w:r>
            <w:r w:rsidRPr="000D1793">
              <w:rPr>
                <w:rFonts w:ascii="Times New Roman" w:hAnsi="Times New Roman"/>
                <w:noProof/>
                <w:sz w:val="18"/>
                <w:szCs w:val="18"/>
              </w:rPr>
              <w:t>[84]</w:t>
            </w:r>
            <w:r w:rsidRPr="004873CC">
              <w:rPr>
                <w:rFonts w:ascii="Times New Roman" w:hAnsi="Times New Roman"/>
                <w:sz w:val="18"/>
                <w:szCs w:val="18"/>
              </w:rPr>
              <w:fldChar w:fldCharType="end"/>
            </w:r>
          </w:p>
        </w:tc>
        <w:tc>
          <w:tcPr>
            <w:tcW w:w="64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2021</w:t>
            </w:r>
          </w:p>
        </w:tc>
        <w:tc>
          <w:tcPr>
            <w:tcW w:w="5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53</w:t>
            </w:r>
          </w:p>
        </w:tc>
        <w:tc>
          <w:tcPr>
            <w:tcW w:w="587" w:type="dxa"/>
            <w:tcBorders>
              <w:top w:val="nil"/>
              <w:left w:val="nil"/>
              <w:bottom w:val="nil"/>
              <w:right w:val="nil"/>
            </w:tcBorders>
            <w:shd w:val="clear" w:color="auto" w:fill="auto"/>
            <w:noWrap/>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iAK</w:t>
            </w:r>
          </w:p>
        </w:tc>
        <w:tc>
          <w:tcPr>
            <w:tcW w:w="107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LensX</w:t>
            </w:r>
          </w:p>
        </w:tc>
        <w:tc>
          <w:tcPr>
            <w:tcW w:w="1028"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12</w:t>
            </w:r>
          </w:p>
        </w:tc>
        <w:tc>
          <w:tcPr>
            <w:tcW w:w="76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2,4</w:t>
            </w:r>
          </w:p>
        </w:tc>
        <w:tc>
          <w:tcPr>
            <w:tcW w:w="136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1795"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iFAKs</w:t>
            </w:r>
          </w:p>
        </w:tc>
        <w:tc>
          <w:tcPr>
            <w:tcW w:w="549"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1,38</w:t>
            </w:r>
          </w:p>
        </w:tc>
        <w:tc>
          <w:tcPr>
            <w:tcW w:w="732"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505"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19</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44</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65</w:t>
            </w:r>
          </w:p>
        </w:tc>
        <w:tc>
          <w:tcPr>
            <w:tcW w:w="52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77</w:t>
            </w:r>
          </w:p>
        </w:tc>
      </w:tr>
      <w:tr w:rsidR="005F7F09" w:rsidRPr="004873CC" w:rsidTr="00740F2C">
        <w:trPr>
          <w:trHeight w:val="288"/>
        </w:trPr>
        <w:tc>
          <w:tcPr>
            <w:tcW w:w="136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rPr>
                <w:rFonts w:eastAsia="Times New Roman" w:cs="Calibri"/>
                <w:color w:val="000000"/>
                <w:sz w:val="18"/>
                <w:szCs w:val="18"/>
                <w:lang w:val="es-ES" w:eastAsia="es-ES"/>
              </w:rPr>
            </w:pPr>
            <w:r w:rsidRPr="004873CC">
              <w:rPr>
                <w:rFonts w:eastAsia="Times New Roman" w:cs="Calibri"/>
                <w:color w:val="000000"/>
                <w:sz w:val="18"/>
                <w:szCs w:val="18"/>
                <w:lang w:val="es-ES" w:eastAsia="es-ES"/>
              </w:rPr>
              <w:t>Day</w:t>
            </w:r>
            <w:r w:rsidRPr="004873CC">
              <w:rPr>
                <w:rFonts w:ascii="Times New Roman" w:hAnsi="Times New Roman"/>
                <w:sz w:val="18"/>
                <w:szCs w:val="18"/>
              </w:rPr>
              <w:fldChar w:fldCharType="begin" w:fldLock="1"/>
            </w:r>
            <w:r>
              <w:rPr>
                <w:rFonts w:ascii="Times New Roman" w:hAnsi="Times New Roman"/>
                <w:sz w:val="18"/>
                <w:szCs w:val="18"/>
              </w:rPr>
              <w:instrText>ADDIN CSL_CITATION {"citationItems":[{"id":"ITEM-1","itemData":{"ISSN":"18734502","PMID":"26948784","abstract":"Purpose To describe the effect of femtosecond laser intrastromal astigmatic keratotomy (AK) performed during cataract surgery. Setting Moorfields Eye Hospital, London, United Kingdom. Design Prospective case series. Methods This study comprised patients having laser cataract surgery with concurrent astigmatism management by intrastromal AK. All eyes had greater than 0.7 corneal diopter (D) cylinder. An intrastromal AK nomogram with 8.0 mm diameter paired symmetric limbal centered arcs was used. Corneal keratometry was measured preoperatively and 1 month postoperatively using a KR8100PA topographer-autorefractor. Astigmatic analyses were performed using the Alpins method considering 3 vectors - target induced astigmatism (TIA), surgically induced astigmatism (SIA) and difference vector (DV) - and calculation of coupling measures. Results In all, 196 eyes of 133 patients were analyzed. The mean TIA (equivalent to preoperative corneal cylinder) was 1.21 D ± 0.42 (SD) (range 0.75 to 2.64 D) and the mean SIA was 0.74 DC ± 0.40 (range 0.00 to 2.86). The mean difference vector was 0.74 ± 0.38 D (range 0.00 to 2.25 D). The mean correction index was 0.63 ± 0.32 (range 0.00 to 1.93), indicating that the mean astigmatism correction was 63%. Fourteen eyes (7.1%) and 7 eyes (3.6%) had an astigmatism correction of greater than 100% and greater than 120%, respectively. Overall 0%, 48.5%, and 51.5% of eyes had 0.50 D or less, 1.0 D or less, or greater than 1.0 D, respectively, preoperatively compared with 32.1%, 85.7%, and 14.3%, postoperatively. There were no cases of corneal endothelial perforation or inadvertent placement within the visual axis. Conclusions The intrastromal AKs were easily programmed as an integral part of laser-assisted cataract surgery without additional cost, significantly reduced corneal cylinder, and appeared to be safe through 1 month of follow-up. Financial Disclosure Dr. Day was supported by the National Institute for Health Research (NIHR) Biomedical Research Centre based at Moorfields Eye Hospital NHS Foundation Trust and UCL Institute of Ophthalmology. Dr. Stevens has been a consultant to Optimedica Inc., now part of Abbott Medical Optics.","author":[{"dropping-particle":"","family":"Day","given":"Alexander C.","non-dropping-particle":"","parse-names":false,"suffix":""},{"dropping-particle":"","family":"Lau","given":"Nicola M.","non-dropping-particle":"","parse-names":false,"suffix":""},{"dropping-particle":"","family":"Stevens","given":"Julian D.","non-dropping-particle":"","parse-names":false,"suffix":""}],"container-title":"Journal of Cataract and Refractive Surgery","id":"ITEM-1","issue":"1","issued":{"date-parts":[["2016"]]},"page":"102-109","publisher":"ASCRS and ESCRS","title":"Nonpenetrating femtosecond laser intrastromal astigmatic keratotomy in eyes having cataract surgery","type":"article-journal","volume":"42"},"uris":["http://www.mendeley.com/documents/?uuid=1fa2c5e4-7ef5-40d1-9860-8410e8e59986"]}],"mendeley":{"formattedCitation":"[109]","plainTextFormattedCitation":"[109]","previouslyFormattedCitation":"[109]"},"properties":{"noteIndex":0},"schema":"https://github.com/citation-style-language/schema/raw/master/csl-citation.json"}</w:instrText>
            </w:r>
            <w:r w:rsidRPr="004873CC">
              <w:rPr>
                <w:rFonts w:ascii="Times New Roman" w:hAnsi="Times New Roman"/>
                <w:sz w:val="18"/>
                <w:szCs w:val="18"/>
              </w:rPr>
              <w:fldChar w:fldCharType="separate"/>
            </w:r>
            <w:r w:rsidRPr="000D1793">
              <w:rPr>
                <w:rFonts w:ascii="Times New Roman" w:hAnsi="Times New Roman"/>
                <w:noProof/>
                <w:sz w:val="18"/>
                <w:szCs w:val="18"/>
              </w:rPr>
              <w:t>[109]</w:t>
            </w:r>
            <w:r w:rsidRPr="004873CC">
              <w:rPr>
                <w:rFonts w:ascii="Times New Roman" w:hAnsi="Times New Roman"/>
                <w:sz w:val="18"/>
                <w:szCs w:val="18"/>
              </w:rPr>
              <w:fldChar w:fldCharType="end"/>
            </w:r>
          </w:p>
        </w:tc>
        <w:tc>
          <w:tcPr>
            <w:tcW w:w="64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2016</w:t>
            </w:r>
          </w:p>
        </w:tc>
        <w:tc>
          <w:tcPr>
            <w:tcW w:w="5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186</w:t>
            </w:r>
          </w:p>
        </w:tc>
        <w:tc>
          <w:tcPr>
            <w:tcW w:w="587" w:type="dxa"/>
            <w:tcBorders>
              <w:top w:val="nil"/>
              <w:left w:val="nil"/>
              <w:bottom w:val="nil"/>
              <w:right w:val="nil"/>
            </w:tcBorders>
            <w:shd w:val="clear" w:color="auto" w:fill="auto"/>
            <w:noWrap/>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iAK</w:t>
            </w:r>
          </w:p>
        </w:tc>
        <w:tc>
          <w:tcPr>
            <w:tcW w:w="107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Catalys</w:t>
            </w:r>
          </w:p>
        </w:tc>
        <w:tc>
          <w:tcPr>
            <w:tcW w:w="1028"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1</w:t>
            </w:r>
          </w:p>
        </w:tc>
        <w:tc>
          <w:tcPr>
            <w:tcW w:w="76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2,8</w:t>
            </w:r>
          </w:p>
        </w:tc>
        <w:tc>
          <w:tcPr>
            <w:tcW w:w="136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 xml:space="preserve">Temporal </w:t>
            </w:r>
          </w:p>
        </w:tc>
        <w:tc>
          <w:tcPr>
            <w:tcW w:w="1795"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Day</w:t>
            </w:r>
          </w:p>
        </w:tc>
        <w:tc>
          <w:tcPr>
            <w:tcW w:w="549"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1,21</w:t>
            </w:r>
          </w:p>
        </w:tc>
        <w:tc>
          <w:tcPr>
            <w:tcW w:w="732"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3</w:t>
            </w:r>
          </w:p>
        </w:tc>
        <w:tc>
          <w:tcPr>
            <w:tcW w:w="7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20</w:t>
            </w:r>
          </w:p>
        </w:tc>
        <w:tc>
          <w:tcPr>
            <w:tcW w:w="70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47</w:t>
            </w:r>
          </w:p>
        </w:tc>
        <w:tc>
          <w:tcPr>
            <w:tcW w:w="505"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74</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36"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520" w:type="dxa"/>
            <w:tcBorders>
              <w:top w:val="nil"/>
              <w:left w:val="nil"/>
              <w:bottom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r>
      <w:tr w:rsidR="005F7F09" w:rsidRPr="004873CC" w:rsidTr="00740F2C">
        <w:trPr>
          <w:trHeight w:val="288"/>
        </w:trPr>
        <w:tc>
          <w:tcPr>
            <w:tcW w:w="1366" w:type="dxa"/>
            <w:tcBorders>
              <w:top w:val="nil"/>
              <w:left w:val="nil"/>
              <w:bottom w:val="nil"/>
              <w:right w:val="nil"/>
            </w:tcBorders>
            <w:shd w:val="clear" w:color="auto" w:fill="auto"/>
            <w:noWrap/>
            <w:vAlign w:val="bottom"/>
            <w:hideMark/>
          </w:tcPr>
          <w:p w:rsidR="005F7F09" w:rsidRPr="005D5805" w:rsidRDefault="005F7F09" w:rsidP="00740F2C">
            <w:pPr>
              <w:spacing w:after="0" w:line="240" w:lineRule="auto"/>
              <w:rPr>
                <w:rFonts w:eastAsia="Times New Roman" w:cs="Calibri"/>
                <w:color w:val="000000"/>
                <w:sz w:val="18"/>
                <w:szCs w:val="18"/>
                <w:lang w:eastAsia="es-ES"/>
              </w:rPr>
            </w:pPr>
            <w:r w:rsidRPr="004873CC">
              <w:rPr>
                <w:rFonts w:eastAsia="Times New Roman" w:cs="Calibri"/>
                <w:color w:val="000000"/>
                <w:sz w:val="18"/>
                <w:szCs w:val="18"/>
                <w:lang w:val="es-ES" w:eastAsia="es-ES"/>
              </w:rPr>
              <w:t>Roberts</w:t>
            </w:r>
            <w:r w:rsidRPr="004873CC">
              <w:rPr>
                <w:rFonts w:ascii="Times New Roman" w:hAnsi="Times New Roman"/>
                <w:noProof/>
                <w:sz w:val="18"/>
                <w:szCs w:val="18"/>
              </w:rPr>
              <w:fldChar w:fldCharType="begin" w:fldLock="1"/>
            </w:r>
            <w:r>
              <w:rPr>
                <w:rFonts w:ascii="Times New Roman" w:hAnsi="Times New Roman"/>
                <w:noProof/>
                <w:sz w:val="18"/>
                <w:szCs w:val="18"/>
              </w:rPr>
              <w:instrText>ADDIN CSL_CITATION {"citationItems":[{"id":"ITEM-1","itemData":{"ISSN":"18734502","PMID":"30033111","abstract":"Purpose: To compare the results of manual limbal relaxing incisions (LRIs) performed during conventional phacoemulsification surgery with those of nonpenetrating femtosecond laser arcuate keratotomies performed during femtosecond laser–assisted cataract surgery to manage corneal astigmatism. Setting: Guy's and St. Thomas’ NHS Foundation Trust, London, United Kingdom. Design: Randomized case-controlled trial. Methods: This was a secondary outcome of a randomized controlled trial comparing 400 patients treated with conventional phacoemulsification surgery or femtosecond laser–assisted cataract surgery. All patients with corneal astigmatism greater than 0.9 diopter (D) were offered LRIs or femtosecond laser arcuate keratotomy based on the original randomization. Visual acuity, postoperative refraction, and corneal topography were recorded 4 weeks postoperatively. Vector analysis was performed using the Alpins method. Results: Fifty-one eyes of 51 patients received LRIs, and 53 eyes of 53 patients received femtosecond arcuate keratotomies. The mean target induced astigmatism was 1.50 D and 1.38 D, respectively, with 1.02 D and 1.23 D surgically induced astigmatism (P =.21), resulting in the femtosecond arcuate keratotomy group having a smaller difference vector (1.17 D versus 0.89 D; P =.02) and a greater correction index (0.48 versus 0.73; P =.02). Forty-four percent of patients in the femtosecond arcuate keratotomy group and 20% in the LRI group attained a postoperative cylinder of less than 0.50 D (P =.01). Conclusions: The femtosecond arcuate keratotomy group achieved a higher correction index and a smaller difference vector. The femtosecond arcuate keratotomy patients showed less postoperative cylinder than LRI patients.","author":[{"dropping-particle":"","family":"Roberts","given":"Harry W.","non-dropping-particle":"","parse-names":false,"suffix":""},{"dropping-particle":"","family":"Wagh","given":"Vijay K.","non-dropping-particle":"","parse-names":false,"suffix":""},{"dropping-particle":"","family":"Sullivan","given":"Daniel L.","non-dropping-particle":"","parse-names":false,"suffix":""},{"dropping-particle":"","family":"Archer","given":"Timothy J.","non-dropping-particle":"","parse-names":false,"suffix":""},{"dropping-particle":"","family":"O'Brart","given":"David P.S.","non-dropping-particle":"","parse-names":false,"suffix":""}],"container-title":"Journal of Cataract and Refractive Surgery","id":"ITEM-1","issue":"8","issued":{"date-parts":[["2018"]]},"page":"955-963","publisher":"ASCRS and ESCRS","title":"Refractive outcomes after limbal relaxing incisions or femtosecond laser arcuate keratotomy to manage corneal astigmatism at the time of cataract surgery","type":"article-journal","volume":"44"},"uris":["http://www.mendeley.com/documents/?uuid=eb01edb7-f301-42e0-b1bb-111169b28c4b"]}],"mendeley":{"formattedCitation":"[106]","plainTextFormattedCitation":"[106]","previouslyFormattedCitation":"[106]"},"properties":{"noteIndex":0},"schema":"https://github.com/citation-style-language/schema/raw/master/csl-citation.json"}</w:instrText>
            </w:r>
            <w:r w:rsidRPr="004873CC">
              <w:rPr>
                <w:rFonts w:ascii="Times New Roman" w:hAnsi="Times New Roman"/>
                <w:noProof/>
                <w:sz w:val="18"/>
                <w:szCs w:val="18"/>
              </w:rPr>
              <w:fldChar w:fldCharType="separate"/>
            </w:r>
            <w:r w:rsidRPr="000D1793">
              <w:rPr>
                <w:rFonts w:ascii="Times New Roman" w:hAnsi="Times New Roman"/>
                <w:noProof/>
                <w:sz w:val="18"/>
                <w:szCs w:val="18"/>
              </w:rPr>
              <w:t>[106]</w:t>
            </w:r>
            <w:r w:rsidRPr="004873CC">
              <w:rPr>
                <w:rFonts w:ascii="Times New Roman" w:hAnsi="Times New Roman"/>
                <w:noProof/>
                <w:sz w:val="18"/>
                <w:szCs w:val="18"/>
              </w:rPr>
              <w:fldChar w:fldCharType="end"/>
            </w:r>
          </w:p>
        </w:tc>
        <w:tc>
          <w:tcPr>
            <w:tcW w:w="640" w:type="dxa"/>
            <w:tcBorders>
              <w:top w:val="nil"/>
              <w:left w:val="nil"/>
              <w:bottom w:val="nil"/>
              <w:right w:val="nil"/>
            </w:tcBorders>
            <w:shd w:val="clear" w:color="auto" w:fill="auto"/>
            <w:noWrap/>
            <w:vAlign w:val="bottom"/>
            <w:hideMark/>
          </w:tcPr>
          <w:p w:rsidR="005F7F09" w:rsidRPr="005D5805" w:rsidRDefault="005F7F09" w:rsidP="00740F2C">
            <w:pPr>
              <w:spacing w:after="0" w:line="240" w:lineRule="auto"/>
              <w:jc w:val="center"/>
              <w:rPr>
                <w:rFonts w:eastAsia="Times New Roman" w:cs="Calibri"/>
                <w:color w:val="000000"/>
                <w:sz w:val="18"/>
                <w:szCs w:val="18"/>
                <w:lang w:eastAsia="es-ES"/>
              </w:rPr>
            </w:pPr>
            <w:r w:rsidRPr="005D5805">
              <w:rPr>
                <w:rFonts w:eastAsia="Times New Roman" w:cs="Calibri"/>
                <w:color w:val="000000"/>
                <w:sz w:val="18"/>
                <w:szCs w:val="18"/>
                <w:lang w:eastAsia="es-ES"/>
              </w:rPr>
              <w:t>2018</w:t>
            </w:r>
          </w:p>
        </w:tc>
        <w:tc>
          <w:tcPr>
            <w:tcW w:w="500" w:type="dxa"/>
            <w:tcBorders>
              <w:top w:val="nil"/>
              <w:left w:val="nil"/>
              <w:bottom w:val="nil"/>
              <w:right w:val="nil"/>
            </w:tcBorders>
            <w:shd w:val="clear" w:color="auto" w:fill="auto"/>
            <w:noWrap/>
            <w:vAlign w:val="bottom"/>
            <w:hideMark/>
          </w:tcPr>
          <w:p w:rsidR="005F7F09" w:rsidRPr="005D5805" w:rsidRDefault="005F7F09" w:rsidP="00740F2C">
            <w:pPr>
              <w:spacing w:after="0" w:line="240" w:lineRule="auto"/>
              <w:jc w:val="center"/>
              <w:rPr>
                <w:rFonts w:eastAsia="Times New Roman" w:cs="Calibri"/>
                <w:color w:val="000000"/>
                <w:sz w:val="18"/>
                <w:szCs w:val="18"/>
                <w:lang w:eastAsia="es-ES"/>
              </w:rPr>
            </w:pPr>
            <w:r w:rsidRPr="005D5805">
              <w:rPr>
                <w:rFonts w:eastAsia="Times New Roman" w:cs="Calibri"/>
                <w:color w:val="000000"/>
                <w:sz w:val="18"/>
                <w:szCs w:val="18"/>
                <w:lang w:eastAsia="es-ES"/>
              </w:rPr>
              <w:t>44</w:t>
            </w:r>
          </w:p>
        </w:tc>
        <w:tc>
          <w:tcPr>
            <w:tcW w:w="587" w:type="dxa"/>
            <w:tcBorders>
              <w:top w:val="nil"/>
              <w:left w:val="nil"/>
              <w:bottom w:val="nil"/>
              <w:right w:val="nil"/>
            </w:tcBorders>
            <w:shd w:val="clear" w:color="auto" w:fill="auto"/>
            <w:noWrap/>
            <w:hideMark/>
          </w:tcPr>
          <w:p w:rsidR="005F7F09" w:rsidRPr="005D5805" w:rsidRDefault="005F7F09" w:rsidP="00740F2C">
            <w:pPr>
              <w:spacing w:after="0" w:line="240" w:lineRule="auto"/>
              <w:jc w:val="center"/>
              <w:rPr>
                <w:rFonts w:eastAsia="Times New Roman" w:cs="Calibri"/>
                <w:color w:val="000000"/>
                <w:sz w:val="18"/>
                <w:szCs w:val="18"/>
                <w:lang w:eastAsia="es-ES"/>
              </w:rPr>
            </w:pPr>
            <w:r w:rsidRPr="005D5805">
              <w:rPr>
                <w:rFonts w:eastAsia="Times New Roman" w:cs="Calibri"/>
                <w:color w:val="000000"/>
                <w:sz w:val="18"/>
                <w:szCs w:val="18"/>
                <w:lang w:eastAsia="es-ES"/>
              </w:rPr>
              <w:t>iAK</w:t>
            </w:r>
          </w:p>
        </w:tc>
        <w:tc>
          <w:tcPr>
            <w:tcW w:w="1070" w:type="dxa"/>
            <w:tcBorders>
              <w:top w:val="nil"/>
              <w:left w:val="nil"/>
              <w:bottom w:val="nil"/>
              <w:right w:val="nil"/>
            </w:tcBorders>
            <w:shd w:val="clear" w:color="auto" w:fill="auto"/>
            <w:noWrap/>
            <w:vAlign w:val="bottom"/>
            <w:hideMark/>
          </w:tcPr>
          <w:p w:rsidR="005F7F09" w:rsidRPr="005D5805" w:rsidRDefault="005F7F09" w:rsidP="00740F2C">
            <w:pPr>
              <w:spacing w:after="0" w:line="240" w:lineRule="auto"/>
              <w:jc w:val="center"/>
              <w:rPr>
                <w:rFonts w:eastAsia="Times New Roman" w:cs="Calibri"/>
                <w:color w:val="000000"/>
                <w:sz w:val="18"/>
                <w:szCs w:val="18"/>
                <w:lang w:eastAsia="es-ES"/>
              </w:rPr>
            </w:pPr>
            <w:r w:rsidRPr="005D5805">
              <w:rPr>
                <w:rFonts w:eastAsia="Times New Roman" w:cs="Calibri"/>
                <w:color w:val="000000"/>
                <w:sz w:val="18"/>
                <w:szCs w:val="18"/>
                <w:lang w:eastAsia="es-ES"/>
              </w:rPr>
              <w:t>LensX</w:t>
            </w:r>
          </w:p>
        </w:tc>
        <w:tc>
          <w:tcPr>
            <w:tcW w:w="1028" w:type="dxa"/>
            <w:tcBorders>
              <w:top w:val="nil"/>
              <w:left w:val="nil"/>
              <w:bottom w:val="nil"/>
              <w:right w:val="nil"/>
            </w:tcBorders>
            <w:shd w:val="clear" w:color="auto" w:fill="auto"/>
            <w:noWrap/>
            <w:vAlign w:val="bottom"/>
            <w:hideMark/>
          </w:tcPr>
          <w:p w:rsidR="005F7F09" w:rsidRPr="005D5805" w:rsidRDefault="005F7F09" w:rsidP="00740F2C">
            <w:pPr>
              <w:spacing w:after="0" w:line="240" w:lineRule="auto"/>
              <w:jc w:val="center"/>
              <w:rPr>
                <w:rFonts w:eastAsia="Times New Roman" w:cs="Calibri"/>
                <w:color w:val="000000"/>
                <w:sz w:val="18"/>
                <w:szCs w:val="18"/>
                <w:lang w:eastAsia="es-ES"/>
              </w:rPr>
            </w:pPr>
            <w:r w:rsidRPr="005D5805">
              <w:rPr>
                <w:rFonts w:eastAsia="Times New Roman" w:cs="Calibri"/>
                <w:color w:val="000000"/>
                <w:sz w:val="18"/>
                <w:szCs w:val="18"/>
                <w:lang w:eastAsia="es-ES"/>
              </w:rPr>
              <w:t>6</w:t>
            </w:r>
          </w:p>
        </w:tc>
        <w:tc>
          <w:tcPr>
            <w:tcW w:w="760" w:type="dxa"/>
            <w:tcBorders>
              <w:top w:val="nil"/>
              <w:left w:val="nil"/>
              <w:bottom w:val="nil"/>
              <w:right w:val="nil"/>
            </w:tcBorders>
            <w:shd w:val="clear" w:color="auto" w:fill="auto"/>
            <w:noWrap/>
            <w:vAlign w:val="bottom"/>
            <w:hideMark/>
          </w:tcPr>
          <w:p w:rsidR="005F7F09" w:rsidRPr="005D5805" w:rsidRDefault="005F7F09" w:rsidP="00740F2C">
            <w:pPr>
              <w:spacing w:after="0" w:line="240" w:lineRule="auto"/>
              <w:jc w:val="center"/>
              <w:rPr>
                <w:rFonts w:eastAsia="Times New Roman" w:cs="Calibri"/>
                <w:color w:val="000000"/>
                <w:sz w:val="18"/>
                <w:szCs w:val="18"/>
                <w:lang w:eastAsia="es-ES"/>
              </w:rPr>
            </w:pPr>
            <w:r w:rsidRPr="005D5805">
              <w:rPr>
                <w:rFonts w:eastAsia="Times New Roman" w:cs="Calibri"/>
                <w:color w:val="000000"/>
                <w:sz w:val="18"/>
                <w:szCs w:val="18"/>
                <w:lang w:eastAsia="es-ES"/>
              </w:rPr>
              <w:t>2,4</w:t>
            </w:r>
          </w:p>
        </w:tc>
        <w:tc>
          <w:tcPr>
            <w:tcW w:w="1360" w:type="dxa"/>
            <w:tcBorders>
              <w:top w:val="nil"/>
              <w:left w:val="nil"/>
              <w:bottom w:val="nil"/>
              <w:right w:val="nil"/>
            </w:tcBorders>
            <w:shd w:val="clear" w:color="auto" w:fill="auto"/>
            <w:noWrap/>
            <w:vAlign w:val="bottom"/>
            <w:hideMark/>
          </w:tcPr>
          <w:p w:rsidR="005F7F09" w:rsidRPr="005D5805" w:rsidRDefault="005F7F09" w:rsidP="00740F2C">
            <w:pPr>
              <w:spacing w:after="0" w:line="240" w:lineRule="auto"/>
              <w:jc w:val="center"/>
              <w:rPr>
                <w:rFonts w:eastAsia="Times New Roman" w:cs="Calibri"/>
                <w:color w:val="000000"/>
                <w:sz w:val="18"/>
                <w:szCs w:val="18"/>
                <w:lang w:eastAsia="es-ES"/>
              </w:rPr>
            </w:pPr>
            <w:r w:rsidRPr="005D5805">
              <w:rPr>
                <w:rFonts w:eastAsia="Times New Roman" w:cs="Calibri"/>
                <w:color w:val="000000"/>
                <w:sz w:val="18"/>
                <w:szCs w:val="18"/>
                <w:lang w:eastAsia="es-ES"/>
              </w:rPr>
              <w:t>Middle Arcuate</w:t>
            </w:r>
          </w:p>
        </w:tc>
        <w:tc>
          <w:tcPr>
            <w:tcW w:w="1795" w:type="dxa"/>
            <w:tcBorders>
              <w:top w:val="nil"/>
              <w:left w:val="nil"/>
              <w:bottom w:val="nil"/>
              <w:right w:val="nil"/>
            </w:tcBorders>
            <w:shd w:val="clear" w:color="auto" w:fill="auto"/>
            <w:noWrap/>
            <w:vAlign w:val="bottom"/>
            <w:hideMark/>
          </w:tcPr>
          <w:p w:rsidR="005F7F09" w:rsidRPr="005D5805" w:rsidRDefault="005F7F09" w:rsidP="00740F2C">
            <w:pPr>
              <w:spacing w:after="0" w:line="240" w:lineRule="auto"/>
              <w:jc w:val="center"/>
              <w:rPr>
                <w:rFonts w:eastAsia="Times New Roman" w:cs="Calibri"/>
                <w:color w:val="000000"/>
                <w:sz w:val="18"/>
                <w:szCs w:val="18"/>
                <w:lang w:eastAsia="es-ES"/>
              </w:rPr>
            </w:pPr>
            <w:r w:rsidRPr="005D5805">
              <w:rPr>
                <w:rFonts w:eastAsia="Times New Roman" w:cs="Calibri"/>
                <w:color w:val="000000"/>
                <w:sz w:val="18"/>
                <w:szCs w:val="18"/>
                <w:lang w:eastAsia="es-ES"/>
              </w:rPr>
              <w:t>Day</w:t>
            </w:r>
          </w:p>
        </w:tc>
        <w:tc>
          <w:tcPr>
            <w:tcW w:w="549" w:type="dxa"/>
            <w:tcBorders>
              <w:top w:val="nil"/>
              <w:left w:val="nil"/>
              <w:bottom w:val="nil"/>
              <w:right w:val="nil"/>
            </w:tcBorders>
            <w:shd w:val="clear" w:color="auto" w:fill="auto"/>
            <w:noWrap/>
            <w:vAlign w:val="bottom"/>
            <w:hideMark/>
          </w:tcPr>
          <w:p w:rsidR="005F7F09" w:rsidRPr="005D5805" w:rsidRDefault="005F7F09" w:rsidP="00740F2C">
            <w:pPr>
              <w:spacing w:after="0" w:line="240" w:lineRule="auto"/>
              <w:jc w:val="center"/>
              <w:rPr>
                <w:rFonts w:eastAsia="Times New Roman" w:cs="Calibri"/>
                <w:color w:val="000000"/>
                <w:sz w:val="18"/>
                <w:szCs w:val="18"/>
                <w:lang w:eastAsia="es-ES"/>
              </w:rPr>
            </w:pPr>
            <w:r w:rsidRPr="005D5805">
              <w:rPr>
                <w:rFonts w:eastAsia="Times New Roman" w:cs="Calibri"/>
                <w:color w:val="000000"/>
                <w:sz w:val="18"/>
                <w:szCs w:val="18"/>
                <w:lang w:eastAsia="es-ES"/>
              </w:rPr>
              <w:t>1,38</w:t>
            </w:r>
          </w:p>
        </w:tc>
        <w:tc>
          <w:tcPr>
            <w:tcW w:w="732" w:type="dxa"/>
            <w:tcBorders>
              <w:top w:val="nil"/>
              <w:left w:val="nil"/>
              <w:bottom w:val="nil"/>
              <w:right w:val="nil"/>
            </w:tcBorders>
            <w:shd w:val="clear" w:color="auto" w:fill="auto"/>
            <w:noWrap/>
            <w:vAlign w:val="bottom"/>
            <w:hideMark/>
          </w:tcPr>
          <w:p w:rsidR="005F7F09" w:rsidRPr="005D5805" w:rsidRDefault="005F7F09" w:rsidP="00740F2C">
            <w:pPr>
              <w:spacing w:after="0" w:line="240" w:lineRule="auto"/>
              <w:jc w:val="center"/>
              <w:rPr>
                <w:rFonts w:eastAsia="Times New Roman" w:cs="Calibri"/>
                <w:color w:val="000000"/>
                <w:sz w:val="18"/>
                <w:szCs w:val="18"/>
                <w:lang w:eastAsia="es-ES"/>
              </w:rPr>
            </w:pPr>
            <w:r w:rsidRPr="005D5805">
              <w:rPr>
                <w:rFonts w:eastAsia="Times New Roman" w:cs="Calibri"/>
                <w:color w:val="000000"/>
                <w:sz w:val="18"/>
                <w:szCs w:val="18"/>
                <w:lang w:eastAsia="es-ES"/>
              </w:rPr>
              <w:t>NA</w:t>
            </w:r>
          </w:p>
        </w:tc>
        <w:tc>
          <w:tcPr>
            <w:tcW w:w="700" w:type="dxa"/>
            <w:tcBorders>
              <w:top w:val="nil"/>
              <w:left w:val="nil"/>
              <w:bottom w:val="nil"/>
              <w:right w:val="nil"/>
            </w:tcBorders>
            <w:shd w:val="clear" w:color="auto" w:fill="auto"/>
            <w:noWrap/>
            <w:vAlign w:val="bottom"/>
            <w:hideMark/>
          </w:tcPr>
          <w:p w:rsidR="005F7F09" w:rsidRPr="005D5805" w:rsidRDefault="005F7F09" w:rsidP="00740F2C">
            <w:pPr>
              <w:spacing w:after="0" w:line="240" w:lineRule="auto"/>
              <w:jc w:val="center"/>
              <w:rPr>
                <w:rFonts w:eastAsia="Times New Roman" w:cs="Calibri"/>
                <w:color w:val="000000"/>
                <w:sz w:val="18"/>
                <w:szCs w:val="18"/>
                <w:lang w:eastAsia="es-ES"/>
              </w:rPr>
            </w:pPr>
            <w:r w:rsidRPr="005D5805">
              <w:rPr>
                <w:rFonts w:eastAsia="Times New Roman" w:cs="Calibri"/>
                <w:color w:val="000000"/>
                <w:sz w:val="18"/>
                <w:szCs w:val="18"/>
                <w:lang w:eastAsia="es-ES"/>
              </w:rPr>
              <w:t>NA</w:t>
            </w:r>
          </w:p>
        </w:tc>
        <w:tc>
          <w:tcPr>
            <w:tcW w:w="700" w:type="dxa"/>
            <w:tcBorders>
              <w:top w:val="nil"/>
              <w:left w:val="nil"/>
              <w:bottom w:val="nil"/>
              <w:right w:val="nil"/>
            </w:tcBorders>
            <w:shd w:val="clear" w:color="auto" w:fill="auto"/>
            <w:noWrap/>
            <w:vAlign w:val="bottom"/>
            <w:hideMark/>
          </w:tcPr>
          <w:p w:rsidR="005F7F09" w:rsidRPr="005D5805" w:rsidRDefault="005F7F09" w:rsidP="00740F2C">
            <w:pPr>
              <w:spacing w:after="0" w:line="240" w:lineRule="auto"/>
              <w:jc w:val="center"/>
              <w:rPr>
                <w:rFonts w:eastAsia="Times New Roman" w:cs="Calibri"/>
                <w:color w:val="000000"/>
                <w:sz w:val="18"/>
                <w:szCs w:val="18"/>
                <w:lang w:eastAsia="es-ES"/>
              </w:rPr>
            </w:pPr>
            <w:r w:rsidRPr="005D5805">
              <w:rPr>
                <w:rFonts w:eastAsia="Times New Roman" w:cs="Calibri"/>
                <w:color w:val="000000"/>
                <w:sz w:val="18"/>
                <w:szCs w:val="18"/>
                <w:lang w:eastAsia="es-ES"/>
              </w:rPr>
              <w:t>NA</w:t>
            </w:r>
          </w:p>
        </w:tc>
        <w:tc>
          <w:tcPr>
            <w:tcW w:w="505" w:type="dxa"/>
            <w:tcBorders>
              <w:top w:val="nil"/>
              <w:left w:val="nil"/>
              <w:bottom w:val="nil"/>
              <w:right w:val="nil"/>
            </w:tcBorders>
            <w:shd w:val="clear" w:color="auto" w:fill="auto"/>
            <w:noWrap/>
            <w:vAlign w:val="bottom"/>
            <w:hideMark/>
          </w:tcPr>
          <w:p w:rsidR="005F7F09" w:rsidRPr="005D5805" w:rsidRDefault="005F7F09" w:rsidP="00740F2C">
            <w:pPr>
              <w:spacing w:after="0" w:line="240" w:lineRule="auto"/>
              <w:jc w:val="center"/>
              <w:rPr>
                <w:rFonts w:eastAsia="Times New Roman" w:cs="Calibri"/>
                <w:color w:val="000000"/>
                <w:sz w:val="18"/>
                <w:szCs w:val="18"/>
                <w:lang w:eastAsia="es-ES"/>
              </w:rPr>
            </w:pPr>
            <w:r w:rsidRPr="005D5805">
              <w:rPr>
                <w:rFonts w:eastAsia="Times New Roman" w:cs="Calibri"/>
                <w:color w:val="000000"/>
                <w:sz w:val="18"/>
                <w:szCs w:val="18"/>
                <w:lang w:eastAsia="es-ES"/>
              </w:rPr>
              <w:t>NA</w:t>
            </w:r>
          </w:p>
        </w:tc>
        <w:tc>
          <w:tcPr>
            <w:tcW w:w="736" w:type="dxa"/>
            <w:tcBorders>
              <w:top w:val="nil"/>
              <w:left w:val="nil"/>
              <w:bottom w:val="nil"/>
              <w:right w:val="nil"/>
            </w:tcBorders>
            <w:shd w:val="clear" w:color="auto" w:fill="auto"/>
            <w:noWrap/>
            <w:vAlign w:val="bottom"/>
            <w:hideMark/>
          </w:tcPr>
          <w:p w:rsidR="005F7F09" w:rsidRPr="005D5805" w:rsidRDefault="005F7F09" w:rsidP="00740F2C">
            <w:pPr>
              <w:spacing w:after="0" w:line="240" w:lineRule="auto"/>
              <w:jc w:val="center"/>
              <w:rPr>
                <w:rFonts w:eastAsia="Times New Roman" w:cs="Calibri"/>
                <w:color w:val="000000"/>
                <w:sz w:val="18"/>
                <w:szCs w:val="18"/>
                <w:lang w:eastAsia="es-ES"/>
              </w:rPr>
            </w:pPr>
            <w:r w:rsidRPr="005D5805">
              <w:rPr>
                <w:rFonts w:eastAsia="Times New Roman" w:cs="Calibri"/>
                <w:color w:val="000000"/>
                <w:sz w:val="18"/>
                <w:szCs w:val="18"/>
                <w:lang w:eastAsia="es-ES"/>
              </w:rPr>
              <w:t>2</w:t>
            </w:r>
          </w:p>
        </w:tc>
        <w:tc>
          <w:tcPr>
            <w:tcW w:w="736" w:type="dxa"/>
            <w:tcBorders>
              <w:top w:val="nil"/>
              <w:left w:val="nil"/>
              <w:bottom w:val="nil"/>
              <w:right w:val="nil"/>
            </w:tcBorders>
            <w:shd w:val="clear" w:color="auto" w:fill="auto"/>
            <w:noWrap/>
            <w:vAlign w:val="bottom"/>
            <w:hideMark/>
          </w:tcPr>
          <w:p w:rsidR="005F7F09" w:rsidRPr="005D5805" w:rsidRDefault="005F7F09" w:rsidP="00740F2C">
            <w:pPr>
              <w:spacing w:after="0" w:line="240" w:lineRule="auto"/>
              <w:jc w:val="center"/>
              <w:rPr>
                <w:rFonts w:eastAsia="Times New Roman" w:cs="Calibri"/>
                <w:color w:val="000000"/>
                <w:sz w:val="18"/>
                <w:szCs w:val="18"/>
                <w:lang w:eastAsia="es-ES"/>
              </w:rPr>
            </w:pPr>
            <w:r w:rsidRPr="005D5805">
              <w:rPr>
                <w:rFonts w:eastAsia="Times New Roman" w:cs="Calibri"/>
                <w:color w:val="000000"/>
                <w:sz w:val="18"/>
                <w:szCs w:val="18"/>
                <w:lang w:eastAsia="es-ES"/>
              </w:rPr>
              <w:t>42</w:t>
            </w:r>
          </w:p>
        </w:tc>
        <w:tc>
          <w:tcPr>
            <w:tcW w:w="736" w:type="dxa"/>
            <w:tcBorders>
              <w:top w:val="nil"/>
              <w:left w:val="nil"/>
              <w:bottom w:val="nil"/>
              <w:right w:val="nil"/>
            </w:tcBorders>
            <w:shd w:val="clear" w:color="auto" w:fill="auto"/>
            <w:noWrap/>
            <w:vAlign w:val="bottom"/>
            <w:hideMark/>
          </w:tcPr>
          <w:p w:rsidR="005F7F09" w:rsidRPr="005D5805" w:rsidRDefault="005F7F09" w:rsidP="00740F2C">
            <w:pPr>
              <w:spacing w:after="0" w:line="240" w:lineRule="auto"/>
              <w:jc w:val="center"/>
              <w:rPr>
                <w:rFonts w:eastAsia="Times New Roman" w:cs="Calibri"/>
                <w:color w:val="000000"/>
                <w:sz w:val="18"/>
                <w:szCs w:val="18"/>
                <w:lang w:eastAsia="es-ES"/>
              </w:rPr>
            </w:pPr>
            <w:r w:rsidRPr="005D5805">
              <w:rPr>
                <w:rFonts w:eastAsia="Times New Roman" w:cs="Calibri"/>
                <w:color w:val="000000"/>
                <w:sz w:val="18"/>
                <w:szCs w:val="18"/>
                <w:lang w:eastAsia="es-ES"/>
              </w:rPr>
              <w:t>56</w:t>
            </w:r>
          </w:p>
        </w:tc>
        <w:tc>
          <w:tcPr>
            <w:tcW w:w="520" w:type="dxa"/>
            <w:tcBorders>
              <w:top w:val="nil"/>
              <w:left w:val="nil"/>
              <w:bottom w:val="nil"/>
              <w:right w:val="nil"/>
            </w:tcBorders>
            <w:shd w:val="clear" w:color="auto" w:fill="auto"/>
            <w:noWrap/>
            <w:vAlign w:val="bottom"/>
            <w:hideMark/>
          </w:tcPr>
          <w:p w:rsidR="005F7F09" w:rsidRPr="005D5805" w:rsidRDefault="005F7F09" w:rsidP="00740F2C">
            <w:pPr>
              <w:spacing w:after="0" w:line="240" w:lineRule="auto"/>
              <w:jc w:val="center"/>
              <w:rPr>
                <w:rFonts w:eastAsia="Times New Roman" w:cs="Calibri"/>
                <w:color w:val="000000"/>
                <w:sz w:val="18"/>
                <w:szCs w:val="18"/>
                <w:lang w:eastAsia="es-ES"/>
              </w:rPr>
            </w:pPr>
            <w:r w:rsidRPr="005D5805">
              <w:rPr>
                <w:rFonts w:eastAsia="Times New Roman" w:cs="Calibri"/>
                <w:color w:val="000000"/>
                <w:sz w:val="18"/>
                <w:szCs w:val="18"/>
                <w:lang w:eastAsia="es-ES"/>
              </w:rPr>
              <w:t>75</w:t>
            </w:r>
          </w:p>
        </w:tc>
      </w:tr>
      <w:tr w:rsidR="005F7F09" w:rsidRPr="004873CC" w:rsidTr="00740F2C">
        <w:trPr>
          <w:trHeight w:val="288"/>
        </w:trPr>
        <w:tc>
          <w:tcPr>
            <w:tcW w:w="1366" w:type="dxa"/>
            <w:tcBorders>
              <w:top w:val="nil"/>
              <w:left w:val="nil"/>
              <w:right w:val="nil"/>
            </w:tcBorders>
            <w:shd w:val="clear" w:color="auto" w:fill="auto"/>
            <w:noWrap/>
            <w:vAlign w:val="bottom"/>
            <w:hideMark/>
          </w:tcPr>
          <w:p w:rsidR="005F7F09" w:rsidRPr="004873CC" w:rsidRDefault="005F7F09" w:rsidP="00740F2C">
            <w:pPr>
              <w:spacing w:after="0" w:line="240" w:lineRule="auto"/>
              <w:rPr>
                <w:rFonts w:eastAsia="Times New Roman" w:cs="Calibri"/>
                <w:color w:val="000000"/>
                <w:sz w:val="18"/>
                <w:szCs w:val="18"/>
                <w:lang w:val="es-ES" w:eastAsia="es-ES"/>
              </w:rPr>
            </w:pPr>
            <w:r w:rsidRPr="005D5805">
              <w:rPr>
                <w:rFonts w:eastAsia="Times New Roman" w:cs="Calibri"/>
                <w:color w:val="000000"/>
                <w:sz w:val="18"/>
                <w:szCs w:val="18"/>
                <w:lang w:eastAsia="es-ES"/>
              </w:rPr>
              <w:t>Ganesh</w:t>
            </w:r>
            <w:r w:rsidRPr="004873CC">
              <w:rPr>
                <w:rFonts w:ascii="Times New Roman" w:hAnsi="Times New Roman"/>
                <w:noProof/>
                <w:sz w:val="18"/>
                <w:szCs w:val="18"/>
              </w:rPr>
              <w:fldChar w:fldCharType="begin" w:fldLock="1"/>
            </w:r>
            <w:r>
              <w:rPr>
                <w:rFonts w:ascii="Times New Roman" w:hAnsi="Times New Roman"/>
                <w:noProof/>
                <w:sz w:val="18"/>
                <w:szCs w:val="18"/>
              </w:rPr>
              <w:instrText>ADDIN CSL_CITATION {"citationItems":[{"id":"ITEM-1","itemData":{"ISBN":"0000000000000","ISSN":"18734502","PMID":"32050207","abstract":"Purpose:To compare the safety, efficacy, and predictability of femtosecond laser-enabled anterior penetrating and intrastromal arcuate incisions for the correction of preoperative astigmatism at the time of cataract surgery.Setting:Nethradhama Super Speciality Eye Hospital, Bangalore, India.Design:Prospective randomized comparison study.Methods:This study included 50 eyes of 50 patients who had femtosecond laser-assisted cataract surgery with the CATALYS Precision System (Johnson &amp; Johnson Vision Care, Inc.). Twenty-five eyes received anterior penetrating and 25 eyes received intrastromal arcuate incisions for the correction of corneal astigmatism in the range of 0.75 to 2.00 diopters (D). Six months postoperatively, vector analysis of astigmatism was performed using the Alpins method with the ASSORT software.Results:The mean preoperative keratometric astigmatism and target-induced astigmatism were 1.07 D and 1.16 D in the anterior penetrating group and 1.23 D and 1.50 D in the intrastromal group, respectively. There was no statistically significant difference between the postoperative keratometric astigmatism (anterior penetrating = 0.65, intrastromal = 0.90, P value =.13) and surgically induced astigmatism (anterior penetrating = 1.23, intrastromal = 1.08, P value =.55) at 6 months postoperatively. The correction index was 0.95 in the anterior penetrating group and 0.55 in the intrastromal group, signifying an undercorrection of 5% and 45% of eyes in the anterior penetrating and intrastromal group, respectively. Eighty percent of eyes in the anterior penetrating group and 72% of eyes in the intrastromal group were within ±0.5 D of refractive astigmatism.Conclusions:Both anterior penetrating and intrastromal incisions were effective in reducing preoperative astigmatism using the femtosecond laser technology. However, the anterior penetrating incisions showed comparatively better correction, whereas the intrastromal incisions resulted in significant undercorrection at 6 months.","author":[{"dropping-particle":"","family":"Ganesh","given":"Sri","non-dropping-particle":"","parse-names":false,"suffix":""},{"dropping-particle":"","family":"Brar","given":"Sheetal","non-dropping-particle":"","parse-names":false,"suffix":""},{"dropping-particle":"","family":"Reddy Arra","given":"Raghavender","non-dropping-particle":"","parse-names":false,"suffix":""}],"container-title":"Journal of Cataract and Refractive Surgery","id":"ITEM-1","issue":"3","issued":{"date-parts":[["2020"]]},"page":"394-402","title":"Comparison of astigmatism correction between anterior penetrating and intrastromal arcuate incisions in eyes undergoing femtosecond laser-assisted cataract surgery","type":"article-journal","volume":"46"},"uris":["http://www.mendeley.com/documents/?uuid=1c9b5f13-833a-46b3-8edd-16cc975cd762"]}],"mendeley":{"formattedCitation":"[81]","plainTextFormattedCitation":"[81]","previouslyFormattedCitation":"[81]"},"properties":{"noteIndex":0},"schema":"https://github.com/citation-style-language/schema/raw/master/csl-citation.json"}</w:instrText>
            </w:r>
            <w:r w:rsidRPr="004873CC">
              <w:rPr>
                <w:rFonts w:ascii="Times New Roman" w:hAnsi="Times New Roman"/>
                <w:noProof/>
                <w:sz w:val="18"/>
                <w:szCs w:val="18"/>
              </w:rPr>
              <w:fldChar w:fldCharType="separate"/>
            </w:r>
            <w:r w:rsidRPr="000D1793">
              <w:rPr>
                <w:rFonts w:ascii="Times New Roman" w:hAnsi="Times New Roman"/>
                <w:noProof/>
                <w:sz w:val="18"/>
                <w:szCs w:val="18"/>
              </w:rPr>
              <w:t>[81]</w:t>
            </w:r>
            <w:r w:rsidRPr="004873CC">
              <w:rPr>
                <w:rFonts w:ascii="Times New Roman" w:hAnsi="Times New Roman"/>
                <w:noProof/>
                <w:sz w:val="18"/>
                <w:szCs w:val="18"/>
              </w:rPr>
              <w:fldChar w:fldCharType="end"/>
            </w:r>
          </w:p>
        </w:tc>
        <w:tc>
          <w:tcPr>
            <w:tcW w:w="640" w:type="dxa"/>
            <w:tcBorders>
              <w:top w:val="nil"/>
              <w:left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2020</w:t>
            </w:r>
          </w:p>
        </w:tc>
        <w:tc>
          <w:tcPr>
            <w:tcW w:w="500" w:type="dxa"/>
            <w:tcBorders>
              <w:top w:val="nil"/>
              <w:left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25</w:t>
            </w:r>
          </w:p>
        </w:tc>
        <w:tc>
          <w:tcPr>
            <w:tcW w:w="587" w:type="dxa"/>
            <w:tcBorders>
              <w:top w:val="nil"/>
              <w:left w:val="nil"/>
              <w:right w:val="nil"/>
            </w:tcBorders>
            <w:shd w:val="clear" w:color="auto" w:fill="auto"/>
            <w:noWrap/>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iAK</w:t>
            </w:r>
          </w:p>
        </w:tc>
        <w:tc>
          <w:tcPr>
            <w:tcW w:w="1070" w:type="dxa"/>
            <w:tcBorders>
              <w:top w:val="nil"/>
              <w:left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Catalys</w:t>
            </w:r>
          </w:p>
        </w:tc>
        <w:tc>
          <w:tcPr>
            <w:tcW w:w="1028" w:type="dxa"/>
            <w:tcBorders>
              <w:top w:val="nil"/>
              <w:left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6</w:t>
            </w:r>
          </w:p>
        </w:tc>
        <w:tc>
          <w:tcPr>
            <w:tcW w:w="760" w:type="dxa"/>
            <w:tcBorders>
              <w:top w:val="nil"/>
              <w:left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2,8</w:t>
            </w:r>
          </w:p>
        </w:tc>
        <w:tc>
          <w:tcPr>
            <w:tcW w:w="1360" w:type="dxa"/>
            <w:tcBorders>
              <w:top w:val="nil"/>
              <w:left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Temporal</w:t>
            </w:r>
          </w:p>
        </w:tc>
        <w:tc>
          <w:tcPr>
            <w:tcW w:w="1795" w:type="dxa"/>
            <w:tcBorders>
              <w:top w:val="nil"/>
              <w:left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549" w:type="dxa"/>
            <w:tcBorders>
              <w:top w:val="nil"/>
              <w:left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1,23</w:t>
            </w:r>
          </w:p>
        </w:tc>
        <w:tc>
          <w:tcPr>
            <w:tcW w:w="732" w:type="dxa"/>
            <w:tcBorders>
              <w:top w:val="nil"/>
              <w:left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00" w:type="dxa"/>
            <w:tcBorders>
              <w:top w:val="nil"/>
              <w:left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00" w:type="dxa"/>
            <w:tcBorders>
              <w:top w:val="nil"/>
              <w:left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505" w:type="dxa"/>
            <w:tcBorders>
              <w:top w:val="nil"/>
              <w:left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NA</w:t>
            </w:r>
          </w:p>
        </w:tc>
        <w:tc>
          <w:tcPr>
            <w:tcW w:w="736" w:type="dxa"/>
            <w:tcBorders>
              <w:top w:val="nil"/>
              <w:left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4</w:t>
            </w:r>
          </w:p>
        </w:tc>
        <w:tc>
          <w:tcPr>
            <w:tcW w:w="736" w:type="dxa"/>
            <w:tcBorders>
              <w:top w:val="nil"/>
              <w:left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76</w:t>
            </w:r>
          </w:p>
        </w:tc>
        <w:tc>
          <w:tcPr>
            <w:tcW w:w="736" w:type="dxa"/>
            <w:tcBorders>
              <w:top w:val="nil"/>
              <w:left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92</w:t>
            </w:r>
          </w:p>
        </w:tc>
        <w:tc>
          <w:tcPr>
            <w:tcW w:w="520" w:type="dxa"/>
            <w:tcBorders>
              <w:top w:val="nil"/>
              <w:left w:val="nil"/>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100</w:t>
            </w:r>
          </w:p>
        </w:tc>
      </w:tr>
      <w:tr w:rsidR="005F7F09" w:rsidRPr="004873CC" w:rsidTr="00740F2C">
        <w:trPr>
          <w:trHeight w:val="68"/>
        </w:trPr>
        <w:tc>
          <w:tcPr>
            <w:tcW w:w="1366" w:type="dxa"/>
            <w:tcBorders>
              <w:top w:val="nil"/>
              <w:left w:val="nil"/>
              <w:bottom w:val="thickThinSmallGap" w:sz="24" w:space="0" w:color="auto"/>
              <w:right w:val="nil"/>
            </w:tcBorders>
            <w:shd w:val="clear" w:color="auto" w:fill="auto"/>
            <w:noWrap/>
            <w:vAlign w:val="bottom"/>
            <w:hideMark/>
          </w:tcPr>
          <w:p w:rsidR="005F7F09" w:rsidRPr="004873CC" w:rsidRDefault="005F7F09" w:rsidP="00740F2C">
            <w:pPr>
              <w:spacing w:after="0" w:line="240" w:lineRule="auto"/>
              <w:rPr>
                <w:rFonts w:eastAsia="Times New Roman" w:cs="Calibri"/>
                <w:color w:val="000000"/>
                <w:sz w:val="18"/>
                <w:szCs w:val="18"/>
                <w:lang w:val="es-ES" w:eastAsia="es-ES"/>
              </w:rPr>
            </w:pPr>
            <w:r w:rsidRPr="004873CC">
              <w:rPr>
                <w:rFonts w:eastAsia="Times New Roman" w:cs="Calibri"/>
                <w:color w:val="000000"/>
                <w:sz w:val="18"/>
                <w:szCs w:val="18"/>
                <w:lang w:val="es-ES" w:eastAsia="es-ES"/>
              </w:rPr>
              <w:t>Wang</w:t>
            </w:r>
            <w:r w:rsidRPr="004873CC">
              <w:rPr>
                <w:rFonts w:ascii="Times New Roman" w:hAnsi="Times New Roman"/>
                <w:noProof/>
                <w:sz w:val="18"/>
                <w:szCs w:val="18"/>
              </w:rPr>
              <w:fldChar w:fldCharType="begin" w:fldLock="1"/>
            </w:r>
            <w:r>
              <w:rPr>
                <w:rFonts w:ascii="Times New Roman" w:hAnsi="Times New Roman"/>
                <w:noProof/>
                <w:sz w:val="18"/>
                <w:szCs w:val="18"/>
              </w:rPr>
              <w:instrText>ADDIN CSL_CITATION {"citationItems":[{"id":"ITEM-1","itemData":{"ISBN":"0000000000000","ISSN":"0886-3350","author":[{"dropping-particle":"","family":"Wang","given":"Li","non-dropping-particle":"","parse-names":false,"suffix":""},{"dropping-particle":"","family":"Scott","given":"Wendell","non-dropping-particle":"","parse-names":false,"suffix":""},{"dropping-particle":"","family":"Montes de Oca","given":"Ildamaris","non-dropping-particle":"","parse-names":false,"suffix":""},{"dropping-particle":"","family":"Koch","given":"Douglas D.","non-dropping-particle":"","parse-names":false,"suffix":""},{"dropping-particle":"","family":"Tauber","given":"Shachar","non-dropping-particle":"","parse-names":false,"suffix":""},{"dropping-particle":"","family":"Al-Mohtaseb","given":"Zaina","non-dropping-particle":"","parse-names":false,"suffix":""}],"container-title":"Journal of Cataract and Refractive Surgery","id":"ITEM-1","issue":"9","issued":{"date-parts":[["2022","9"]]},"page":"1063-1072","title":"Outcome of astigmatism correction using femtosecond laser combined with cataract surgery: penetrating vs intrastromal incisions","type":"article-journal","volume":"48"},"uris":["http://www.mendeley.com/documents/?uuid=bbf1e49f-8fb0-4bf4-a20e-2ce412ae6667"]}],"mendeley":{"formattedCitation":"[76]","plainTextFormattedCitation":"[76]","previouslyFormattedCitation":"[76]"},"properties":{"noteIndex":0},"schema":"https://github.com/citation-style-language/schema/raw/master/csl-citation.json"}</w:instrText>
            </w:r>
            <w:r w:rsidRPr="004873CC">
              <w:rPr>
                <w:rFonts w:ascii="Times New Roman" w:hAnsi="Times New Roman"/>
                <w:noProof/>
                <w:sz w:val="18"/>
                <w:szCs w:val="18"/>
              </w:rPr>
              <w:fldChar w:fldCharType="separate"/>
            </w:r>
            <w:r w:rsidRPr="000D1793">
              <w:rPr>
                <w:rFonts w:ascii="Times New Roman" w:hAnsi="Times New Roman"/>
                <w:noProof/>
                <w:sz w:val="18"/>
                <w:szCs w:val="18"/>
              </w:rPr>
              <w:t>[76]</w:t>
            </w:r>
            <w:r w:rsidRPr="004873CC">
              <w:rPr>
                <w:rFonts w:ascii="Times New Roman" w:hAnsi="Times New Roman"/>
                <w:noProof/>
                <w:sz w:val="18"/>
                <w:szCs w:val="18"/>
              </w:rPr>
              <w:fldChar w:fldCharType="end"/>
            </w:r>
          </w:p>
        </w:tc>
        <w:tc>
          <w:tcPr>
            <w:tcW w:w="640" w:type="dxa"/>
            <w:tcBorders>
              <w:top w:val="nil"/>
              <w:left w:val="nil"/>
              <w:bottom w:val="thickThinSmallGap" w:sz="24" w:space="0" w:color="auto"/>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2022</w:t>
            </w:r>
          </w:p>
        </w:tc>
        <w:tc>
          <w:tcPr>
            <w:tcW w:w="500" w:type="dxa"/>
            <w:tcBorders>
              <w:top w:val="nil"/>
              <w:left w:val="nil"/>
              <w:bottom w:val="thickThinSmallGap" w:sz="24" w:space="0" w:color="auto"/>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125</w:t>
            </w:r>
          </w:p>
        </w:tc>
        <w:tc>
          <w:tcPr>
            <w:tcW w:w="587" w:type="dxa"/>
            <w:tcBorders>
              <w:top w:val="nil"/>
              <w:left w:val="nil"/>
              <w:bottom w:val="thickThinSmallGap" w:sz="24" w:space="0" w:color="auto"/>
              <w:right w:val="nil"/>
            </w:tcBorders>
            <w:shd w:val="clear" w:color="auto" w:fill="auto"/>
            <w:noWrap/>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iAK</w:t>
            </w:r>
          </w:p>
        </w:tc>
        <w:tc>
          <w:tcPr>
            <w:tcW w:w="1070" w:type="dxa"/>
            <w:tcBorders>
              <w:top w:val="nil"/>
              <w:left w:val="nil"/>
              <w:bottom w:val="thickThinSmallGap" w:sz="24" w:space="0" w:color="auto"/>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Catalys</w:t>
            </w:r>
          </w:p>
        </w:tc>
        <w:tc>
          <w:tcPr>
            <w:tcW w:w="1028" w:type="dxa"/>
            <w:tcBorders>
              <w:top w:val="nil"/>
              <w:left w:val="nil"/>
              <w:bottom w:val="thickThinSmallGap" w:sz="24" w:space="0" w:color="auto"/>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1</w:t>
            </w:r>
          </w:p>
        </w:tc>
        <w:tc>
          <w:tcPr>
            <w:tcW w:w="760" w:type="dxa"/>
            <w:tcBorders>
              <w:top w:val="nil"/>
              <w:left w:val="nil"/>
              <w:bottom w:val="thickThinSmallGap" w:sz="24" w:space="0" w:color="auto"/>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2,4</w:t>
            </w:r>
          </w:p>
        </w:tc>
        <w:tc>
          <w:tcPr>
            <w:tcW w:w="1360" w:type="dxa"/>
            <w:tcBorders>
              <w:top w:val="nil"/>
              <w:left w:val="nil"/>
              <w:bottom w:val="thickThinSmallGap" w:sz="24" w:space="0" w:color="auto"/>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Temporal</w:t>
            </w:r>
          </w:p>
        </w:tc>
        <w:tc>
          <w:tcPr>
            <w:tcW w:w="1795" w:type="dxa"/>
            <w:tcBorders>
              <w:top w:val="nil"/>
              <w:left w:val="nil"/>
              <w:bottom w:val="thickThinSmallGap" w:sz="24" w:space="0" w:color="auto"/>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Julian Stevens v3</w:t>
            </w:r>
          </w:p>
        </w:tc>
        <w:tc>
          <w:tcPr>
            <w:tcW w:w="549" w:type="dxa"/>
            <w:tcBorders>
              <w:top w:val="nil"/>
              <w:left w:val="nil"/>
              <w:bottom w:val="thickThinSmallGap" w:sz="24" w:space="0" w:color="auto"/>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0,97</w:t>
            </w:r>
          </w:p>
        </w:tc>
        <w:tc>
          <w:tcPr>
            <w:tcW w:w="732" w:type="dxa"/>
            <w:tcBorders>
              <w:top w:val="nil"/>
              <w:left w:val="nil"/>
              <w:bottom w:val="thickThinSmallGap" w:sz="24" w:space="0" w:color="auto"/>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4</w:t>
            </w:r>
          </w:p>
        </w:tc>
        <w:tc>
          <w:tcPr>
            <w:tcW w:w="700" w:type="dxa"/>
            <w:tcBorders>
              <w:top w:val="nil"/>
              <w:left w:val="nil"/>
              <w:bottom w:val="thickThinSmallGap" w:sz="24" w:space="0" w:color="auto"/>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14</w:t>
            </w:r>
          </w:p>
        </w:tc>
        <w:tc>
          <w:tcPr>
            <w:tcW w:w="700" w:type="dxa"/>
            <w:tcBorders>
              <w:top w:val="nil"/>
              <w:left w:val="nil"/>
              <w:bottom w:val="thickThinSmallGap" w:sz="24" w:space="0" w:color="auto"/>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34</w:t>
            </w:r>
          </w:p>
        </w:tc>
        <w:tc>
          <w:tcPr>
            <w:tcW w:w="505" w:type="dxa"/>
            <w:tcBorders>
              <w:top w:val="nil"/>
              <w:left w:val="nil"/>
              <w:bottom w:val="thickThinSmallGap" w:sz="24" w:space="0" w:color="auto"/>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58</w:t>
            </w:r>
          </w:p>
        </w:tc>
        <w:tc>
          <w:tcPr>
            <w:tcW w:w="736" w:type="dxa"/>
            <w:tcBorders>
              <w:top w:val="nil"/>
              <w:left w:val="nil"/>
              <w:bottom w:val="thickThinSmallGap" w:sz="24" w:space="0" w:color="auto"/>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55</w:t>
            </w:r>
          </w:p>
        </w:tc>
        <w:tc>
          <w:tcPr>
            <w:tcW w:w="736" w:type="dxa"/>
            <w:tcBorders>
              <w:top w:val="nil"/>
              <w:left w:val="nil"/>
              <w:bottom w:val="thickThinSmallGap" w:sz="24" w:space="0" w:color="auto"/>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76</w:t>
            </w:r>
          </w:p>
        </w:tc>
        <w:tc>
          <w:tcPr>
            <w:tcW w:w="736" w:type="dxa"/>
            <w:tcBorders>
              <w:top w:val="nil"/>
              <w:left w:val="nil"/>
              <w:bottom w:val="thickThinSmallGap" w:sz="24" w:space="0" w:color="auto"/>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90</w:t>
            </w:r>
          </w:p>
        </w:tc>
        <w:tc>
          <w:tcPr>
            <w:tcW w:w="520" w:type="dxa"/>
            <w:tcBorders>
              <w:top w:val="nil"/>
              <w:left w:val="nil"/>
              <w:bottom w:val="thickThinSmallGap" w:sz="24" w:space="0" w:color="auto"/>
              <w:right w:val="nil"/>
            </w:tcBorders>
            <w:shd w:val="clear" w:color="auto" w:fill="auto"/>
            <w:noWrap/>
            <w:vAlign w:val="bottom"/>
            <w:hideMark/>
          </w:tcPr>
          <w:p w:rsidR="005F7F09" w:rsidRPr="004873CC" w:rsidRDefault="005F7F09" w:rsidP="00740F2C">
            <w:pPr>
              <w:spacing w:after="0" w:line="240" w:lineRule="auto"/>
              <w:jc w:val="center"/>
              <w:rPr>
                <w:rFonts w:eastAsia="Times New Roman" w:cs="Calibri"/>
                <w:color w:val="000000"/>
                <w:sz w:val="18"/>
                <w:szCs w:val="18"/>
                <w:lang w:val="es-ES" w:eastAsia="es-ES"/>
              </w:rPr>
            </w:pPr>
            <w:r w:rsidRPr="004873CC">
              <w:rPr>
                <w:rFonts w:eastAsia="Times New Roman" w:cs="Calibri"/>
                <w:color w:val="000000"/>
                <w:sz w:val="18"/>
                <w:szCs w:val="18"/>
                <w:lang w:val="es-ES" w:eastAsia="es-ES"/>
              </w:rPr>
              <w:t>95</w:t>
            </w:r>
          </w:p>
        </w:tc>
      </w:tr>
    </w:tbl>
    <w:bookmarkEnd w:id="0"/>
    <w:p w:rsidR="005F7F09" w:rsidRPr="00134679" w:rsidRDefault="005F7F09" w:rsidP="00134679">
      <w:pPr>
        <w:widowControl w:val="0"/>
        <w:autoSpaceDE w:val="0"/>
        <w:autoSpaceDN w:val="0"/>
        <w:adjustRightInd w:val="0"/>
        <w:spacing w:line="480" w:lineRule="auto"/>
        <w:ind w:left="640" w:hanging="640"/>
        <w:rPr>
          <w:rFonts w:ascii="Times New Roman" w:hAnsi="Times New Roman"/>
          <w:sz w:val="24"/>
          <w:szCs w:val="24"/>
        </w:rPr>
        <w:sectPr w:rsidR="005F7F09" w:rsidRPr="00134679" w:rsidSect="005F7F09">
          <w:pgSz w:w="16838" w:h="11906" w:orient="landscape"/>
          <w:pgMar w:top="1701" w:right="1417" w:bottom="1701" w:left="1417" w:header="708" w:footer="708" w:gutter="0"/>
          <w:cols w:space="708"/>
          <w:docGrid w:linePitch="360"/>
        </w:sectPr>
      </w:pPr>
      <w:r w:rsidRPr="00FE0FFA">
        <w:rPr>
          <w:rFonts w:eastAsia="Times New Roman" w:cs="Calibri"/>
          <w:color w:val="000000"/>
          <w:sz w:val="18"/>
          <w:szCs w:val="18"/>
          <w:lang w:eastAsia="es-ES"/>
        </w:rPr>
        <w:t xml:space="preserve">K_: Anterior Surface Corneal Astigmatism; Rx_: Refractive astigmatism; </w:t>
      </w:r>
      <w:r>
        <w:rPr>
          <w:rFonts w:eastAsia="Times New Roman" w:cs="Calibri"/>
          <w:color w:val="000000"/>
          <w:sz w:val="18"/>
          <w:szCs w:val="18"/>
          <w:lang w:eastAsia="es-ES"/>
        </w:rPr>
        <w:t>iAK: I</w:t>
      </w:r>
      <w:r w:rsidRPr="00FE0FFA">
        <w:rPr>
          <w:rFonts w:eastAsia="Times New Roman" w:cs="Calibri"/>
          <w:color w:val="000000"/>
          <w:sz w:val="18"/>
          <w:szCs w:val="18"/>
          <w:lang w:eastAsia="es-ES"/>
        </w:rPr>
        <w:t>ntrastromal arcuate</w:t>
      </w:r>
      <w:r>
        <w:rPr>
          <w:rFonts w:eastAsia="Times New Roman" w:cs="Calibri"/>
          <w:color w:val="000000"/>
          <w:sz w:val="18"/>
          <w:szCs w:val="18"/>
          <w:lang w:eastAsia="es-ES"/>
        </w:rPr>
        <w:t>; AK: Arcuate; LRI: Limbal relaxing; OCCI: Opposite clear corneal; CCI: Clear corneal</w:t>
      </w:r>
    </w:p>
    <w:p w:rsidR="00676A84" w:rsidRDefault="00676A84" w:rsidP="005F7F09"/>
    <w:sectPr w:rsidR="00676A84" w:rsidSect="008F4FB7">
      <w:pgSz w:w="16838" w:h="11906"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F09"/>
    <w:rsid w:val="00134679"/>
    <w:rsid w:val="005F7F09"/>
    <w:rsid w:val="00606154"/>
    <w:rsid w:val="00676A84"/>
    <w:rsid w:val="00FA7D0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EFC40"/>
  <w15:chartTrackingRefBased/>
  <w15:docId w15:val="{0AEEF470-5044-42DF-AAAD-233509B71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7F09"/>
    <w:rPr>
      <w:rFonts w:ascii="Calibri" w:eastAsia="Calibri" w:hAnsi="Calibri" w:cs="Times New Roman"/>
      <w:kern w:val="0"/>
      <w:lang w:val="en-U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11775</Words>
  <Characters>64767</Characters>
  <Application>Microsoft Office Word</Application>
  <DocSecurity>0</DocSecurity>
  <Lines>539</Lines>
  <Paragraphs>152</Paragraphs>
  <ScaleCrop>false</ScaleCrop>
  <Company/>
  <LinksUpToDate>false</LinksUpToDate>
  <CharactersWithSpaces>76390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2023-05-14T17:18:00Z</dcterms:created>
  <dcterms:modified xsi:type="dcterms:W3CDTF">2023-05-15T05:39:00Z</dcterms:modified>
</cp:coreProperties>
</file>