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66D4F" w:rsidRDefault="00566D4F">
      <w:pPr>
        <w:rPr>
          <w:rFonts w:ascii="Arial" w:hAnsi="Arial"/>
        </w:rPr>
      </w:pPr>
    </w:p>
    <w:p w:rsidR="00566D4F" w:rsidRDefault="00000000">
      <w:pPr>
        <w:pStyle w:val="CM2"/>
        <w:ind w:left="1080"/>
        <w:rPr>
          <w:rFonts w:ascii="Arial" w:hAnsi="Arial" w:cs="Arial"/>
          <w:sz w:val="20"/>
          <w:szCs w:val="20"/>
          <w:lang w:val="en-US" w:eastAsia="zh-CN"/>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457200" cy="419100"/>
                    </a:xfrm>
                    <a:prstGeom prst="rect">
                      <a:avLst/>
                    </a:prstGeom>
                    <a:noFill/>
                    <a:ln>
                      <a:noFill/>
                    </a:ln>
                  </pic:spPr>
                </pic:pic>
              </a:graphicData>
            </a:graphic>
          </wp:anchor>
        </w:drawing>
      </w:r>
      <w:r>
        <w:rPr>
          <w:rFonts w:ascii="Arial" w:hAnsi="Arial" w:cs="Arial"/>
          <w:b/>
          <w:bCs/>
          <w:sz w:val="20"/>
          <w:szCs w:val="20"/>
        </w:rPr>
        <w:t>PRISMA 2020 Checklist</w:t>
      </w:r>
    </w:p>
    <w:tbl>
      <w:tblPr>
        <w:tblW w:w="15199" w:type="dxa"/>
        <w:jc w:val="center"/>
        <w:tblLook w:val="04A0" w:firstRow="1" w:lastRow="0" w:firstColumn="1" w:lastColumn="0" w:noHBand="0" w:noVBand="1"/>
      </w:tblPr>
      <w:tblGrid>
        <w:gridCol w:w="1688"/>
        <w:gridCol w:w="1379"/>
        <w:gridCol w:w="9966"/>
        <w:gridCol w:w="2166"/>
      </w:tblGrid>
      <w:tr w:rsidR="00566D4F">
        <w:trPr>
          <w:trHeight w:val="65"/>
          <w:tblHeader/>
          <w:jc w:val="center"/>
        </w:trPr>
        <w:tc>
          <w:tcPr>
            <w:tcW w:w="1688"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Section and Topic </w:t>
            </w:r>
          </w:p>
        </w:tc>
        <w:tc>
          <w:tcPr>
            <w:tcW w:w="1379"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566D4F" w:rsidRDefault="00000000">
            <w:pPr>
              <w:pStyle w:val="Default"/>
              <w:spacing w:line="240" w:lineRule="atLeast"/>
              <w:rPr>
                <w:rFonts w:ascii="Arial" w:hAnsi="Arial" w:cs="Arial"/>
                <w:b/>
                <w:bCs/>
                <w:color w:val="auto"/>
                <w:sz w:val="20"/>
                <w:szCs w:val="20"/>
              </w:rPr>
            </w:pPr>
            <w:r>
              <w:rPr>
                <w:rFonts w:ascii="Arial" w:hAnsi="Arial" w:cs="Arial"/>
                <w:b/>
                <w:bCs/>
                <w:color w:val="auto"/>
                <w:sz w:val="20"/>
                <w:szCs w:val="20"/>
              </w:rPr>
              <w:t>Item #</w:t>
            </w:r>
          </w:p>
        </w:tc>
        <w:tc>
          <w:tcPr>
            <w:tcW w:w="0" w:type="auto"/>
            <w:tcBorders>
              <w:top w:val="double" w:sz="4" w:space="0" w:color="000000"/>
              <w:left w:val="single" w:sz="4" w:space="0" w:color="000000"/>
              <w:bottom w:val="double" w:sz="4" w:space="0" w:color="000000"/>
              <w:right w:val="single" w:sz="4" w:space="0" w:color="000000"/>
            </w:tcBorders>
            <w:shd w:val="clear" w:color="auto" w:fill="63639A"/>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Checklist item </w:t>
            </w:r>
          </w:p>
        </w:tc>
        <w:tc>
          <w:tcPr>
            <w:tcW w:w="0" w:type="auto"/>
            <w:tcBorders>
              <w:top w:val="double" w:sz="4" w:space="0" w:color="000000"/>
              <w:left w:val="single" w:sz="4" w:space="0" w:color="000000"/>
              <w:bottom w:val="double" w:sz="4" w:space="0" w:color="000000"/>
              <w:right w:val="single" w:sz="4" w:space="0" w:color="000000"/>
            </w:tcBorders>
            <w:shd w:val="clear" w:color="auto" w:fill="63639A"/>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Location where item is reported </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TITLE </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right"/>
              <w:rPr>
                <w:rFonts w:ascii="Arial" w:hAnsi="Arial" w:cs="Arial"/>
                <w:color w:val="auto"/>
                <w:sz w:val="20"/>
                <w:szCs w:val="20"/>
              </w:rPr>
            </w:pPr>
          </w:p>
        </w:tc>
      </w:tr>
      <w:tr w:rsidR="00566D4F">
        <w:trPr>
          <w:trHeight w:val="48"/>
          <w:jc w:val="center"/>
        </w:trPr>
        <w:tc>
          <w:tcPr>
            <w:tcW w:w="1688" w:type="dxa"/>
            <w:tcBorders>
              <w:top w:val="single" w:sz="4" w:space="0" w:color="000000"/>
              <w:left w:val="single" w:sz="4" w:space="0" w:color="000000"/>
              <w:bottom w:val="double" w:sz="2" w:space="0" w:color="FFFFCC"/>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Title </w:t>
            </w:r>
          </w:p>
        </w:tc>
        <w:tc>
          <w:tcPr>
            <w:tcW w:w="1379" w:type="dxa"/>
            <w:tcBorders>
              <w:top w:val="single" w:sz="4" w:space="0" w:color="000000"/>
              <w:left w:val="single" w:sz="4" w:space="0" w:color="000000"/>
              <w:bottom w:val="double" w:sz="2" w:space="0" w:color="FFFFCC"/>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w:t>
            </w:r>
          </w:p>
        </w:tc>
        <w:tc>
          <w:tcPr>
            <w:tcW w:w="0" w:type="auto"/>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Identify the report as a systematic review.</w:t>
            </w:r>
          </w:p>
        </w:tc>
        <w:tc>
          <w:tcPr>
            <w:tcW w:w="2166"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ABSTRACT </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right"/>
              <w:rPr>
                <w:rFonts w:ascii="Arial" w:hAnsi="Arial" w:cs="Arial"/>
                <w:color w:val="auto"/>
                <w:sz w:val="20"/>
                <w:szCs w:val="20"/>
              </w:rPr>
            </w:pPr>
          </w:p>
        </w:tc>
      </w:tr>
      <w:tr w:rsidR="00566D4F">
        <w:trPr>
          <w:trHeight w:val="48"/>
          <w:jc w:val="center"/>
        </w:trPr>
        <w:tc>
          <w:tcPr>
            <w:tcW w:w="1688" w:type="dxa"/>
            <w:tcBorders>
              <w:top w:val="single" w:sz="4" w:space="0" w:color="000000"/>
              <w:left w:val="single" w:sz="4" w:space="0" w:color="000000"/>
              <w:bottom w:val="double" w:sz="2" w:space="0" w:color="FFFFCC"/>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Abstract </w:t>
            </w:r>
          </w:p>
        </w:tc>
        <w:tc>
          <w:tcPr>
            <w:tcW w:w="1379" w:type="dxa"/>
            <w:tcBorders>
              <w:top w:val="single" w:sz="4" w:space="0" w:color="000000"/>
              <w:left w:val="single" w:sz="4" w:space="0" w:color="000000"/>
              <w:bottom w:val="double" w:sz="2" w:space="0" w:color="FFFFCC"/>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w:t>
            </w:r>
          </w:p>
        </w:tc>
        <w:tc>
          <w:tcPr>
            <w:tcW w:w="0" w:type="auto"/>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See the PRISMA 2020 for Abstracts checklist.</w:t>
            </w:r>
          </w:p>
        </w:tc>
        <w:tc>
          <w:tcPr>
            <w:tcW w:w="2166"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4-5</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INTRODUCTION </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right"/>
              <w:rPr>
                <w:rFonts w:ascii="Arial" w:hAnsi="Arial" w:cs="Arial"/>
                <w:color w:val="auto"/>
                <w:sz w:val="20"/>
                <w:szCs w:val="20"/>
              </w:rPr>
            </w:pP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Rationale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3</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the rationale for the review in the context of existing knowledge.</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6</w:t>
            </w:r>
          </w:p>
        </w:tc>
      </w:tr>
      <w:tr w:rsidR="00566D4F">
        <w:trPr>
          <w:trHeight w:val="48"/>
          <w:jc w:val="center"/>
        </w:trPr>
        <w:tc>
          <w:tcPr>
            <w:tcW w:w="1688" w:type="dxa"/>
            <w:tcBorders>
              <w:top w:val="single" w:sz="4" w:space="0" w:color="000000"/>
              <w:left w:val="single" w:sz="4" w:space="0" w:color="000000"/>
              <w:bottom w:val="double" w:sz="2" w:space="0" w:color="FFFFCC"/>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Objectives </w:t>
            </w:r>
          </w:p>
        </w:tc>
        <w:tc>
          <w:tcPr>
            <w:tcW w:w="1379" w:type="dxa"/>
            <w:tcBorders>
              <w:top w:val="single" w:sz="4" w:space="0" w:color="000000"/>
              <w:left w:val="single" w:sz="4" w:space="0" w:color="000000"/>
              <w:bottom w:val="double" w:sz="2" w:space="0" w:color="FFFFCC"/>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4</w:t>
            </w:r>
          </w:p>
        </w:tc>
        <w:tc>
          <w:tcPr>
            <w:tcW w:w="0" w:type="auto"/>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Provide an explicit statement of the objective(s) or question(s) the review addresses.</w:t>
            </w:r>
          </w:p>
        </w:tc>
        <w:tc>
          <w:tcPr>
            <w:tcW w:w="2166"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6-7</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METHODS </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right"/>
              <w:rPr>
                <w:rFonts w:ascii="Arial" w:hAnsi="Arial" w:cs="Arial"/>
                <w:color w:val="auto"/>
                <w:sz w:val="20"/>
                <w:szCs w:val="20"/>
              </w:rPr>
            </w:pP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Eligibility criteria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5</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Specify the inclusion and exclusion criteria for the review and how studies were grouped for the syntheses.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8-9</w:t>
            </w:r>
          </w:p>
        </w:tc>
      </w:tr>
      <w:tr w:rsidR="00566D4F">
        <w:trPr>
          <w:trHeight w:val="191"/>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Information sources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6</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Specify all databases, registers, websites, organisations, reference lists and other sources searched or consulted to identify studies. Specify the date when each source was last searched or consulted.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7</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Search strategy</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7</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the full search strategies for all databases, registers and websites, including any filters and limits used.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8, Table S2</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Selection process</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8</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rPr>
                <w:rFonts w:ascii="Arial" w:hAnsi="Arial" w:cs="Arial"/>
                <w:color w:val="auto"/>
                <w:sz w:val="20"/>
                <w:szCs w:val="20"/>
              </w:rPr>
            </w:pPr>
            <w:r>
              <w:rPr>
                <w:rFonts w:ascii="Arial" w:hAnsi="Arial" w:cs="Arial"/>
                <w:color w:val="auto"/>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7</w:t>
            </w:r>
          </w:p>
        </w:tc>
      </w:tr>
      <w:tr w:rsidR="00566D4F">
        <w:trPr>
          <w:trHeight w:val="152"/>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Data collection process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9</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9-10</w:t>
            </w:r>
          </w:p>
        </w:tc>
      </w:tr>
      <w:tr w:rsidR="00566D4F">
        <w:trPr>
          <w:trHeight w:val="48"/>
          <w:jc w:val="center"/>
        </w:trPr>
        <w:tc>
          <w:tcPr>
            <w:tcW w:w="1688" w:type="dxa"/>
            <w:vMerge w:val="restart"/>
            <w:tcBorders>
              <w:top w:val="single" w:sz="4" w:space="0" w:color="000000"/>
              <w:left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Data items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10a</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9-10</w:t>
            </w:r>
          </w:p>
        </w:tc>
      </w:tr>
      <w:tr w:rsidR="00566D4F">
        <w:trPr>
          <w:trHeight w:val="48"/>
          <w:jc w:val="center"/>
        </w:trPr>
        <w:tc>
          <w:tcPr>
            <w:tcW w:w="1688" w:type="dxa"/>
            <w:vMerge/>
            <w:tcBorders>
              <w:left w:val="single" w:sz="4" w:space="0" w:color="000000"/>
              <w:bottom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10b</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List and define all other variables for which data were sought (e.g. participant and intervention characteristics, funding sources). Describe any assumptions made about any missing or unclear information.</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hAnsi="Arial" w:cs="Arial"/>
                <w:b/>
                <w:bCs/>
                <w:color w:val="auto"/>
                <w:sz w:val="20"/>
                <w:szCs w:val="20"/>
                <w:lang w:eastAsia="zh-CN"/>
              </w:rPr>
              <w:t>×</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Study risk of bias assessment</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11</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10</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Effect measures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12</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Specify for each outcome the effect measure(s) (e.g. risk ratio, mean difference) used in the synthesis or presentation of results.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10-11</w:t>
            </w:r>
          </w:p>
        </w:tc>
      </w:tr>
      <w:tr w:rsidR="00566D4F">
        <w:trPr>
          <w:trHeight w:val="48"/>
          <w:jc w:val="center"/>
        </w:trPr>
        <w:tc>
          <w:tcPr>
            <w:tcW w:w="1688" w:type="dxa"/>
            <w:vMerge w:val="restart"/>
            <w:tcBorders>
              <w:top w:val="single" w:sz="4" w:space="0" w:color="000000"/>
              <w:left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Synthesis methods</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13a</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the processes used to decide which studies were eligible for each synthesis (e.g. tabulating the study intervention characteristics and comparing against the planned groups for each synthesis (item #5)).</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11-12, Figure 1</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13b</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methods required to prepare the data for presentation or synthesis, such as handling of missing summary statistics, or data conversions.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9-11</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13c</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methods used to tabulate or visually display results of individual studies and syntheses.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10-11</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13d</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10-11</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13e</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methods used to explore possible causes of heterogeneity among study results (e.g. subgroup analysis, meta-regression).</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10-11</w:t>
            </w:r>
          </w:p>
        </w:tc>
      </w:tr>
      <w:tr w:rsidR="00566D4F">
        <w:trPr>
          <w:trHeight w:val="50"/>
          <w:jc w:val="center"/>
        </w:trPr>
        <w:tc>
          <w:tcPr>
            <w:tcW w:w="1688" w:type="dxa"/>
            <w:vMerge/>
            <w:tcBorders>
              <w:left w:val="single" w:sz="4" w:space="0" w:color="000000"/>
              <w:bottom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13f</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sensitivity analyses conducted to assess robustness of the synthesized results.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11</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Reporting bias assessment</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14</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methods used to assess risk of bias due to missing results in a synthesis (arising from reporting biases).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hAnsi="Arial" w:cs="Arial"/>
                <w:b/>
                <w:bCs/>
                <w:color w:val="auto"/>
                <w:sz w:val="20"/>
                <w:szCs w:val="20"/>
                <w:lang w:eastAsia="zh-CN"/>
              </w:rPr>
              <w:t>×</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Certainty assessment</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15</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any methods used to assess certainty (or confidence) in the body of evidence for an outcome.</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10</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RESULTS </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center"/>
              <w:rPr>
                <w:rFonts w:ascii="Arial" w:hAnsi="Arial" w:cs="Arial"/>
                <w:color w:val="auto"/>
                <w:sz w:val="20"/>
                <w:szCs w:val="20"/>
              </w:rPr>
            </w:pPr>
          </w:p>
        </w:tc>
      </w:tr>
      <w:tr w:rsidR="00566D4F">
        <w:trPr>
          <w:trHeight w:val="48"/>
          <w:jc w:val="center"/>
        </w:trPr>
        <w:tc>
          <w:tcPr>
            <w:tcW w:w="1688" w:type="dxa"/>
            <w:vMerge w:val="restart"/>
            <w:tcBorders>
              <w:top w:val="single" w:sz="4" w:space="0" w:color="000000"/>
              <w:left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Study selection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16a</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Describe the results of the search and selection process, from the number of records identified in the search to </w:t>
            </w:r>
            <w:r>
              <w:rPr>
                <w:rFonts w:ascii="Arial" w:hAnsi="Arial" w:cs="Arial"/>
                <w:color w:val="auto"/>
                <w:sz w:val="20"/>
                <w:szCs w:val="20"/>
              </w:rPr>
              <w:lastRenderedPageBreak/>
              <w:t>the number of studies included in the review, ideally using a flow diagram.</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lastRenderedPageBreak/>
              <w:t>12,  Figure 1</w:t>
            </w:r>
          </w:p>
        </w:tc>
      </w:tr>
      <w:tr w:rsidR="00566D4F">
        <w:trPr>
          <w:trHeight w:val="48"/>
          <w:jc w:val="center"/>
        </w:trPr>
        <w:tc>
          <w:tcPr>
            <w:tcW w:w="1688" w:type="dxa"/>
            <w:vMerge/>
            <w:tcBorders>
              <w:left w:val="single" w:sz="4" w:space="0" w:color="000000"/>
              <w:bottom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16b</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Cite studies that might appear to meet the inclusion criteria, but which were excluded, and explain why they were excluded.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hAnsi="Arial" w:cs="Arial"/>
                <w:b/>
                <w:bCs/>
                <w:color w:val="auto"/>
                <w:sz w:val="20"/>
                <w:szCs w:val="20"/>
                <w:lang w:eastAsia="zh-CN"/>
              </w:rPr>
              <w:t>×</w:t>
            </w:r>
          </w:p>
        </w:tc>
      </w:tr>
      <w:tr w:rsidR="00566D4F">
        <w:trPr>
          <w:trHeight w:val="103"/>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Study characteristics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17</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Cite each included study and present its characteristics.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12</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Risk of bias in studies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18</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assessments of risk of bias for each included study.</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12, Tables S3, Tables S4</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Results of individual studies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19</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For all outcomes, present, for each study: (a) summary statistics for each group (where appropriate) and (b) an effect estimate and its precision (e.g. confidence/credible interval), ideally using structured tables or plots.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12-15,  Figure 2,  Figure 3, Table 2, Table S5</w:t>
            </w:r>
          </w:p>
        </w:tc>
      </w:tr>
      <w:tr w:rsidR="00566D4F">
        <w:trPr>
          <w:trHeight w:val="48"/>
          <w:jc w:val="center"/>
        </w:trPr>
        <w:tc>
          <w:tcPr>
            <w:tcW w:w="1688" w:type="dxa"/>
            <w:vMerge w:val="restart"/>
            <w:tcBorders>
              <w:top w:val="single" w:sz="4" w:space="0" w:color="000000"/>
              <w:left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Results of syntheses</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20a</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For each synthesis, briefly summarise the characteristics and risk of bias among contributing studies.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12-15</w:t>
            </w:r>
          </w:p>
        </w:tc>
      </w:tr>
      <w:tr w:rsidR="00566D4F">
        <w:trPr>
          <w:trHeight w:val="203"/>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20b</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12-15, Figure 2,  Figure 3</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20c</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results of all investigations of possible causes of heterogeneity among study results.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14</w:t>
            </w:r>
          </w:p>
        </w:tc>
      </w:tr>
      <w:tr w:rsidR="00566D4F">
        <w:trPr>
          <w:trHeight w:val="48"/>
          <w:jc w:val="center"/>
        </w:trPr>
        <w:tc>
          <w:tcPr>
            <w:tcW w:w="1688" w:type="dxa"/>
            <w:vMerge/>
            <w:tcBorders>
              <w:left w:val="single" w:sz="4" w:space="0" w:color="000000"/>
              <w:bottom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20d</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results of all sensitivity analyses conducted to assess the robustness of the synthesized results.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15</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Reporting biases</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21</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assessments of risk of bias due to missing results (arising from reporting biases) for each synthesis assessed.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hAnsi="Arial" w:cs="Arial"/>
                <w:b/>
                <w:bCs/>
                <w:color w:val="auto"/>
                <w:sz w:val="20"/>
                <w:szCs w:val="20"/>
                <w:lang w:eastAsia="zh-CN"/>
              </w:rPr>
              <w:t>×</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Certainty of evidence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22</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Present assessments of certainty (or confidence) in the body of evidence for each outcome assessed.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12, Tables S3, Tables S4</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 xml:space="preserve">DISCUSSION </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center"/>
              <w:rPr>
                <w:rFonts w:ascii="Arial" w:hAnsi="Arial" w:cs="Arial"/>
                <w:color w:val="auto"/>
                <w:sz w:val="20"/>
                <w:szCs w:val="20"/>
              </w:rPr>
            </w:pPr>
          </w:p>
        </w:tc>
      </w:tr>
      <w:tr w:rsidR="00566D4F">
        <w:trPr>
          <w:trHeight w:val="48"/>
          <w:jc w:val="center"/>
        </w:trPr>
        <w:tc>
          <w:tcPr>
            <w:tcW w:w="1688" w:type="dxa"/>
            <w:vMerge w:val="restart"/>
            <w:tcBorders>
              <w:top w:val="single" w:sz="4" w:space="0" w:color="000000"/>
              <w:left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 xml:space="preserve">Discussion </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23a</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Provide a general interpretation of the results in the context of other evidence.</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14-15</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23b</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Discuss any limitations of the evidence included in the review.</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16</w:t>
            </w:r>
          </w:p>
        </w:tc>
      </w:tr>
      <w:tr w:rsidR="00566D4F">
        <w:trPr>
          <w:trHeight w:val="48"/>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auto"/>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23c</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Discuss any limitations of the review processes used.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16</w:t>
            </w:r>
          </w:p>
        </w:tc>
      </w:tr>
      <w:tr w:rsidR="00566D4F">
        <w:trPr>
          <w:trHeight w:val="48"/>
          <w:jc w:val="center"/>
        </w:trPr>
        <w:tc>
          <w:tcPr>
            <w:tcW w:w="1688" w:type="dxa"/>
            <w:vMerge/>
            <w:tcBorders>
              <w:left w:val="single" w:sz="4" w:space="0" w:color="000000"/>
              <w:bottom w:val="single" w:sz="4" w:space="0" w:color="auto"/>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auto"/>
              <w:left w:val="single" w:sz="4" w:space="0" w:color="000000"/>
              <w:bottom w:val="single" w:sz="4" w:space="0" w:color="auto"/>
              <w:right w:val="single" w:sz="4" w:space="0" w:color="auto"/>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23d</w:t>
            </w:r>
          </w:p>
        </w:tc>
        <w:tc>
          <w:tcPr>
            <w:tcW w:w="0" w:type="auto"/>
            <w:tcBorders>
              <w:top w:val="single" w:sz="4" w:space="0" w:color="000000"/>
              <w:left w:val="single" w:sz="4" w:space="0" w:color="auto"/>
              <w:bottom w:val="doub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Discuss implications of the results for practice, policy, and future research.</w:t>
            </w:r>
          </w:p>
        </w:tc>
        <w:tc>
          <w:tcPr>
            <w:tcW w:w="2166"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17</w:t>
            </w:r>
          </w:p>
        </w:tc>
      </w:tr>
      <w:tr w:rsidR="00566D4F">
        <w:trPr>
          <w:trHeight w:val="24"/>
          <w:jc w:val="center"/>
        </w:trPr>
        <w:tc>
          <w:tcPr>
            <w:tcW w:w="0" w:type="auto"/>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566D4F" w:rsidRDefault="00000000">
            <w:pPr>
              <w:pStyle w:val="Default"/>
              <w:spacing w:line="240" w:lineRule="atLeast"/>
              <w:rPr>
                <w:rFonts w:ascii="Arial" w:hAnsi="Arial" w:cs="Arial"/>
                <w:color w:val="auto"/>
                <w:sz w:val="20"/>
                <w:szCs w:val="20"/>
              </w:rPr>
            </w:pPr>
            <w:r>
              <w:rPr>
                <w:rFonts w:ascii="Arial" w:hAnsi="Arial" w:cs="Arial"/>
                <w:b/>
                <w:bCs/>
                <w:color w:val="auto"/>
                <w:sz w:val="20"/>
                <w:szCs w:val="20"/>
              </w:rPr>
              <w:t>OTHER INFORMATION</w:t>
            </w:r>
          </w:p>
        </w:tc>
        <w:tc>
          <w:tcPr>
            <w:tcW w:w="2166" w:type="dxa"/>
            <w:tcBorders>
              <w:top w:val="double" w:sz="4" w:space="0" w:color="000000"/>
              <w:left w:val="single" w:sz="4" w:space="0" w:color="000000"/>
              <w:bottom w:val="single" w:sz="4" w:space="0" w:color="000000"/>
              <w:right w:val="single" w:sz="4" w:space="0" w:color="000000"/>
            </w:tcBorders>
            <w:shd w:val="clear" w:color="auto" w:fill="FFFFCC"/>
          </w:tcPr>
          <w:p w:rsidR="00566D4F" w:rsidRDefault="00566D4F">
            <w:pPr>
              <w:pStyle w:val="Default"/>
              <w:spacing w:line="240" w:lineRule="atLeast"/>
              <w:jc w:val="center"/>
              <w:rPr>
                <w:rFonts w:ascii="Arial" w:hAnsi="Arial" w:cs="Arial"/>
                <w:color w:val="auto"/>
                <w:sz w:val="20"/>
                <w:szCs w:val="20"/>
              </w:rPr>
            </w:pPr>
          </w:p>
        </w:tc>
      </w:tr>
      <w:tr w:rsidR="00566D4F">
        <w:trPr>
          <w:trHeight w:val="48"/>
          <w:jc w:val="center"/>
        </w:trPr>
        <w:tc>
          <w:tcPr>
            <w:tcW w:w="1688" w:type="dxa"/>
            <w:vMerge w:val="restart"/>
            <w:tcBorders>
              <w:top w:val="single" w:sz="4" w:space="0" w:color="000000"/>
              <w:left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Registration and protocol</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24a</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Provide registration information for the review, including register name and registration number, or state that the review was not registered.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7</w:t>
            </w:r>
          </w:p>
        </w:tc>
      </w:tr>
      <w:tr w:rsidR="00566D4F">
        <w:trPr>
          <w:trHeight w:val="57"/>
          <w:jc w:val="center"/>
        </w:trPr>
        <w:tc>
          <w:tcPr>
            <w:tcW w:w="1688" w:type="dxa"/>
            <w:vMerge/>
            <w:tcBorders>
              <w:left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24b</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Indicate where the review protocol can be accessed, or state that a protocol was not prepared.</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7</w:t>
            </w:r>
          </w:p>
        </w:tc>
      </w:tr>
      <w:tr w:rsidR="00566D4F">
        <w:trPr>
          <w:trHeight w:val="48"/>
          <w:jc w:val="center"/>
        </w:trPr>
        <w:tc>
          <w:tcPr>
            <w:tcW w:w="1688" w:type="dxa"/>
            <w:vMerge/>
            <w:tcBorders>
              <w:left w:val="single" w:sz="4" w:space="0" w:color="000000"/>
              <w:bottom w:val="single" w:sz="4" w:space="0" w:color="000000"/>
              <w:right w:val="single" w:sz="4" w:space="0" w:color="000000"/>
            </w:tcBorders>
          </w:tcPr>
          <w:p w:rsidR="00566D4F" w:rsidRDefault="00566D4F">
            <w:pPr>
              <w:pStyle w:val="Default"/>
              <w:spacing w:before="40" w:after="40" w:line="240" w:lineRule="atLeast"/>
              <w:rPr>
                <w:rFonts w:ascii="Arial" w:hAnsi="Arial" w:cs="Arial"/>
                <w:color w:val="auto"/>
                <w:sz w:val="20"/>
                <w:szCs w:val="20"/>
              </w:rPr>
            </w:pP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24c</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and explain any amendments to information provided at registration or in the protocol.</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Support</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25</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Describe sources of financial or non-financial support for the review, and the role of the funders or sponsors in the review.</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2-3</w:t>
            </w:r>
          </w:p>
        </w:tc>
      </w:tr>
      <w:tr w:rsidR="00566D4F">
        <w:trPr>
          <w:trHeight w:val="48"/>
          <w:jc w:val="center"/>
        </w:trPr>
        <w:tc>
          <w:tcPr>
            <w:tcW w:w="1688"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Competing interests</w:t>
            </w:r>
          </w:p>
        </w:tc>
        <w:tc>
          <w:tcPr>
            <w:tcW w:w="1379"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26</w:t>
            </w:r>
          </w:p>
        </w:tc>
        <w:tc>
          <w:tcPr>
            <w:tcW w:w="0" w:type="auto"/>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Declare any competing interests of review authors.</w:t>
            </w:r>
          </w:p>
        </w:tc>
        <w:tc>
          <w:tcPr>
            <w:tcW w:w="2166" w:type="dxa"/>
            <w:tcBorders>
              <w:top w:val="single" w:sz="4" w:space="0" w:color="000000"/>
              <w:left w:val="single" w:sz="4" w:space="0" w:color="000000"/>
              <w:bottom w:val="sing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3</w:t>
            </w:r>
          </w:p>
        </w:tc>
      </w:tr>
      <w:tr w:rsidR="00566D4F">
        <w:trPr>
          <w:trHeight w:val="219"/>
          <w:jc w:val="center"/>
        </w:trPr>
        <w:tc>
          <w:tcPr>
            <w:tcW w:w="1688"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Availability of data, code and other materials</w:t>
            </w:r>
          </w:p>
        </w:tc>
        <w:tc>
          <w:tcPr>
            <w:tcW w:w="1379"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jc w:val="right"/>
              <w:rPr>
                <w:rFonts w:ascii="Arial" w:hAnsi="Arial" w:cs="Arial"/>
                <w:color w:val="auto"/>
                <w:sz w:val="20"/>
                <w:szCs w:val="20"/>
              </w:rPr>
            </w:pPr>
            <w:r>
              <w:rPr>
                <w:rFonts w:ascii="Arial" w:hAnsi="Arial" w:cs="Arial"/>
                <w:color w:val="auto"/>
                <w:sz w:val="20"/>
                <w:szCs w:val="20"/>
              </w:rPr>
              <w:t>27</w:t>
            </w:r>
          </w:p>
        </w:tc>
        <w:tc>
          <w:tcPr>
            <w:tcW w:w="0" w:type="auto"/>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hAnsi="Arial" w:cs="Arial"/>
                <w:color w:val="auto"/>
                <w:sz w:val="20"/>
                <w:szCs w:val="20"/>
              </w:rPr>
            </w:pPr>
            <w:r>
              <w:rPr>
                <w:rFonts w:ascii="Arial" w:hAnsi="Arial" w:cs="Arial"/>
                <w:color w:val="auto"/>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2166" w:type="dxa"/>
            <w:tcBorders>
              <w:top w:val="single" w:sz="4" w:space="0" w:color="000000"/>
              <w:left w:val="single" w:sz="4" w:space="0" w:color="000000"/>
              <w:bottom w:val="double" w:sz="4" w:space="0" w:color="000000"/>
              <w:right w:val="single" w:sz="4" w:space="0" w:color="000000"/>
            </w:tcBorders>
          </w:tcPr>
          <w:p w:rsidR="00566D4F" w:rsidRDefault="00000000">
            <w:pPr>
              <w:pStyle w:val="Default"/>
              <w:spacing w:before="40" w:after="40" w:line="240" w:lineRule="atLeast"/>
              <w:rPr>
                <w:rFonts w:ascii="Arial" w:eastAsia="宋体" w:hAnsi="Arial" w:cs="Arial"/>
                <w:color w:val="auto"/>
                <w:sz w:val="20"/>
                <w:szCs w:val="20"/>
                <w:lang w:val="en-US" w:eastAsia="zh-CN"/>
              </w:rPr>
            </w:pPr>
            <w:r>
              <w:rPr>
                <w:rFonts w:ascii="Arial" w:eastAsia="宋体" w:hAnsi="Arial" w:cs="Arial"/>
                <w:color w:val="auto"/>
                <w:sz w:val="20"/>
                <w:szCs w:val="20"/>
                <w:lang w:val="en-US" w:eastAsia="zh-CN"/>
              </w:rPr>
              <w:t>7-10</w:t>
            </w:r>
          </w:p>
        </w:tc>
      </w:tr>
    </w:tbl>
    <w:p w:rsidR="00566D4F" w:rsidRDefault="00566D4F">
      <w:pPr>
        <w:spacing w:line="480" w:lineRule="auto"/>
        <w:rPr>
          <w:rFonts w:ascii="Arial" w:hAnsi="Arial"/>
          <w:b/>
          <w:sz w:val="20"/>
          <w:szCs w:val="20"/>
        </w:rPr>
        <w:sectPr w:rsidR="00566D4F">
          <w:headerReference w:type="default" r:id="rId9"/>
          <w:footerReference w:type="default" r:id="rId10"/>
          <w:pgSz w:w="16840" w:h="11900" w:orient="landscape"/>
          <w:pgMar w:top="431" w:right="431" w:bottom="431" w:left="431" w:header="851" w:footer="992" w:gutter="0"/>
          <w:cols w:space="720"/>
          <w:docGrid w:type="lines" w:linePitch="312"/>
        </w:sectPr>
      </w:pPr>
    </w:p>
    <w:p w:rsidR="00566D4F" w:rsidRDefault="00000000">
      <w:pPr>
        <w:spacing w:line="480" w:lineRule="auto"/>
        <w:rPr>
          <w:rFonts w:ascii="Arial" w:hAnsi="Arial"/>
          <w:sz w:val="20"/>
          <w:szCs w:val="20"/>
        </w:rPr>
      </w:pPr>
      <w:r>
        <w:rPr>
          <w:rFonts w:ascii="Arial" w:hAnsi="Arial"/>
          <w:b/>
          <w:sz w:val="20"/>
          <w:szCs w:val="20"/>
        </w:rPr>
        <w:lastRenderedPageBreak/>
        <w:t xml:space="preserve">Table S2 </w:t>
      </w:r>
      <w:r>
        <w:rPr>
          <w:rFonts w:ascii="Arial" w:hAnsi="Arial"/>
          <w:sz w:val="20"/>
          <w:szCs w:val="20"/>
        </w:rPr>
        <w:t>Search strategy</w:t>
      </w:r>
    </w:p>
    <w:tbl>
      <w:tblPr>
        <w:tblStyle w:val="a9"/>
        <w:tblW w:w="5000" w:type="pct"/>
        <w:tblLook w:val="04A0" w:firstRow="1" w:lastRow="0" w:firstColumn="1" w:lastColumn="0" w:noHBand="0" w:noVBand="1"/>
      </w:tblPr>
      <w:tblGrid>
        <w:gridCol w:w="13950"/>
      </w:tblGrid>
      <w:tr w:rsidR="00566D4F">
        <w:tc>
          <w:tcPr>
            <w:tcW w:w="5000" w:type="pct"/>
          </w:tcPr>
          <w:p w:rsidR="00566D4F" w:rsidRDefault="00000000">
            <w:pPr>
              <w:rPr>
                <w:rFonts w:ascii="Arial" w:hAnsi="Arial"/>
                <w:b/>
                <w:sz w:val="20"/>
                <w:szCs w:val="20"/>
              </w:rPr>
            </w:pPr>
            <w:r>
              <w:rPr>
                <w:rFonts w:ascii="Arial" w:hAnsi="Arial"/>
                <w:b/>
                <w:sz w:val="20"/>
                <w:szCs w:val="20"/>
              </w:rPr>
              <w:t>PubMed</w:t>
            </w:r>
          </w:p>
          <w:p w:rsidR="00566D4F" w:rsidRDefault="00000000">
            <w:pPr>
              <w:rPr>
                <w:rFonts w:ascii="Arial" w:hAnsi="Arial"/>
                <w:sz w:val="20"/>
                <w:szCs w:val="20"/>
              </w:rPr>
            </w:pPr>
            <w:r>
              <w:rPr>
                <w:rFonts w:ascii="Arial" w:hAnsi="Arial"/>
                <w:sz w:val="20"/>
                <w:szCs w:val="20"/>
              </w:rPr>
              <w:t>The database was searched on August 7, 2024, n=1081.</w:t>
            </w:r>
          </w:p>
          <w:p w:rsidR="00566D4F" w:rsidRDefault="00000000">
            <w:pPr>
              <w:rPr>
                <w:rFonts w:ascii="Arial" w:hAnsi="Arial"/>
                <w:sz w:val="20"/>
                <w:szCs w:val="20"/>
              </w:rPr>
            </w:pPr>
            <w:r>
              <w:rPr>
                <w:rFonts w:ascii="Arial" w:hAnsi="Arial"/>
                <w:sz w:val="20"/>
                <w:szCs w:val="20"/>
              </w:rPr>
              <w:t>Search Strategy:</w:t>
            </w:r>
          </w:p>
          <w:p w:rsidR="00566D4F" w:rsidRDefault="00000000">
            <w:pPr>
              <w:rPr>
                <w:rFonts w:ascii="Arial" w:hAnsi="Arial"/>
                <w:sz w:val="20"/>
                <w:szCs w:val="20"/>
              </w:rPr>
            </w:pPr>
            <w:r>
              <w:rPr>
                <w:rFonts w:ascii="Arial" w:hAnsi="Arial"/>
                <w:sz w:val="20"/>
                <w:szCs w:val="20"/>
              </w:rPr>
              <w:t xml:space="preserve">((("gonioscopy"[MeSH Terms] OR "gonioscopy"[All Fields] OR "gonioscopies"[All Fields]) AND ("assistances"[All Fields] OR "assistant s"[All Fields] OR "assistants"[All Fields] OR "assisted"[All Fields] OR "assisting"[All Fields] OR "assistive"[All Fields] OR "dental assistants"[MeSH Terms] OR ("dental"[All Fields] AND "assistants"[All Fields]) OR "dental assistants"[All Fields] OR "assistant"[All Fields] OR "helping behavior"[MeSH Terms] OR ("helping"[All Fields] AND "behavior"[All Fields]) OR "helping behavior"[All Fields] OR "assist"[All Fields] OR "assistance"[All Fields] OR "assists"[All Fields]) AND ("transluminal"[All Fields] OR "transluminally"[All Fields]) AND ("trabeculectomy"[MeSH Terms] OR "trabeculectomy"[All Fields] OR "trabeculotomies"[All Fields] OR "trabeculotomy"[All Fields])) OR ("trabeculectomy"[MeSH Terms] OR "trabeculectomy"[All Fields] OR "goniotomies"[All Fields] OR "goniotomy"[All Fields]) OR (("abnormalities"[MeSH Subheading] OR "abnormalities"[All Fields] OR "ab"[All Fields]) AND "interno"[All Fields] AND ("trabeculectomy"[MeSH Terms] OR "trabeculectomy"[All Fields] OR "trabeculotomies"[All Fields] OR "trabeculotomy"[All Fields])) OR (("abnormalities"[MeSH Subheading] OR "abnormalities"[All Fields] OR "ab"[All Fields]) AND "interno"[All Fields] AND ("canaloplasties"[All Fields] OR "canaloplasty"[All Fields])) OR ("istent"[All Fields] OR "istents"[All Fields]) OR (("istent"[All Fields] OR "istents"[All Fields]) AND ("inject"[All Fields] OR "injectability"[All Fields] OR "injectant"[All Fields] OR "injectants"[All Fields] OR "injectate"[All Fields] OR "injectates"[All Fields] OR "injected"[All Fields] OR "injectible"[All Fields] OR "injectibles"[All Fields] OR "injecting"[All Fields] OR "injections"[MeSH Terms] OR "injections"[All Fields] OR "injectable"[All Fields] OR "injectables"[All Fields] OR "injection"[All Fields] OR "injects"[All Fields])) OR "Hydrus"[All Fields] OR (("phacoemulsification"[MeSH Terms] OR "phacoemulsification"[All Fields] OR "phacoemulsifications"[All Fields] OR "phakoemulsification"[All Fields]) AND ("lens implantation, intraocular"[MeSH Terms] OR ("lens"[All Fields] AND "implantation"[All Fields] AND "intraocular"[All Fields]) OR "intraocular lens implantation"[All Fields] OR ("intraocular"[All Fields] AND "lens"[All Fields] AND "implantation"[All Fields]))) OR "goniosynechialysis"[All Fields] OR "phacogoniotomy"[All Fields] OR ("needle s"[All Fields] OR "needled"[All Fields] OR "needles"[MeSH Terms] OR "needles"[All Fields] OR "needle"[All Fields] OR "needlings"[All Fields] OR "percutaneous collagen induction"[MeSH Terms] OR ("percutaneous"[All Fields] AND "collagen"[All Fields] AND "induction"[All Fields]) OR "percutaneous collagen induction"[All Fields] OR "needling"[All Fields]) OR ("bent"[All Fields] AND ("abnormalities"[MeSH Subheading] OR "abnormalities"[All Fields] OR "ab"[All Fields]) AND "interno"[All Fields] AND ("needle s"[All Fields] OR "needled"[All Fields] OR "needles"[MeSH Terms] OR "needles"[All Fields] OR "needle"[All Fields] OR "needlings"[All Fields] OR "percutaneous collagen induction"[MeSH Terms] OR ("percutaneous"[All Fields] AND "collagen"[All Fields] AND "induction"[All Fields]) OR "percutaneous collagen induction"[All Fields] OR "needling"[All Fields]) AND ("trabeculectomy"[MeSH Terms] OR "trabeculectomy"[All Fields] OR "goniotomies"[All Fields] OR "goniotomy"[All Fields])) OR ("Kahook"[All Fields] AND "dual"[All Fields] AND ("blade"[All Fields] OR "blade s"[All Fields] OR "bladed"[All Fields] OR "blades"[All Fields])) OR ("Tanito"[All </w:t>
            </w:r>
            <w:r>
              <w:rPr>
                <w:rFonts w:ascii="Arial" w:hAnsi="Arial"/>
                <w:sz w:val="20"/>
                <w:szCs w:val="20"/>
              </w:rPr>
              <w:lastRenderedPageBreak/>
              <w:t>Fields] AND "microhook"[All Fields]) OR (("micro"[All Fields] OR "micros"[All Fields]) AND "Vitreoretinal"[All Fields] AND ("blade"[All Fields] OR "blade s"[All Fields] OR "bladed"[All Fields] OR "blades"[All Fields]))) AND ("glaucoma, angle closure"[MeSH Terms] OR ("glaucoma"[All Fields] AND "angle closure"[All Fields]) OR "angle-closure glaucoma"[All Fields] OR ("primary"[All Fields] AND "angle"[All Fields] AND "closure"[All Fields] AND "glaucoma"[All Fields]) OR "primary angle closure glaucoma"[All Fields] OR ("glaucoma, angle closure"[MeSH Terms] OR ("glaucoma"[All Fields] AND "angle closure"[All Fields]) OR "angle-closure glaucoma"[All Fields] OR ("angle"[All Fields] AND "closure"[All Fields] AND "glaucoma"[All Fields]) OR "angle closure glaucoma"[All Fields]) OR (("chronic"[All Fields] OR "chronical"[All Fields] OR "chronically"[All Fields] OR "chronicities"[All Fields] OR "chronicity"[All Fields] OR "chronicization"[All Fields] OR "chronics"[All Fields]) AND ("glaucoma, angle closure"[MeSH Terms] OR ("glaucoma"[All Fields] AND "angle closure"[All Fields]) OR "angle-closure glaucoma"[All Fields] OR ("angle"[All Fields] AND "closure"[All Fields] AND "glaucoma"[All Fields]) OR "angle closure glaucoma"[All Fields])))</w:t>
            </w:r>
          </w:p>
        </w:tc>
      </w:tr>
      <w:tr w:rsidR="00566D4F">
        <w:tc>
          <w:tcPr>
            <w:tcW w:w="5000" w:type="pct"/>
          </w:tcPr>
          <w:p w:rsidR="00566D4F" w:rsidRDefault="00000000">
            <w:pPr>
              <w:rPr>
                <w:rFonts w:ascii="Arial" w:hAnsi="Arial"/>
                <w:b/>
                <w:sz w:val="20"/>
                <w:szCs w:val="20"/>
              </w:rPr>
            </w:pPr>
            <w:r>
              <w:rPr>
                <w:rFonts w:ascii="Arial" w:hAnsi="Arial"/>
                <w:b/>
                <w:sz w:val="20"/>
                <w:szCs w:val="20"/>
              </w:rPr>
              <w:lastRenderedPageBreak/>
              <w:t>EMBASE</w:t>
            </w:r>
          </w:p>
          <w:p w:rsidR="00566D4F" w:rsidRDefault="00000000">
            <w:pPr>
              <w:rPr>
                <w:rFonts w:ascii="Arial" w:hAnsi="Arial"/>
                <w:sz w:val="20"/>
                <w:szCs w:val="20"/>
              </w:rPr>
            </w:pPr>
            <w:r>
              <w:rPr>
                <w:rFonts w:ascii="Arial" w:hAnsi="Arial"/>
                <w:sz w:val="20"/>
                <w:szCs w:val="20"/>
              </w:rPr>
              <w:t>The database was searched on August 7, 2024, n=252.</w:t>
            </w:r>
          </w:p>
          <w:p w:rsidR="00566D4F" w:rsidRDefault="00000000">
            <w:pPr>
              <w:rPr>
                <w:rFonts w:ascii="Arial" w:hAnsi="Arial"/>
                <w:sz w:val="20"/>
                <w:szCs w:val="20"/>
              </w:rPr>
            </w:pPr>
            <w:r>
              <w:rPr>
                <w:rFonts w:ascii="Arial" w:hAnsi="Arial"/>
                <w:sz w:val="20"/>
                <w:szCs w:val="20"/>
              </w:rPr>
              <w:t>Search Strategy:</w:t>
            </w:r>
          </w:p>
          <w:p w:rsidR="00566D4F" w:rsidRDefault="00000000">
            <w:pPr>
              <w:rPr>
                <w:rFonts w:ascii="Arial" w:hAnsi="Arial"/>
                <w:sz w:val="20"/>
                <w:szCs w:val="20"/>
              </w:rPr>
            </w:pPr>
            <w:r>
              <w:rPr>
                <w:rFonts w:ascii="Arial" w:hAnsi="Arial"/>
                <w:sz w:val="20"/>
                <w:szCs w:val="20"/>
              </w:rPr>
              <w:t xml:space="preserve"> (goniotomy:ti,ab,kw OR 'ab interno trabeculotomy':ti,ab,kw OR 'gonioscopy assisted transluminal trabeculotomy':ti,ab,kw OR trabecutome:ti,ab,kw OR 'ab interno canaloplasty':ti,ab,kw OR istent:ti,ab,kw OR 'istent inject':ti,ab,kw OR hydrus:ti,ab,kw OR 'phacoemulsification with intraocular lens implantation':ti,ab,kw OR goniosynechialysis:ti,ab,kw OR phacogoniotomy:ti,ab,kw OR needle:ti,ab,kw OR 'bent ab interno needle goniotomy':ti,ab,kw OR 'kahook dual blade':ti,ab,kw OR 'tanito microhook':ti,ab,kw OR 'micro vitreoretinal blade':ti,ab,kw) AND ('primary angle closure glaucoma':ti,ab,kw OR 'angle closure glaucoma':ti,ab,kw OR 'chronic angle closure glaucoma':ti,ab,kw)</w:t>
            </w:r>
          </w:p>
        </w:tc>
      </w:tr>
      <w:tr w:rsidR="00566D4F">
        <w:tc>
          <w:tcPr>
            <w:tcW w:w="5000" w:type="pct"/>
          </w:tcPr>
          <w:p w:rsidR="00566D4F" w:rsidRDefault="00000000">
            <w:pPr>
              <w:rPr>
                <w:rFonts w:ascii="Arial" w:hAnsi="Arial"/>
                <w:b/>
                <w:sz w:val="20"/>
                <w:szCs w:val="20"/>
              </w:rPr>
            </w:pPr>
            <w:r>
              <w:rPr>
                <w:rFonts w:ascii="Arial" w:hAnsi="Arial"/>
                <w:b/>
                <w:sz w:val="20"/>
                <w:szCs w:val="20"/>
              </w:rPr>
              <w:t>Cochrane Library</w:t>
            </w:r>
          </w:p>
          <w:p w:rsidR="00566D4F" w:rsidRDefault="00000000">
            <w:pPr>
              <w:rPr>
                <w:rFonts w:ascii="Arial" w:hAnsi="Arial"/>
                <w:sz w:val="20"/>
                <w:szCs w:val="20"/>
              </w:rPr>
            </w:pPr>
            <w:r>
              <w:rPr>
                <w:rFonts w:ascii="Arial" w:hAnsi="Arial"/>
                <w:sz w:val="20"/>
                <w:szCs w:val="20"/>
              </w:rPr>
              <w:t>The database was searched on August 7, 2024, n=118.</w:t>
            </w:r>
          </w:p>
          <w:p w:rsidR="00566D4F" w:rsidRDefault="00000000">
            <w:pPr>
              <w:rPr>
                <w:rFonts w:ascii="Arial" w:hAnsi="Arial"/>
                <w:sz w:val="20"/>
                <w:szCs w:val="20"/>
              </w:rPr>
            </w:pPr>
            <w:r>
              <w:rPr>
                <w:rFonts w:ascii="Arial" w:hAnsi="Arial"/>
                <w:sz w:val="20"/>
                <w:szCs w:val="20"/>
              </w:rPr>
              <w:t>Search Strategy:</w:t>
            </w:r>
          </w:p>
          <w:p w:rsidR="00566D4F" w:rsidRDefault="00000000">
            <w:pPr>
              <w:rPr>
                <w:rFonts w:ascii="Arial" w:hAnsi="Arial"/>
                <w:sz w:val="20"/>
                <w:szCs w:val="20"/>
              </w:rPr>
            </w:pPr>
            <w:r>
              <w:rPr>
                <w:rFonts w:ascii="Arial" w:hAnsi="Arial"/>
                <w:bCs/>
                <w:sz w:val="20"/>
                <w:szCs w:val="20"/>
              </w:rPr>
              <w:t>(goniotomy OR Ab interno trabeculotomy OR gonioscopy assisted transluminal trabeculotomy OR trabecutome OR Ab interno canaloplasty OR istent OR istent inject OR Hydrus OR phacoemulsification with intraocular lens implantation OR goniosynechialysis OR phacogoniotomy OR needle OR bent ab interno needle goniotomy OR Kahook dual blade OR Tanito microhook OR Micro Vitreoretinal blade) AND (primary angle closure glaucoma OR angle closure glaucoma OR chronic angle closure glaucoma)</w:t>
            </w:r>
          </w:p>
        </w:tc>
      </w:tr>
      <w:tr w:rsidR="00566D4F">
        <w:tc>
          <w:tcPr>
            <w:tcW w:w="5000" w:type="pct"/>
          </w:tcPr>
          <w:p w:rsidR="00566D4F" w:rsidRDefault="00000000">
            <w:pPr>
              <w:rPr>
                <w:rFonts w:ascii="Arial" w:hAnsi="Arial"/>
                <w:b/>
                <w:sz w:val="20"/>
                <w:szCs w:val="20"/>
              </w:rPr>
            </w:pPr>
            <w:r>
              <w:rPr>
                <w:rFonts w:ascii="Arial" w:hAnsi="Arial"/>
                <w:b/>
                <w:sz w:val="20"/>
                <w:szCs w:val="20"/>
              </w:rPr>
              <w:t>Ovid MEDLINE</w:t>
            </w:r>
          </w:p>
          <w:p w:rsidR="00566D4F" w:rsidRDefault="00000000">
            <w:pPr>
              <w:rPr>
                <w:rFonts w:ascii="Arial" w:hAnsi="Arial"/>
                <w:sz w:val="20"/>
                <w:szCs w:val="20"/>
              </w:rPr>
            </w:pPr>
            <w:r>
              <w:rPr>
                <w:rFonts w:ascii="Arial" w:hAnsi="Arial"/>
                <w:sz w:val="20"/>
                <w:szCs w:val="20"/>
              </w:rPr>
              <w:t>The database was searched on August 7, 2024, n=144.</w:t>
            </w:r>
          </w:p>
          <w:p w:rsidR="00566D4F" w:rsidRDefault="00000000">
            <w:pPr>
              <w:rPr>
                <w:rFonts w:ascii="Arial" w:hAnsi="Arial"/>
                <w:sz w:val="20"/>
                <w:szCs w:val="20"/>
              </w:rPr>
            </w:pPr>
            <w:r>
              <w:rPr>
                <w:rFonts w:ascii="Arial" w:hAnsi="Arial"/>
                <w:sz w:val="20"/>
                <w:szCs w:val="20"/>
              </w:rPr>
              <w:t>Search Strategy:</w:t>
            </w:r>
          </w:p>
          <w:p w:rsidR="00566D4F" w:rsidRDefault="00000000">
            <w:pPr>
              <w:rPr>
                <w:rFonts w:ascii="Arial" w:hAnsi="Arial"/>
                <w:sz w:val="20"/>
                <w:szCs w:val="20"/>
              </w:rPr>
            </w:pPr>
            <w:r>
              <w:rPr>
                <w:rFonts w:ascii="Arial" w:hAnsi="Arial"/>
                <w:sz w:val="20"/>
                <w:szCs w:val="20"/>
              </w:rPr>
              <w:t xml:space="preserve">(goniotomy or Ab interno trabeculotomy or gonioscopy assisted transluminal trabeculotomy or trabecutome or Ab interno canaloplasty or iStent or iStent inject or Hydrus or phacoemulsification with intraocular lens implantation or goniosynechialysis or phacogoniotomy or needle or bent ab interno needle goniotomy or </w:t>
            </w:r>
            <w:r>
              <w:rPr>
                <w:rFonts w:ascii="Arial" w:hAnsi="Arial"/>
                <w:sz w:val="20"/>
                <w:szCs w:val="20"/>
              </w:rPr>
              <w:lastRenderedPageBreak/>
              <w:t>Kahook dual blade or Tanito microhook or Micro Vitreoretinal blade).af. AND (primary angle closure glaucoma or angle closure glaucoma or chronic angle closure glaucoma).af.</w:t>
            </w:r>
          </w:p>
        </w:tc>
      </w:tr>
      <w:tr w:rsidR="00566D4F">
        <w:trPr>
          <w:trHeight w:val="1958"/>
        </w:trPr>
        <w:tc>
          <w:tcPr>
            <w:tcW w:w="5000" w:type="pct"/>
          </w:tcPr>
          <w:p w:rsidR="00566D4F" w:rsidRDefault="00000000">
            <w:pPr>
              <w:rPr>
                <w:rFonts w:ascii="Arial" w:hAnsi="Arial"/>
                <w:b/>
                <w:sz w:val="20"/>
                <w:szCs w:val="20"/>
              </w:rPr>
            </w:pPr>
            <w:r>
              <w:rPr>
                <w:rFonts w:ascii="Arial" w:hAnsi="Arial"/>
                <w:b/>
                <w:sz w:val="20"/>
                <w:szCs w:val="20"/>
              </w:rPr>
              <w:lastRenderedPageBreak/>
              <w:t>ScienceDirect</w:t>
            </w:r>
          </w:p>
          <w:p w:rsidR="00566D4F" w:rsidRDefault="00000000">
            <w:pPr>
              <w:rPr>
                <w:rFonts w:ascii="Arial" w:hAnsi="Arial"/>
                <w:sz w:val="20"/>
                <w:szCs w:val="20"/>
              </w:rPr>
            </w:pPr>
            <w:r>
              <w:rPr>
                <w:rFonts w:ascii="Arial" w:hAnsi="Arial"/>
                <w:sz w:val="20"/>
                <w:szCs w:val="20"/>
              </w:rPr>
              <w:t>The database was searched on August 7, 2024, n=3761.</w:t>
            </w:r>
          </w:p>
          <w:p w:rsidR="00566D4F" w:rsidRDefault="00000000">
            <w:pPr>
              <w:rPr>
                <w:rFonts w:ascii="Arial" w:hAnsi="Arial"/>
                <w:sz w:val="20"/>
                <w:szCs w:val="20"/>
              </w:rPr>
            </w:pPr>
            <w:r>
              <w:rPr>
                <w:rFonts w:ascii="Arial" w:hAnsi="Arial"/>
                <w:sz w:val="20"/>
                <w:szCs w:val="20"/>
              </w:rPr>
              <w:t>Search Strategy:</w:t>
            </w:r>
          </w:p>
          <w:p w:rsidR="00566D4F" w:rsidRDefault="00000000">
            <w:pPr>
              <w:rPr>
                <w:rFonts w:ascii="Arial" w:hAnsi="Arial"/>
                <w:sz w:val="20"/>
                <w:szCs w:val="20"/>
              </w:rPr>
            </w:pPr>
            <w:r>
              <w:rPr>
                <w:rFonts w:ascii="Arial" w:hAnsi="Arial"/>
                <w:sz w:val="20"/>
                <w:szCs w:val="20"/>
              </w:rPr>
              <w:t>#1 (</w:t>
            </w:r>
            <w:r>
              <w:rPr>
                <w:rFonts w:ascii="Arial" w:hAnsi="Arial"/>
                <w:bCs/>
                <w:sz w:val="20"/>
                <w:szCs w:val="20"/>
              </w:rPr>
              <w:t>goniotomy OR Ab interno trabeculotomy OR gonioscopy assisted transluminal trabeculotomy OR trabecutome OR Ab interno canaloplasty</w:t>
            </w:r>
            <w:r>
              <w:rPr>
                <w:rFonts w:ascii="Arial" w:hAnsi="Arial"/>
                <w:sz w:val="20"/>
                <w:szCs w:val="20"/>
              </w:rPr>
              <w:t>)AND (primary angle closure glaucoma OR angle closure glaucoma OR chronic angle closure glaucoma) 620</w:t>
            </w:r>
          </w:p>
          <w:p w:rsidR="00566D4F" w:rsidRDefault="00566D4F">
            <w:pPr>
              <w:rPr>
                <w:rFonts w:ascii="Arial" w:hAnsi="Arial"/>
                <w:sz w:val="20"/>
                <w:szCs w:val="20"/>
              </w:rPr>
            </w:pPr>
          </w:p>
          <w:p w:rsidR="00566D4F" w:rsidRDefault="00000000">
            <w:pPr>
              <w:rPr>
                <w:rFonts w:ascii="Arial" w:hAnsi="Arial"/>
                <w:sz w:val="20"/>
                <w:szCs w:val="20"/>
              </w:rPr>
            </w:pPr>
            <w:r>
              <w:rPr>
                <w:rFonts w:ascii="Arial" w:hAnsi="Arial"/>
                <w:sz w:val="20"/>
                <w:szCs w:val="20"/>
              </w:rPr>
              <w:t>#2 (istent OR istent inject OR Hydrus OR phacoemulsification with intraocular lens implantation OR goniosynechialysis OR phacogoniotomy)AND (primary angle closure glaucoma OR angle closure glaucoma OR chronic angle closure glaucoma) 1545</w:t>
            </w:r>
          </w:p>
          <w:p w:rsidR="00566D4F" w:rsidRDefault="00566D4F">
            <w:pPr>
              <w:rPr>
                <w:rFonts w:ascii="Arial" w:hAnsi="Arial"/>
                <w:sz w:val="20"/>
                <w:szCs w:val="20"/>
              </w:rPr>
            </w:pPr>
          </w:p>
          <w:p w:rsidR="00566D4F" w:rsidRDefault="00000000">
            <w:pPr>
              <w:rPr>
                <w:rFonts w:ascii="Arial" w:hAnsi="Arial"/>
                <w:sz w:val="20"/>
                <w:szCs w:val="20"/>
              </w:rPr>
            </w:pPr>
            <w:r>
              <w:rPr>
                <w:rFonts w:ascii="Arial" w:hAnsi="Arial"/>
                <w:sz w:val="20"/>
                <w:szCs w:val="20"/>
              </w:rPr>
              <w:t>#3 (</w:t>
            </w:r>
            <w:r>
              <w:rPr>
                <w:rFonts w:ascii="Arial" w:hAnsi="Arial"/>
                <w:bCs/>
                <w:sz w:val="20"/>
                <w:szCs w:val="20"/>
              </w:rPr>
              <w:t>needle OR bent ab interno needle goniotomy OR Kahook dual blade OR Tanito microhook OR Micro Vitreoretinal blade</w:t>
            </w:r>
            <w:r>
              <w:rPr>
                <w:rFonts w:ascii="Arial" w:hAnsi="Arial"/>
                <w:sz w:val="20"/>
                <w:szCs w:val="20"/>
              </w:rPr>
              <w:t>)AND (primary angle closure glaucoma OR angle closure glaucoma OR chronic angle closure glaucoma) 2850</w:t>
            </w:r>
          </w:p>
        </w:tc>
      </w:tr>
      <w:tr w:rsidR="00566D4F">
        <w:tc>
          <w:tcPr>
            <w:tcW w:w="5000" w:type="pct"/>
          </w:tcPr>
          <w:p w:rsidR="00566D4F" w:rsidRDefault="00000000">
            <w:pPr>
              <w:rPr>
                <w:rFonts w:ascii="Arial" w:hAnsi="Arial"/>
                <w:b/>
                <w:sz w:val="20"/>
                <w:szCs w:val="20"/>
              </w:rPr>
            </w:pPr>
            <w:r>
              <w:rPr>
                <w:rFonts w:ascii="Arial" w:hAnsi="Arial"/>
                <w:b/>
                <w:sz w:val="20"/>
                <w:szCs w:val="20"/>
              </w:rPr>
              <w:t>Scopus</w:t>
            </w:r>
          </w:p>
          <w:p w:rsidR="00566D4F" w:rsidRDefault="00000000">
            <w:pPr>
              <w:rPr>
                <w:rFonts w:ascii="Arial" w:hAnsi="Arial"/>
                <w:sz w:val="20"/>
                <w:szCs w:val="20"/>
              </w:rPr>
            </w:pPr>
            <w:r>
              <w:rPr>
                <w:rFonts w:ascii="Arial" w:hAnsi="Arial"/>
                <w:sz w:val="20"/>
                <w:szCs w:val="20"/>
              </w:rPr>
              <w:t>The database was searched on August 7, 2024, n=688.</w:t>
            </w:r>
          </w:p>
          <w:p w:rsidR="00566D4F" w:rsidRDefault="00000000">
            <w:pPr>
              <w:rPr>
                <w:rFonts w:ascii="Arial" w:hAnsi="Arial"/>
                <w:sz w:val="20"/>
                <w:szCs w:val="20"/>
              </w:rPr>
            </w:pPr>
            <w:r>
              <w:rPr>
                <w:rFonts w:ascii="Arial" w:hAnsi="Arial"/>
                <w:sz w:val="20"/>
                <w:szCs w:val="20"/>
              </w:rPr>
              <w:t>Search Strategy:</w:t>
            </w:r>
          </w:p>
          <w:p w:rsidR="00566D4F" w:rsidRDefault="00000000">
            <w:pPr>
              <w:rPr>
                <w:rFonts w:ascii="Arial" w:hAnsi="Arial"/>
                <w:sz w:val="20"/>
                <w:szCs w:val="20"/>
              </w:rPr>
            </w:pPr>
            <w:r>
              <w:rPr>
                <w:rFonts w:ascii="Arial" w:hAnsi="Arial"/>
                <w:sz w:val="20"/>
                <w:szCs w:val="20"/>
              </w:rPr>
              <w:t>((TITLE-ABS-KEY(goniotomy) OR TITLE-ABS-KEY(Ab interno trabeculotomy) OR TITLE-ABS-KEY(gonioscopy assisted transluminal trabeculotomy) OR TITLE-ABS-KEY(trabecutome) OR TITLE-ABS-KEY(Ab interno canaloplasty) OR TITLE-ABS-KEY(iStent) OR TITLE-ABS-KEY(iStent inject) OR TITLE-ABS-KEY(Hydrus) OR TITLE-ABS-KEY(phacoemulsification with intraocular lens implantation) OR TITLE-ABS-KEY(goniosynechialysis) OR TITLE-ABS-KEY(phacogoniotomy) OR TITLE-ABS-KEY(needle) OR TITLE-ABS-KEY(bent ab interno needle goniotomy) OR TITLE-ABS-KEY(Kahook dual blade) OR TITLE-ABS-KEY(Tanito microhook) OR TITLE-ABS-KEY(Micro Vitreoretinal blade))) AND ((TITLE-ABS-KEY(primary angle closure glaucoma) OR TITLE-ABS-KEY(angle closure glaucoma) OR TITLE-ABS-KEY(chronic angle closure glaucoma)))</w:t>
            </w:r>
          </w:p>
        </w:tc>
      </w:tr>
    </w:tbl>
    <w:p w:rsidR="00566D4F" w:rsidRDefault="00000000">
      <w:pPr>
        <w:rPr>
          <w:rFonts w:ascii="Arial" w:hAnsi="Arial"/>
          <w:sz w:val="20"/>
          <w:szCs w:val="20"/>
        </w:rPr>
      </w:pPr>
      <w:r>
        <w:rPr>
          <w:rFonts w:ascii="Arial" w:hAnsi="Arial"/>
          <w:b/>
          <w:sz w:val="20"/>
          <w:szCs w:val="20"/>
        </w:rPr>
        <w:t>Note:</w:t>
      </w:r>
      <w:r>
        <w:rPr>
          <w:rFonts w:ascii="Arial" w:hAnsi="Arial"/>
          <w:sz w:val="20"/>
          <w:szCs w:val="20"/>
        </w:rPr>
        <w:t xml:space="preserve"> The combined text and medical subject heading (MeSH) terms used were: gonioscopy assisted transluminal trabeculotomy, goniotomy, Ab interno trabeculotomy, trabecutome, Ab interno canaloplasty, iStent, iStent inject, Hydrus, phacoemulsification with intraocular lens implantation, goniosynechialysis, phacogoniotomy, needle, bent ab interno needle goniotomy, Kahook dual blade, Tanito microhook, Micro Vitreoretinal blade, primary angle closure glaucoma, angle closure glaucoma, and chronic angle closure glaucoma.</w:t>
      </w:r>
    </w:p>
    <w:p w:rsidR="00566D4F" w:rsidRDefault="00566D4F">
      <w:pPr>
        <w:rPr>
          <w:rFonts w:ascii="Arial" w:hAnsi="Arial"/>
          <w:bCs/>
          <w:sz w:val="24"/>
          <w:szCs w:val="22"/>
        </w:rPr>
      </w:pPr>
    </w:p>
    <w:p w:rsidR="00566D4F" w:rsidRDefault="00566D4F">
      <w:pPr>
        <w:rPr>
          <w:rFonts w:ascii="Arial" w:hAnsi="Arial"/>
          <w:b/>
          <w:sz w:val="20"/>
          <w:szCs w:val="20"/>
        </w:rPr>
      </w:pPr>
    </w:p>
    <w:p w:rsidR="00566D4F" w:rsidRDefault="00000000">
      <w:pPr>
        <w:rPr>
          <w:rFonts w:ascii="Arial" w:hAnsi="Arial"/>
          <w:b/>
          <w:bCs/>
          <w:sz w:val="20"/>
          <w:szCs w:val="20"/>
        </w:rPr>
      </w:pPr>
      <w:r>
        <w:rPr>
          <w:rFonts w:ascii="Arial" w:hAnsi="Arial"/>
          <w:b/>
          <w:bCs/>
          <w:sz w:val="20"/>
          <w:szCs w:val="20"/>
        </w:rPr>
        <w:lastRenderedPageBreak/>
        <w:t>Table S3 Preoperative and postoperative gonioscopic findings</w:t>
      </w:r>
    </w:p>
    <w:tbl>
      <w:tblPr>
        <w:tblW w:w="5087" w:type="pct"/>
        <w:tblLayout w:type="fixed"/>
        <w:tblLook w:val="04A0" w:firstRow="1" w:lastRow="0" w:firstColumn="1" w:lastColumn="0" w:noHBand="0" w:noVBand="1"/>
      </w:tblPr>
      <w:tblGrid>
        <w:gridCol w:w="1791"/>
        <w:gridCol w:w="6006"/>
        <w:gridCol w:w="6406"/>
      </w:tblGrid>
      <w:tr w:rsidR="00566D4F">
        <w:trPr>
          <w:trHeight w:val="337"/>
        </w:trPr>
        <w:tc>
          <w:tcPr>
            <w:tcW w:w="630" w:type="pct"/>
            <w:tcBorders>
              <w:top w:val="single" w:sz="12" w:space="0" w:color="000000"/>
              <w:left w:val="nil"/>
              <w:bottom w:val="single" w:sz="12" w:space="0" w:color="000000"/>
              <w:right w:val="nil"/>
            </w:tcBorders>
            <w:shd w:val="clear" w:color="auto" w:fill="FFFFFF"/>
            <w:noWrap/>
          </w:tcPr>
          <w:p w:rsidR="00566D4F" w:rsidRDefault="00000000">
            <w:pPr>
              <w:widowControl/>
              <w:jc w:val="left"/>
              <w:textAlignment w:val="center"/>
              <w:rPr>
                <w:rFonts w:ascii="Arial" w:eastAsia="宋体" w:hAnsi="Arial"/>
                <w:b/>
                <w:sz w:val="20"/>
                <w:szCs w:val="20"/>
              </w:rPr>
            </w:pPr>
            <w:r>
              <w:rPr>
                <w:rFonts w:ascii="Arial" w:eastAsia="新宋体" w:hAnsi="Arial"/>
                <w:b/>
                <w:kern w:val="0"/>
                <w:sz w:val="20"/>
                <w:szCs w:val="20"/>
                <w:lang w:bidi="ar"/>
              </w:rPr>
              <w:t>Years</w:t>
            </w:r>
            <w:r>
              <w:rPr>
                <w:rStyle w:val="font151"/>
                <w:rFonts w:ascii="Arial" w:eastAsia="新宋体" w:hAnsi="Arial" w:cs="Arial" w:hint="default"/>
                <w:bCs w:val="0"/>
                <w:color w:val="auto"/>
                <w:sz w:val="20"/>
                <w:szCs w:val="20"/>
                <w:lang w:bidi="ar"/>
              </w:rPr>
              <w:t xml:space="preserve">, </w:t>
            </w:r>
            <w:r>
              <w:rPr>
                <w:rStyle w:val="font21"/>
                <w:rFonts w:ascii="Arial" w:eastAsia="新宋体" w:hAnsi="Arial" w:cs="Arial"/>
                <w:bCs w:val="0"/>
                <w:color w:val="auto"/>
                <w:sz w:val="20"/>
                <w:szCs w:val="20"/>
                <w:lang w:bidi="ar"/>
              </w:rPr>
              <w:t>Author</w:t>
            </w:r>
          </w:p>
        </w:tc>
        <w:tc>
          <w:tcPr>
            <w:tcW w:w="2113" w:type="pct"/>
            <w:tcBorders>
              <w:top w:val="single" w:sz="12" w:space="0" w:color="000000"/>
              <w:left w:val="nil"/>
              <w:bottom w:val="single" w:sz="12" w:space="0" w:color="000000"/>
              <w:right w:val="nil"/>
            </w:tcBorders>
            <w:shd w:val="clear" w:color="auto" w:fill="FFFFFF"/>
            <w:noWrap/>
          </w:tcPr>
          <w:p w:rsidR="00566D4F" w:rsidRDefault="00000000">
            <w:pPr>
              <w:jc w:val="left"/>
              <w:rPr>
                <w:rFonts w:ascii="Arial" w:eastAsia="宋体" w:hAnsi="Arial"/>
                <w:b/>
                <w:bCs/>
                <w:sz w:val="20"/>
                <w:szCs w:val="20"/>
              </w:rPr>
            </w:pPr>
            <w:r>
              <w:rPr>
                <w:rFonts w:ascii="Arial" w:eastAsia="宋体" w:hAnsi="Arial"/>
                <w:b/>
                <w:bCs/>
                <w:sz w:val="20"/>
                <w:szCs w:val="20"/>
              </w:rPr>
              <w:t>Preop gonioscopic findings</w:t>
            </w:r>
          </w:p>
        </w:tc>
        <w:tc>
          <w:tcPr>
            <w:tcW w:w="2255" w:type="pct"/>
            <w:tcBorders>
              <w:top w:val="single" w:sz="12" w:space="0" w:color="000000"/>
              <w:left w:val="nil"/>
              <w:bottom w:val="single" w:sz="12" w:space="0" w:color="000000"/>
              <w:right w:val="nil"/>
            </w:tcBorders>
            <w:shd w:val="clear" w:color="auto" w:fill="FFFFFF"/>
            <w:noWrap/>
          </w:tcPr>
          <w:p w:rsidR="00566D4F" w:rsidRDefault="00000000">
            <w:pPr>
              <w:jc w:val="left"/>
              <w:rPr>
                <w:rFonts w:ascii="Arial" w:eastAsia="宋体" w:hAnsi="Arial"/>
                <w:b/>
                <w:bCs/>
                <w:sz w:val="20"/>
                <w:szCs w:val="20"/>
              </w:rPr>
            </w:pPr>
            <w:r>
              <w:rPr>
                <w:rFonts w:ascii="Arial" w:eastAsia="宋体" w:hAnsi="Arial"/>
                <w:b/>
                <w:bCs/>
                <w:sz w:val="20"/>
                <w:szCs w:val="20"/>
              </w:rPr>
              <w:t>Postop gonioscopic findings</w:t>
            </w:r>
          </w:p>
        </w:tc>
      </w:tr>
      <w:tr w:rsidR="00566D4F">
        <w:trPr>
          <w:trHeight w:val="318"/>
        </w:trPr>
        <w:tc>
          <w:tcPr>
            <w:tcW w:w="2744" w:type="pct"/>
            <w:gridSpan w:val="2"/>
            <w:tcBorders>
              <w:top w:val="single" w:sz="12" w:space="0" w:color="000000"/>
              <w:left w:val="nil"/>
              <w:bottom w:val="nil"/>
              <w:right w:val="nil"/>
            </w:tcBorders>
            <w:shd w:val="clear" w:color="auto" w:fill="FFFFFF"/>
            <w:noWrap/>
          </w:tcPr>
          <w:p w:rsidR="00566D4F" w:rsidRDefault="00000000">
            <w:pPr>
              <w:jc w:val="left"/>
              <w:rPr>
                <w:rFonts w:ascii="Arial" w:eastAsia="宋体" w:hAnsi="Arial"/>
                <w:sz w:val="20"/>
                <w:szCs w:val="20"/>
              </w:rPr>
            </w:pPr>
            <w:r>
              <w:rPr>
                <w:rFonts w:ascii="Arial" w:eastAsia="宋体" w:hAnsi="Arial"/>
                <w:b/>
                <w:kern w:val="0"/>
                <w:sz w:val="20"/>
                <w:szCs w:val="20"/>
                <w:lang w:bidi="ar"/>
              </w:rPr>
              <w:t>PEI ± GSL + GT</w:t>
            </w:r>
          </w:p>
        </w:tc>
        <w:tc>
          <w:tcPr>
            <w:tcW w:w="2255" w:type="pct"/>
            <w:tcBorders>
              <w:top w:val="single" w:sz="12" w:space="0" w:color="000000"/>
              <w:left w:val="nil"/>
              <w:bottom w:val="nil"/>
              <w:right w:val="nil"/>
            </w:tcBorders>
            <w:shd w:val="clear" w:color="auto" w:fill="FFFFFF"/>
            <w:noWrap/>
          </w:tcPr>
          <w:p w:rsidR="00566D4F" w:rsidRDefault="00566D4F">
            <w:pPr>
              <w:jc w:val="left"/>
              <w:rPr>
                <w:rFonts w:ascii="Arial" w:eastAsia="宋体" w:hAnsi="Arial"/>
                <w:sz w:val="20"/>
                <w:szCs w:val="20"/>
              </w:rPr>
            </w:pPr>
          </w:p>
        </w:tc>
      </w:tr>
      <w:tr w:rsidR="00566D4F">
        <w:trPr>
          <w:trHeight w:val="28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2024, Song*</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Shaffer grade</w:t>
            </w:r>
            <w:r>
              <w:rPr>
                <w:rFonts w:ascii="Arial" w:eastAsia="宋体" w:hAnsi="Arial"/>
                <w:sz w:val="20"/>
                <w:szCs w:val="20"/>
              </w:rPr>
              <w:t>：</w:t>
            </w:r>
            <w:r>
              <w:rPr>
                <w:rFonts w:ascii="Arial" w:eastAsia="宋体" w:hAnsi="Arial"/>
                <w:sz w:val="20"/>
                <w:szCs w:val="20"/>
              </w:rPr>
              <w:t>0.0 (0.0-1.0)</w:t>
            </w:r>
          </w:p>
          <w:p w:rsidR="00566D4F" w:rsidRDefault="00000000">
            <w:pPr>
              <w:spacing w:afterLines="30" w:after="93"/>
              <w:jc w:val="left"/>
              <w:rPr>
                <w:rFonts w:ascii="Arial" w:eastAsia="宋体" w:hAnsi="Arial"/>
                <w:sz w:val="20"/>
                <w:szCs w:val="20"/>
              </w:rPr>
            </w:pPr>
            <w:r>
              <w:rPr>
                <w:rFonts w:ascii="Arial" w:eastAsia="宋体" w:hAnsi="Arial"/>
                <w:sz w:val="20"/>
                <w:szCs w:val="20"/>
              </w:rPr>
              <w:t>PAS baseline (clock hours)</w:t>
            </w:r>
            <w:r>
              <w:rPr>
                <w:rFonts w:ascii="Arial" w:eastAsia="宋体" w:hAnsi="Arial"/>
                <w:sz w:val="20"/>
                <w:szCs w:val="20"/>
              </w:rPr>
              <w:t>：</w:t>
            </w:r>
            <w:r>
              <w:rPr>
                <w:rFonts w:ascii="Arial" w:eastAsia="宋体" w:hAnsi="Arial"/>
                <w:sz w:val="20"/>
                <w:szCs w:val="20"/>
              </w:rPr>
              <w:t>9.0 (8.0-12.0)</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PAS at month 12 (clock hours)</w:t>
            </w:r>
            <w:r>
              <w:rPr>
                <w:rFonts w:ascii="Arial" w:eastAsia="宋体" w:hAnsi="Arial"/>
                <w:sz w:val="20"/>
                <w:szCs w:val="20"/>
              </w:rPr>
              <w:t>：</w:t>
            </w:r>
            <w:r>
              <w:rPr>
                <w:rFonts w:ascii="Arial" w:eastAsia="宋体" w:hAnsi="Arial"/>
                <w:sz w:val="20"/>
                <w:szCs w:val="20"/>
              </w:rPr>
              <w:t>5.1 (3.1)</w:t>
            </w:r>
          </w:p>
          <w:p w:rsidR="00566D4F" w:rsidRDefault="00000000">
            <w:pPr>
              <w:spacing w:afterLines="30" w:after="93"/>
              <w:jc w:val="left"/>
              <w:rPr>
                <w:rFonts w:ascii="Arial" w:eastAsia="宋体" w:hAnsi="Arial"/>
                <w:sz w:val="20"/>
                <w:szCs w:val="20"/>
              </w:rPr>
            </w:pPr>
            <w:r>
              <w:rPr>
                <w:rFonts w:ascii="Arial" w:eastAsia="宋体" w:hAnsi="Arial"/>
                <w:sz w:val="20"/>
                <w:szCs w:val="20"/>
              </w:rPr>
              <w:t>Change in PAS from baseline (clock hours)</w:t>
            </w:r>
            <w:r>
              <w:rPr>
                <w:rFonts w:ascii="Arial" w:eastAsia="宋体" w:hAnsi="Arial"/>
                <w:sz w:val="20"/>
                <w:szCs w:val="20"/>
              </w:rPr>
              <w:t>：</w:t>
            </w:r>
            <w:r>
              <w:rPr>
                <w:rFonts w:ascii="Arial" w:eastAsia="宋体" w:hAnsi="Arial"/>
                <w:sz w:val="20"/>
                <w:szCs w:val="20"/>
              </w:rPr>
              <w:t>-4.3 (2.9)</w:t>
            </w:r>
          </w:p>
        </w:tc>
      </w:tr>
      <w:tr w:rsidR="00566D4F">
        <w:trPr>
          <w:trHeight w:val="28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2023, Tan</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 xml:space="preserve">Preoperative extent of angle closure ≥ 180° </w:t>
            </w:r>
          </w:p>
          <w:p w:rsidR="00566D4F" w:rsidRDefault="00000000">
            <w:pPr>
              <w:spacing w:afterLines="30" w:after="93"/>
              <w:jc w:val="left"/>
              <w:rPr>
                <w:rFonts w:ascii="Arial" w:eastAsia="宋体" w:hAnsi="Arial"/>
                <w:sz w:val="20"/>
                <w:szCs w:val="20"/>
              </w:rPr>
            </w:pPr>
            <w:r>
              <w:rPr>
                <w:rFonts w:ascii="Arial" w:eastAsia="宋体" w:hAnsi="Arial"/>
                <w:sz w:val="20"/>
                <w:szCs w:val="20"/>
              </w:rPr>
              <w:t>N=62 (86.1%)</w:t>
            </w:r>
          </w:p>
          <w:p w:rsidR="00566D4F" w:rsidRDefault="00000000">
            <w:pPr>
              <w:spacing w:afterLines="30" w:after="93"/>
              <w:jc w:val="left"/>
              <w:rPr>
                <w:rFonts w:ascii="Arial" w:eastAsia="宋体" w:hAnsi="Arial"/>
                <w:sz w:val="20"/>
                <w:szCs w:val="20"/>
              </w:rPr>
            </w:pPr>
            <w:r>
              <w:rPr>
                <w:rFonts w:ascii="Arial" w:eastAsia="宋体" w:hAnsi="Arial"/>
                <w:sz w:val="20"/>
                <w:szCs w:val="20"/>
              </w:rPr>
              <w:t>Preoperative extent of angle closure &lt; 180°</w:t>
            </w:r>
          </w:p>
          <w:p w:rsidR="00566D4F" w:rsidRDefault="00000000">
            <w:pPr>
              <w:spacing w:afterLines="30" w:after="93"/>
              <w:jc w:val="left"/>
              <w:rPr>
                <w:rFonts w:ascii="Arial" w:eastAsia="宋体" w:hAnsi="Arial"/>
                <w:sz w:val="20"/>
                <w:szCs w:val="20"/>
              </w:rPr>
            </w:pPr>
            <w:r>
              <w:rPr>
                <w:rFonts w:ascii="Arial" w:eastAsia="宋体" w:hAnsi="Arial"/>
                <w:sz w:val="20"/>
                <w:szCs w:val="20"/>
              </w:rPr>
              <w:t>N=10 (13.9%)</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 xml:space="preserve">Topical synechia was observed in excised angle over follow-up, but such synechia was tubular and had no influence on aqueous outflow. </w:t>
            </w:r>
          </w:p>
        </w:tc>
      </w:tr>
      <w:tr w:rsidR="00566D4F">
        <w:trPr>
          <w:trHeight w:val="90"/>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kern w:val="0"/>
                <w:sz w:val="20"/>
                <w:szCs w:val="20"/>
              </w:rPr>
            </w:pPr>
            <w:r>
              <w:rPr>
                <w:rFonts w:ascii="Arial" w:eastAsia="宋体" w:hAnsi="Arial"/>
                <w:kern w:val="0"/>
                <w:sz w:val="20"/>
                <w:szCs w:val="20"/>
                <w:lang w:bidi="ar"/>
              </w:rPr>
              <w:t>2022, Song</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kern w:val="0"/>
                <w:sz w:val="20"/>
                <w:szCs w:val="20"/>
              </w:rPr>
            </w:pPr>
            <w:r>
              <w:rPr>
                <w:rFonts w:ascii="Arial" w:eastAsia="宋体" w:hAnsi="Arial"/>
                <w:kern w:val="0"/>
                <w:sz w:val="20"/>
                <w:szCs w:val="20"/>
              </w:rPr>
              <w:t>Presence of at least 180-degree PAS covering the nasal or inferior quadrant for surgical purposes as observed under gonioscopy.</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kern w:val="0"/>
                <w:sz w:val="20"/>
                <w:szCs w:val="20"/>
              </w:rPr>
            </w:pPr>
            <w:r>
              <w:rPr>
                <w:rFonts w:ascii="Arial" w:eastAsia="宋体" w:hAnsi="Arial"/>
                <w:kern w:val="0"/>
                <w:sz w:val="20"/>
                <w:szCs w:val="20"/>
              </w:rPr>
              <w:t>The PAS and part of the inner wall of the Schlemm canal were opened.</w:t>
            </w:r>
          </w:p>
        </w:tc>
      </w:tr>
      <w:tr w:rsidR="00566D4F">
        <w:trPr>
          <w:trHeight w:val="28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2021, Gupta</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kern w:val="0"/>
                <w:sz w:val="20"/>
                <w:szCs w:val="20"/>
              </w:rPr>
              <w:t xml:space="preserve">Gonioscopy examinations </w:t>
            </w:r>
            <w:r>
              <w:rPr>
                <w:rFonts w:ascii="Arial" w:eastAsia="宋体" w:hAnsi="Arial"/>
                <w:sz w:val="20"/>
                <w:szCs w:val="20"/>
              </w:rPr>
              <w:t>demonstrated the absence of redevelopment of synechiae in patients after combined incisional goniotomy and phacoemulsification.</w:t>
            </w:r>
          </w:p>
        </w:tc>
      </w:tr>
      <w:tr w:rsidR="00566D4F">
        <w:trPr>
          <w:trHeight w:val="28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2019, Dorairaj</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kern w:val="0"/>
                <w:sz w:val="20"/>
                <w:szCs w:val="20"/>
              </w:rPr>
              <w:t xml:space="preserve">Presence of </w:t>
            </w:r>
            <w:r>
              <w:rPr>
                <w:rFonts w:ascii="Arial" w:eastAsia="宋体" w:hAnsi="Arial"/>
                <w:sz w:val="20"/>
                <w:szCs w:val="20"/>
              </w:rPr>
              <w:t>at least 3 clock hours of PAS in the anterior chamber angle.</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r>
      <w:tr w:rsidR="00566D4F">
        <w:trPr>
          <w:trHeight w:val="288"/>
        </w:trPr>
        <w:tc>
          <w:tcPr>
            <w:tcW w:w="2744" w:type="pct"/>
            <w:gridSpan w:val="2"/>
            <w:tcBorders>
              <w:top w:val="nil"/>
              <w:left w:val="nil"/>
              <w:bottom w:val="nil"/>
              <w:right w:val="nil"/>
            </w:tcBorders>
            <w:shd w:val="clear" w:color="auto" w:fill="FFFFFF"/>
            <w:noWrap/>
          </w:tcPr>
          <w:p w:rsidR="00566D4F" w:rsidRDefault="00000000">
            <w:pPr>
              <w:jc w:val="left"/>
              <w:rPr>
                <w:rFonts w:ascii="Arial" w:hAnsi="Arial"/>
                <w:sz w:val="20"/>
                <w:szCs w:val="20"/>
              </w:rPr>
            </w:pPr>
            <w:r>
              <w:rPr>
                <w:rFonts w:ascii="Arial" w:eastAsia="宋体" w:hAnsi="Arial"/>
                <w:b/>
                <w:kern w:val="0"/>
                <w:sz w:val="20"/>
                <w:szCs w:val="20"/>
                <w:lang w:bidi="ar"/>
              </w:rPr>
              <w:t>PEI ± GSL + GATT</w:t>
            </w:r>
          </w:p>
        </w:tc>
        <w:tc>
          <w:tcPr>
            <w:tcW w:w="2255" w:type="pct"/>
            <w:tcBorders>
              <w:top w:val="nil"/>
              <w:left w:val="nil"/>
              <w:bottom w:val="nil"/>
              <w:right w:val="nil"/>
            </w:tcBorders>
            <w:shd w:val="clear" w:color="auto" w:fill="FFFFFF"/>
            <w:noWrap/>
          </w:tcPr>
          <w:p w:rsidR="00566D4F" w:rsidRDefault="00566D4F">
            <w:pPr>
              <w:jc w:val="left"/>
              <w:rPr>
                <w:rFonts w:ascii="Arial" w:eastAsiaTheme="minorEastAsia" w:hAnsi="Arial"/>
                <w:sz w:val="20"/>
                <w:szCs w:val="20"/>
              </w:rPr>
            </w:pPr>
          </w:p>
        </w:tc>
      </w:tr>
      <w:tr w:rsidR="00566D4F">
        <w:trPr>
          <w:trHeight w:val="28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2023, ElSayed</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Gonioscopy revealing &gt;180 degrees of irido- trabecular contact.</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r>
      <w:tr w:rsidR="00566D4F">
        <w:trPr>
          <w:trHeight w:val="28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2022, Fontana</w:t>
            </w:r>
            <w:r>
              <w:rPr>
                <w:rFonts w:ascii="Arial" w:eastAsia="宋体" w:hAnsi="Arial"/>
                <w:kern w:val="0"/>
                <w:sz w:val="20"/>
                <w:szCs w:val="20"/>
                <w:vertAlign w:val="superscript"/>
                <w:lang w:bidi="ar"/>
              </w:rPr>
              <w:t>#</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PAS baseline (°)</w:t>
            </w:r>
          </w:p>
          <w:p w:rsidR="00566D4F" w:rsidRDefault="00000000">
            <w:pPr>
              <w:spacing w:afterLines="30" w:after="93"/>
              <w:jc w:val="left"/>
              <w:rPr>
                <w:rFonts w:ascii="Arial" w:eastAsia="宋体" w:hAnsi="Arial"/>
                <w:sz w:val="20"/>
                <w:szCs w:val="20"/>
              </w:rPr>
            </w:pPr>
            <w:r>
              <w:rPr>
                <w:rFonts w:ascii="Arial" w:eastAsia="宋体" w:hAnsi="Arial"/>
                <w:sz w:val="20"/>
                <w:szCs w:val="20"/>
              </w:rPr>
              <w:t>300 ± 73</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kern w:val="0"/>
                <w:sz w:val="20"/>
                <w:szCs w:val="20"/>
              </w:rPr>
              <w:t>Gonioscopy examinations demonstrated the absence of anterior synechiae in 12 out of 15 (80%) patients, whereas in 3 patients, limited PAS recurrence was observed in the inferior angle extending from 30 to 60°.</w:t>
            </w:r>
          </w:p>
        </w:tc>
      </w:tr>
      <w:tr w:rsidR="00566D4F">
        <w:trPr>
          <w:trHeight w:val="52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2021, Sharkawi</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G</w:t>
            </w:r>
            <w:r>
              <w:rPr>
                <w:rFonts w:ascii="Arial" w:eastAsia="宋体" w:hAnsi="Arial"/>
                <w:kern w:val="0"/>
                <w:sz w:val="20"/>
                <w:szCs w:val="20"/>
              </w:rPr>
              <w:t>onioscopy examinations demonstrated</w:t>
            </w:r>
            <w:r>
              <w:rPr>
                <w:rFonts w:ascii="Arial" w:eastAsia="宋体" w:hAnsi="Arial"/>
                <w:sz w:val="20"/>
                <w:szCs w:val="20"/>
              </w:rPr>
              <w:t xml:space="preserve"> that intermittent, discontinuous PAS had developed despite their pseudophakic status.</w:t>
            </w:r>
          </w:p>
        </w:tc>
      </w:tr>
      <w:tr w:rsidR="00566D4F">
        <w:trPr>
          <w:trHeight w:val="347"/>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lastRenderedPageBreak/>
              <w:t>2021, Chira-Adisai</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r>
      <w:tr w:rsidR="00566D4F">
        <w:trPr>
          <w:trHeight w:val="288"/>
        </w:trPr>
        <w:tc>
          <w:tcPr>
            <w:tcW w:w="2744" w:type="pct"/>
            <w:gridSpan w:val="2"/>
            <w:tcBorders>
              <w:top w:val="nil"/>
              <w:left w:val="nil"/>
              <w:bottom w:val="nil"/>
              <w:right w:val="nil"/>
            </w:tcBorders>
            <w:shd w:val="clear" w:color="auto" w:fill="FFFFFF"/>
            <w:noWrap/>
          </w:tcPr>
          <w:p w:rsidR="00566D4F" w:rsidRDefault="00000000">
            <w:pPr>
              <w:jc w:val="left"/>
              <w:rPr>
                <w:rFonts w:ascii="Arial" w:hAnsi="Arial"/>
                <w:sz w:val="20"/>
                <w:szCs w:val="20"/>
              </w:rPr>
            </w:pPr>
            <w:r>
              <w:rPr>
                <w:rFonts w:ascii="Arial" w:eastAsia="宋体" w:hAnsi="Arial"/>
                <w:b/>
                <w:kern w:val="0"/>
                <w:sz w:val="20"/>
                <w:szCs w:val="20"/>
                <w:lang w:bidi="ar"/>
              </w:rPr>
              <w:t>PEI ± GSL + iStent</w:t>
            </w:r>
          </w:p>
        </w:tc>
        <w:tc>
          <w:tcPr>
            <w:tcW w:w="2255" w:type="pct"/>
            <w:tcBorders>
              <w:top w:val="nil"/>
              <w:left w:val="nil"/>
              <w:bottom w:val="nil"/>
              <w:right w:val="nil"/>
            </w:tcBorders>
            <w:shd w:val="clear" w:color="auto" w:fill="FFFFFF"/>
            <w:noWrap/>
          </w:tcPr>
          <w:p w:rsidR="00566D4F" w:rsidRDefault="00566D4F">
            <w:pPr>
              <w:jc w:val="left"/>
              <w:rPr>
                <w:rFonts w:ascii="Arial" w:eastAsiaTheme="minorEastAsia" w:hAnsi="Arial"/>
                <w:sz w:val="20"/>
                <w:szCs w:val="20"/>
              </w:rPr>
            </w:pPr>
          </w:p>
        </w:tc>
      </w:tr>
      <w:tr w:rsidR="00566D4F">
        <w:trPr>
          <w:trHeight w:val="31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2021, Salimi</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Eyes with posterior trabecular meshwork not visible for ≥180 degrees on gonioscopy with or without PAS.</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r>
      <w:tr w:rsidR="00566D4F">
        <w:trPr>
          <w:trHeight w:val="318"/>
        </w:trPr>
        <w:tc>
          <w:tcPr>
            <w:tcW w:w="630" w:type="pct"/>
            <w:tcBorders>
              <w:top w:val="nil"/>
              <w:left w:val="nil"/>
              <w:bottom w:val="nil"/>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2020, Chen</w:t>
            </w:r>
          </w:p>
        </w:tc>
        <w:tc>
          <w:tcPr>
            <w:tcW w:w="2113"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Patients with ≥180°of angle in which the posterior trabecular meshwork is not visible on gonioscopy and/or PAS are present.</w:t>
            </w:r>
          </w:p>
        </w:tc>
        <w:tc>
          <w:tcPr>
            <w:tcW w:w="2255" w:type="pct"/>
            <w:tcBorders>
              <w:top w:val="nil"/>
              <w:left w:val="nil"/>
              <w:bottom w:val="nil"/>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r>
      <w:tr w:rsidR="00566D4F">
        <w:trPr>
          <w:trHeight w:val="288"/>
        </w:trPr>
        <w:tc>
          <w:tcPr>
            <w:tcW w:w="630" w:type="pct"/>
            <w:tcBorders>
              <w:top w:val="nil"/>
              <w:left w:val="nil"/>
              <w:bottom w:val="single" w:sz="12" w:space="0" w:color="000000"/>
              <w:right w:val="nil"/>
            </w:tcBorders>
            <w:shd w:val="clear" w:color="auto" w:fill="FFFFFF"/>
            <w:noWrap/>
          </w:tcPr>
          <w:p w:rsidR="00566D4F" w:rsidRDefault="00000000">
            <w:pPr>
              <w:widowControl/>
              <w:spacing w:afterLines="30" w:after="93"/>
              <w:jc w:val="left"/>
              <w:textAlignment w:val="center"/>
              <w:rPr>
                <w:rFonts w:ascii="Arial" w:eastAsia="宋体" w:hAnsi="Arial"/>
                <w:sz w:val="20"/>
                <w:szCs w:val="20"/>
              </w:rPr>
            </w:pPr>
            <w:r>
              <w:rPr>
                <w:rFonts w:ascii="Arial" w:eastAsia="宋体" w:hAnsi="Arial"/>
                <w:kern w:val="0"/>
                <w:sz w:val="20"/>
                <w:szCs w:val="20"/>
                <w:lang w:bidi="ar"/>
              </w:rPr>
              <w:t>2019, Hernstadt</w:t>
            </w:r>
          </w:p>
        </w:tc>
        <w:tc>
          <w:tcPr>
            <w:tcW w:w="2113" w:type="pct"/>
            <w:tcBorders>
              <w:top w:val="nil"/>
              <w:left w:val="nil"/>
              <w:bottom w:val="single" w:sz="12" w:space="0" w:color="000000"/>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Posterior trabecular meshwork was not visible for at least 180° on gonioscopy in the primary position with or without PAS</w:t>
            </w:r>
            <w:r>
              <w:rPr>
                <w:rFonts w:ascii="Arial" w:eastAsia="宋体" w:hAnsi="Arial"/>
                <w:sz w:val="20"/>
                <w:szCs w:val="20"/>
              </w:rPr>
              <w:t>，</w:t>
            </w:r>
            <w:r>
              <w:rPr>
                <w:rFonts w:ascii="Arial" w:eastAsia="宋体" w:hAnsi="Arial"/>
                <w:sz w:val="20"/>
                <w:szCs w:val="20"/>
              </w:rPr>
              <w:t>PAS≤180°.</w:t>
            </w:r>
          </w:p>
        </w:tc>
        <w:tc>
          <w:tcPr>
            <w:tcW w:w="2255" w:type="pct"/>
            <w:tcBorders>
              <w:top w:val="nil"/>
              <w:left w:val="nil"/>
              <w:bottom w:val="single" w:sz="12" w:space="0" w:color="000000"/>
              <w:right w:val="nil"/>
            </w:tcBorders>
            <w:shd w:val="clear" w:color="auto" w:fill="FFFFFF"/>
            <w:noWrap/>
          </w:tcPr>
          <w:p w:rsidR="00566D4F" w:rsidRDefault="00000000">
            <w:pPr>
              <w:spacing w:afterLines="30" w:after="93"/>
              <w:jc w:val="left"/>
              <w:rPr>
                <w:rFonts w:ascii="Arial" w:eastAsia="宋体" w:hAnsi="Arial"/>
                <w:sz w:val="20"/>
                <w:szCs w:val="20"/>
              </w:rPr>
            </w:pPr>
            <w:r>
              <w:rPr>
                <w:rFonts w:ascii="Arial" w:eastAsia="宋体" w:hAnsi="Arial"/>
                <w:sz w:val="20"/>
                <w:szCs w:val="20"/>
              </w:rPr>
              <w:t>Not specified</w:t>
            </w:r>
          </w:p>
        </w:tc>
      </w:tr>
    </w:tbl>
    <w:p w:rsidR="00566D4F" w:rsidRDefault="00000000">
      <w:pPr>
        <w:rPr>
          <w:rFonts w:ascii="Arial" w:hAnsi="Arial"/>
          <w:sz w:val="20"/>
          <w:szCs w:val="20"/>
        </w:rPr>
      </w:pPr>
      <w:r>
        <w:rPr>
          <w:rFonts w:ascii="Arial" w:hAnsi="Arial"/>
          <w:b/>
          <w:sz w:val="20"/>
          <w:szCs w:val="20"/>
        </w:rPr>
        <w:t xml:space="preserve">Abbreviations: </w:t>
      </w:r>
      <w:r>
        <w:rPr>
          <w:rFonts w:ascii="Arial" w:hAnsi="Arial"/>
          <w:sz w:val="20"/>
          <w:szCs w:val="20"/>
        </w:rPr>
        <w:t xml:space="preserve">GSL: goniosynechiysis; GT: goniotomy; GATT: gonioscopy-assisted transluminal trabeculotomy; iStent: trabecular micro-bypass stent;  </w:t>
      </w:r>
      <w:r>
        <w:rPr>
          <w:rFonts w:ascii="Arial" w:eastAsia="宋体" w:hAnsi="Arial"/>
          <w:sz w:val="20"/>
          <w:szCs w:val="20"/>
        </w:rPr>
        <w:t xml:space="preserve">PAS: peripheral anterior synechiae; </w:t>
      </w:r>
      <w:r>
        <w:rPr>
          <w:rFonts w:ascii="Arial" w:hAnsi="Arial"/>
          <w:sz w:val="20"/>
          <w:szCs w:val="20"/>
        </w:rPr>
        <w:t>PEI: phacoemulsification with intraocular lens implantation.</w:t>
      </w:r>
    </w:p>
    <w:p w:rsidR="00566D4F" w:rsidRDefault="00000000">
      <w:pPr>
        <w:jc w:val="left"/>
        <w:rPr>
          <w:rFonts w:ascii="Arial" w:hAnsi="Arial"/>
          <w:b/>
          <w:bCs/>
          <w:sz w:val="20"/>
          <w:szCs w:val="20"/>
        </w:rPr>
      </w:pPr>
      <w:r>
        <w:rPr>
          <w:rFonts w:ascii="Arial" w:hAnsi="Arial"/>
          <w:sz w:val="20"/>
          <w:szCs w:val="20"/>
        </w:rPr>
        <w:t xml:space="preserve">*Data are presented as </w:t>
      </w:r>
      <w:r>
        <w:rPr>
          <w:rFonts w:ascii="Arial" w:eastAsia="宋体" w:hAnsi="Arial"/>
          <w:sz w:val="20"/>
          <w:szCs w:val="20"/>
        </w:rPr>
        <w:t>median (IQR)</w:t>
      </w:r>
    </w:p>
    <w:p w:rsidR="00566D4F" w:rsidRDefault="00000000">
      <w:pPr>
        <w:pStyle w:val="ac"/>
        <w:spacing w:line="276" w:lineRule="auto"/>
        <w:jc w:val="both"/>
        <w:rPr>
          <w:rFonts w:ascii="Arial" w:hAnsi="Arial" w:cs="Arial"/>
          <w:b/>
          <w:bCs/>
          <w:sz w:val="20"/>
          <w:szCs w:val="20"/>
          <w:lang w:val="en-US" w:eastAsia="zh-CN"/>
        </w:rPr>
      </w:pPr>
      <w:r>
        <w:rPr>
          <w:rFonts w:ascii="Arial" w:eastAsia="宋体" w:hAnsi="Arial" w:cs="Arial"/>
          <w:sz w:val="20"/>
          <w:szCs w:val="20"/>
          <w:vertAlign w:val="superscript"/>
          <w:lang w:val="en-US" w:eastAsia="zh-CN" w:bidi="ar"/>
        </w:rPr>
        <w:t>#</w:t>
      </w:r>
      <w:r>
        <w:rPr>
          <w:rFonts w:ascii="Arial" w:hAnsi="Arial" w:cs="Arial"/>
          <w:sz w:val="20"/>
          <w:szCs w:val="20"/>
          <w:lang w:val="en-US" w:eastAsia="zh-CN"/>
        </w:rPr>
        <w:t>Data are presented as mean ± SD</w:t>
      </w:r>
    </w:p>
    <w:p w:rsidR="00566D4F" w:rsidRDefault="00566D4F">
      <w:pPr>
        <w:rPr>
          <w:rFonts w:ascii="Arial" w:hAnsi="Arial"/>
          <w:sz w:val="20"/>
          <w:szCs w:val="20"/>
        </w:rPr>
      </w:pPr>
    </w:p>
    <w:p w:rsidR="00566D4F" w:rsidRDefault="00000000">
      <w:pPr>
        <w:rPr>
          <w:rFonts w:ascii="Arial" w:hAnsi="Arial"/>
          <w:b/>
          <w:bCs/>
          <w:sz w:val="20"/>
          <w:szCs w:val="20"/>
        </w:rPr>
      </w:pPr>
      <w:r>
        <w:rPr>
          <w:rFonts w:ascii="Arial" w:hAnsi="Arial"/>
          <w:b/>
          <w:bCs/>
          <w:sz w:val="20"/>
          <w:szCs w:val="20"/>
        </w:rPr>
        <w:t xml:space="preserve">Table S4 </w:t>
      </w:r>
      <w:r>
        <w:rPr>
          <w:rFonts w:ascii="Arial" w:eastAsia="宋体" w:hAnsi="Arial"/>
          <w:b/>
          <w:bCs/>
          <w:sz w:val="20"/>
          <w:szCs w:val="20"/>
        </w:rPr>
        <w:t>Methods and angle size of synechiolysis</w:t>
      </w:r>
    </w:p>
    <w:tbl>
      <w:tblPr>
        <w:tblW w:w="4946" w:type="pct"/>
        <w:tblLayout w:type="fixed"/>
        <w:tblLook w:val="04A0" w:firstRow="1" w:lastRow="0" w:firstColumn="1" w:lastColumn="0" w:noHBand="0" w:noVBand="1"/>
      </w:tblPr>
      <w:tblGrid>
        <w:gridCol w:w="1817"/>
        <w:gridCol w:w="8128"/>
        <w:gridCol w:w="3864"/>
      </w:tblGrid>
      <w:tr w:rsidR="00566D4F">
        <w:trPr>
          <w:trHeight w:val="283"/>
        </w:trPr>
        <w:tc>
          <w:tcPr>
            <w:tcW w:w="658" w:type="pct"/>
            <w:tcBorders>
              <w:top w:val="single" w:sz="12" w:space="0" w:color="000000"/>
              <w:left w:val="nil"/>
              <w:bottom w:val="single" w:sz="12" w:space="0" w:color="000000"/>
              <w:right w:val="nil"/>
            </w:tcBorders>
            <w:shd w:val="clear" w:color="auto" w:fill="FFFFFF"/>
            <w:noWrap/>
          </w:tcPr>
          <w:p w:rsidR="00566D4F" w:rsidRDefault="00000000">
            <w:pPr>
              <w:widowControl/>
              <w:textAlignment w:val="center"/>
              <w:rPr>
                <w:rFonts w:ascii="Arial" w:eastAsia="宋体" w:hAnsi="Arial"/>
                <w:b/>
                <w:sz w:val="20"/>
                <w:szCs w:val="20"/>
              </w:rPr>
            </w:pPr>
            <w:r>
              <w:rPr>
                <w:rFonts w:ascii="Arial" w:eastAsia="新宋体" w:hAnsi="Arial"/>
                <w:b/>
                <w:kern w:val="0"/>
                <w:sz w:val="20"/>
                <w:szCs w:val="20"/>
                <w:lang w:bidi="ar"/>
              </w:rPr>
              <w:t>Years</w:t>
            </w:r>
            <w:r>
              <w:rPr>
                <w:rStyle w:val="font151"/>
                <w:rFonts w:ascii="Arial" w:eastAsia="新宋体" w:hAnsi="Arial" w:cs="Arial" w:hint="default"/>
                <w:bCs w:val="0"/>
                <w:color w:val="auto"/>
                <w:sz w:val="20"/>
                <w:szCs w:val="20"/>
                <w:lang w:bidi="ar"/>
              </w:rPr>
              <w:t xml:space="preserve">, </w:t>
            </w:r>
            <w:r>
              <w:rPr>
                <w:rStyle w:val="font21"/>
                <w:rFonts w:ascii="Arial" w:eastAsia="新宋体" w:hAnsi="Arial" w:cs="Arial"/>
                <w:bCs w:val="0"/>
                <w:color w:val="auto"/>
                <w:sz w:val="20"/>
                <w:szCs w:val="20"/>
                <w:lang w:bidi="ar"/>
              </w:rPr>
              <w:t>Author</w:t>
            </w:r>
          </w:p>
        </w:tc>
        <w:tc>
          <w:tcPr>
            <w:tcW w:w="2941" w:type="pct"/>
            <w:tcBorders>
              <w:top w:val="single" w:sz="12" w:space="0" w:color="000000"/>
              <w:left w:val="nil"/>
              <w:bottom w:val="single" w:sz="12" w:space="0" w:color="000000"/>
              <w:right w:val="nil"/>
            </w:tcBorders>
            <w:shd w:val="clear" w:color="auto" w:fill="FFFFFF"/>
            <w:noWrap/>
          </w:tcPr>
          <w:p w:rsidR="00566D4F" w:rsidRDefault="00000000">
            <w:pPr>
              <w:rPr>
                <w:rFonts w:ascii="Arial" w:eastAsia="宋体" w:hAnsi="Arial"/>
                <w:b/>
                <w:bCs/>
                <w:sz w:val="20"/>
                <w:szCs w:val="20"/>
              </w:rPr>
            </w:pPr>
            <w:r>
              <w:rPr>
                <w:rFonts w:ascii="Arial" w:eastAsia="宋体" w:hAnsi="Arial"/>
                <w:b/>
                <w:bCs/>
                <w:sz w:val="20"/>
                <w:szCs w:val="20"/>
              </w:rPr>
              <w:t>Methods of synechiolysis</w:t>
            </w:r>
            <w:r>
              <w:rPr>
                <w:rFonts w:ascii="Arial" w:hAnsi="Arial"/>
                <w:sz w:val="20"/>
                <w:szCs w:val="20"/>
              </w:rPr>
              <w:t>*</w:t>
            </w:r>
          </w:p>
        </w:tc>
        <w:tc>
          <w:tcPr>
            <w:tcW w:w="1399" w:type="pct"/>
            <w:tcBorders>
              <w:top w:val="single" w:sz="12" w:space="0" w:color="000000"/>
              <w:left w:val="nil"/>
              <w:bottom w:val="single" w:sz="12" w:space="0" w:color="000000"/>
              <w:right w:val="nil"/>
            </w:tcBorders>
            <w:shd w:val="clear" w:color="auto" w:fill="FFFFFF"/>
            <w:noWrap/>
          </w:tcPr>
          <w:p w:rsidR="00566D4F" w:rsidRDefault="00000000">
            <w:pPr>
              <w:rPr>
                <w:rFonts w:ascii="Arial" w:eastAsia="宋体" w:hAnsi="Arial"/>
                <w:b/>
                <w:bCs/>
                <w:sz w:val="20"/>
                <w:szCs w:val="20"/>
              </w:rPr>
            </w:pPr>
            <w:r>
              <w:rPr>
                <w:rFonts w:ascii="Arial" w:eastAsia="宋体" w:hAnsi="Arial"/>
                <w:b/>
                <w:bCs/>
                <w:sz w:val="20"/>
                <w:szCs w:val="20"/>
              </w:rPr>
              <w:t>Synechiolysis angle size</w:t>
            </w:r>
          </w:p>
        </w:tc>
      </w:tr>
      <w:tr w:rsidR="00566D4F">
        <w:trPr>
          <w:trHeight w:val="318"/>
        </w:trPr>
        <w:tc>
          <w:tcPr>
            <w:tcW w:w="3600" w:type="pct"/>
            <w:gridSpan w:val="2"/>
            <w:tcBorders>
              <w:top w:val="single" w:sz="12" w:space="0" w:color="000000"/>
              <w:left w:val="nil"/>
              <w:bottom w:val="nil"/>
              <w:right w:val="nil"/>
            </w:tcBorders>
            <w:shd w:val="clear" w:color="auto" w:fill="FFFFFF"/>
            <w:noWrap/>
          </w:tcPr>
          <w:p w:rsidR="00566D4F" w:rsidRDefault="00000000">
            <w:pPr>
              <w:rPr>
                <w:rFonts w:ascii="Arial" w:eastAsia="宋体" w:hAnsi="Arial"/>
                <w:sz w:val="20"/>
                <w:szCs w:val="20"/>
              </w:rPr>
            </w:pPr>
            <w:r>
              <w:rPr>
                <w:rFonts w:ascii="Arial" w:eastAsia="宋体" w:hAnsi="Arial"/>
                <w:b/>
                <w:kern w:val="0"/>
                <w:sz w:val="20"/>
                <w:szCs w:val="20"/>
                <w:lang w:bidi="ar"/>
              </w:rPr>
              <w:t>PEI ± GSL + GT</w:t>
            </w:r>
          </w:p>
        </w:tc>
        <w:tc>
          <w:tcPr>
            <w:tcW w:w="1399" w:type="pct"/>
            <w:tcBorders>
              <w:top w:val="single" w:sz="12" w:space="0" w:color="000000"/>
              <w:left w:val="nil"/>
              <w:bottom w:val="nil"/>
              <w:right w:val="nil"/>
            </w:tcBorders>
            <w:shd w:val="clear" w:color="auto" w:fill="FFFFFF"/>
            <w:noWrap/>
          </w:tcPr>
          <w:p w:rsidR="00566D4F" w:rsidRDefault="00566D4F">
            <w:pPr>
              <w:rPr>
                <w:rFonts w:ascii="Arial" w:eastAsia="宋体" w:hAnsi="Arial"/>
                <w:sz w:val="20"/>
                <w:szCs w:val="20"/>
              </w:rPr>
            </w:pP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2024, Song</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 xml:space="preserve">Gently depressing the synechiae with </w:t>
            </w:r>
            <w:r>
              <w:rPr>
                <w:rFonts w:ascii="Arial" w:eastAsia="宋体" w:hAnsi="Arial"/>
                <w:b/>
                <w:bCs/>
                <w:sz w:val="20"/>
                <w:szCs w:val="20"/>
              </w:rPr>
              <w:t>a chopper</w:t>
            </w:r>
            <w:r>
              <w:rPr>
                <w:rFonts w:ascii="Arial" w:eastAsia="宋体" w:hAnsi="Arial"/>
                <w:sz w:val="20"/>
                <w:szCs w:val="20"/>
              </w:rPr>
              <w:t xml:space="preserve"> at the iris root.</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kern w:val="0"/>
                <w:sz w:val="20"/>
                <w:szCs w:val="20"/>
                <w:lang w:bidi="ar"/>
              </w:rPr>
              <w:t>120°</w:t>
            </w: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2023, Tan</w:t>
            </w:r>
            <w:r>
              <w:rPr>
                <w:rFonts w:ascii="Arial" w:eastAsia="宋体" w:hAnsi="Arial"/>
                <w:kern w:val="0"/>
                <w:sz w:val="20"/>
                <w:szCs w:val="20"/>
                <w:vertAlign w:val="superscript"/>
                <w:lang w:bidi="ar"/>
              </w:rPr>
              <w:t>#</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 xml:space="preserve">The PAS was gently broken by pushing down the iris root with </w:t>
            </w:r>
            <w:r>
              <w:rPr>
                <w:rFonts w:ascii="Arial" w:eastAsia="宋体" w:hAnsi="Arial"/>
                <w:b/>
                <w:bCs/>
                <w:sz w:val="20"/>
                <w:szCs w:val="20"/>
              </w:rPr>
              <w:t>viscoelastic material or a flat spatula</w:t>
            </w:r>
            <w:r>
              <w:rPr>
                <w:rFonts w:ascii="Arial" w:eastAsia="宋体" w:hAnsi="Arial"/>
                <w:sz w:val="20"/>
                <w:szCs w:val="20"/>
              </w:rPr>
              <w:t>, until visibility of the scleral spur was achieved.</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kern w:val="0"/>
                <w:sz w:val="20"/>
                <w:szCs w:val="20"/>
                <w:lang w:bidi="ar"/>
              </w:rPr>
            </w:pPr>
            <w:r>
              <w:rPr>
                <w:rFonts w:ascii="Arial" w:eastAsia="宋体" w:hAnsi="Arial"/>
                <w:kern w:val="0"/>
                <w:sz w:val="20"/>
                <w:szCs w:val="20"/>
                <w:lang w:bidi="ar"/>
              </w:rPr>
              <w:t xml:space="preserve">Segmental GSL (N=37; </w:t>
            </w:r>
            <w:r>
              <w:rPr>
                <w:rFonts w:ascii="Arial" w:eastAsia="宋体" w:hAnsi="Arial"/>
                <w:sz w:val="20"/>
                <w:szCs w:val="20"/>
              </w:rPr>
              <w:t>116.8 ± 9.2</w:t>
            </w:r>
            <w:r>
              <w:rPr>
                <w:rFonts w:ascii="Arial" w:eastAsia="宋体" w:hAnsi="Arial"/>
                <w:kern w:val="0"/>
                <w:sz w:val="20"/>
                <w:szCs w:val="20"/>
                <w:lang w:bidi="ar"/>
              </w:rPr>
              <w:t xml:space="preserve">) </w:t>
            </w:r>
          </w:p>
          <w:p w:rsidR="00566D4F" w:rsidRDefault="00000000">
            <w:pPr>
              <w:spacing w:afterLines="30" w:after="93"/>
              <w:rPr>
                <w:rFonts w:ascii="Arial" w:eastAsia="宋体" w:hAnsi="Arial"/>
                <w:sz w:val="20"/>
                <w:szCs w:val="20"/>
              </w:rPr>
            </w:pPr>
            <w:r>
              <w:rPr>
                <w:rFonts w:ascii="Arial" w:eastAsia="宋体" w:hAnsi="Arial"/>
                <w:kern w:val="0"/>
                <w:sz w:val="20"/>
                <w:szCs w:val="20"/>
                <w:lang w:bidi="ar"/>
              </w:rPr>
              <w:t>Circumferential GSL (N=35; 360°)</w:t>
            </w: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kern w:val="0"/>
                <w:sz w:val="20"/>
                <w:szCs w:val="20"/>
              </w:rPr>
            </w:pPr>
            <w:r>
              <w:rPr>
                <w:rFonts w:ascii="Arial" w:eastAsia="宋体" w:hAnsi="Arial"/>
                <w:kern w:val="0"/>
                <w:sz w:val="20"/>
                <w:szCs w:val="20"/>
                <w:lang w:bidi="ar"/>
              </w:rPr>
              <w:t>2022, Song</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kern w:val="0"/>
                <w:sz w:val="20"/>
                <w:szCs w:val="20"/>
              </w:rPr>
            </w:pPr>
            <w:r>
              <w:rPr>
                <w:rFonts w:ascii="Arial" w:eastAsia="宋体" w:hAnsi="Arial"/>
                <w:kern w:val="0"/>
                <w:sz w:val="20"/>
                <w:szCs w:val="20"/>
              </w:rPr>
              <w:t xml:space="preserve">GSL was performed by gently pressing the PAS with </w:t>
            </w:r>
            <w:r>
              <w:rPr>
                <w:rFonts w:ascii="Arial" w:eastAsia="宋体" w:hAnsi="Arial"/>
                <w:b/>
                <w:bCs/>
                <w:kern w:val="0"/>
                <w:sz w:val="20"/>
                <w:szCs w:val="20"/>
              </w:rPr>
              <w:t>a chopper</w:t>
            </w:r>
            <w:r>
              <w:rPr>
                <w:rFonts w:ascii="Arial" w:eastAsia="宋体" w:hAnsi="Arial"/>
                <w:kern w:val="0"/>
                <w:sz w:val="20"/>
                <w:szCs w:val="20"/>
              </w:rPr>
              <w:t xml:space="preserve"> over a range of 120 degrees.</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kern w:val="0"/>
                <w:sz w:val="20"/>
                <w:szCs w:val="20"/>
              </w:rPr>
            </w:pPr>
            <w:r>
              <w:rPr>
                <w:rFonts w:ascii="Arial" w:eastAsia="宋体" w:hAnsi="Arial"/>
                <w:kern w:val="0"/>
                <w:sz w:val="20"/>
                <w:szCs w:val="20"/>
                <w:lang w:bidi="ar"/>
              </w:rPr>
              <w:t>120°</w:t>
            </w: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2021, Gupta</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 xml:space="preserve">GSL was performed using </w:t>
            </w:r>
            <w:r>
              <w:rPr>
                <w:rFonts w:ascii="Arial" w:eastAsia="宋体" w:hAnsi="Arial"/>
                <w:b/>
                <w:bCs/>
                <w:sz w:val="20"/>
                <w:szCs w:val="20"/>
              </w:rPr>
              <w:t xml:space="preserve">a 26-gauge cannula </w:t>
            </w:r>
            <w:r>
              <w:rPr>
                <w:rFonts w:ascii="Arial" w:eastAsia="宋体" w:hAnsi="Arial"/>
                <w:kern w:val="0"/>
                <w:sz w:val="20"/>
                <w:szCs w:val="20"/>
              </w:rPr>
              <w:t>on 19 eyes.</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r>
              <w:rPr>
                <w:rFonts w:ascii="Arial" w:eastAsia="宋体" w:hAnsi="Arial"/>
                <w:kern w:val="0"/>
                <w:sz w:val="20"/>
                <w:szCs w:val="20"/>
              </w:rPr>
              <w:t xml:space="preserve"> </w:t>
            </w: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2019, Dorairaj</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b/>
                <w:bCs/>
                <w:sz w:val="20"/>
                <w:szCs w:val="20"/>
              </w:rPr>
              <w:t>The KDB</w:t>
            </w:r>
            <w:r>
              <w:rPr>
                <w:rFonts w:ascii="Arial" w:eastAsia="宋体" w:hAnsi="Arial"/>
                <w:sz w:val="20"/>
                <w:szCs w:val="20"/>
              </w:rPr>
              <w:t xml:space="preserve"> was then inserted through the surgical incision and, under direct gonioscopy, its pointed tip was utilized to engage peripheral iris anterior to the center of each PAS. Gentle </w:t>
            </w:r>
            <w:r>
              <w:rPr>
                <w:rFonts w:ascii="Arial" w:eastAsia="宋体" w:hAnsi="Arial"/>
                <w:sz w:val="20"/>
                <w:szCs w:val="20"/>
              </w:rPr>
              <w:lastRenderedPageBreak/>
              <w:t>radial force was applied within the iris plane toward the pupillary center to dissect the peripheral adhesions and expose the trabecular meshwork for excisional goniotomy.</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lastRenderedPageBreak/>
              <w:t>110° to 140°</w:t>
            </w:r>
          </w:p>
        </w:tc>
      </w:tr>
      <w:tr w:rsidR="00566D4F">
        <w:trPr>
          <w:trHeight w:val="288"/>
        </w:trPr>
        <w:tc>
          <w:tcPr>
            <w:tcW w:w="3600" w:type="pct"/>
            <w:gridSpan w:val="2"/>
            <w:tcBorders>
              <w:top w:val="nil"/>
              <w:left w:val="nil"/>
              <w:bottom w:val="nil"/>
              <w:right w:val="nil"/>
            </w:tcBorders>
            <w:shd w:val="clear" w:color="auto" w:fill="FFFFFF"/>
            <w:noWrap/>
          </w:tcPr>
          <w:p w:rsidR="00566D4F" w:rsidRDefault="00000000">
            <w:pPr>
              <w:rPr>
                <w:rFonts w:ascii="Arial" w:hAnsi="Arial"/>
                <w:sz w:val="20"/>
                <w:szCs w:val="20"/>
              </w:rPr>
            </w:pPr>
            <w:r>
              <w:rPr>
                <w:rFonts w:ascii="Arial" w:eastAsia="宋体" w:hAnsi="Arial"/>
                <w:b/>
                <w:kern w:val="0"/>
                <w:sz w:val="20"/>
                <w:szCs w:val="20"/>
                <w:lang w:bidi="ar"/>
              </w:rPr>
              <w:t>PEI ± GSL + GATT</w:t>
            </w:r>
          </w:p>
        </w:tc>
        <w:tc>
          <w:tcPr>
            <w:tcW w:w="1399" w:type="pct"/>
            <w:tcBorders>
              <w:top w:val="nil"/>
              <w:left w:val="nil"/>
              <w:bottom w:val="nil"/>
              <w:right w:val="nil"/>
            </w:tcBorders>
            <w:shd w:val="clear" w:color="auto" w:fill="FFFFFF"/>
            <w:noWrap/>
          </w:tcPr>
          <w:p w:rsidR="00566D4F" w:rsidRDefault="00566D4F">
            <w:pPr>
              <w:rPr>
                <w:rFonts w:ascii="Arial" w:hAnsi="Arial"/>
                <w:sz w:val="20"/>
                <w:szCs w:val="20"/>
              </w:rPr>
            </w:pP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2023, ElSayed</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 xml:space="preserve">In eyes with PAS obscuring Schlemm's canal nasally, a limited </w:t>
            </w:r>
            <w:r>
              <w:rPr>
                <w:rFonts w:ascii="Arial" w:eastAsia="宋体" w:hAnsi="Arial"/>
                <w:b/>
                <w:bCs/>
                <w:sz w:val="20"/>
                <w:szCs w:val="20"/>
              </w:rPr>
              <w:t>viscogoniosynechialysis</w:t>
            </w:r>
            <w:r>
              <w:rPr>
                <w:rFonts w:ascii="Arial" w:eastAsia="宋体" w:hAnsi="Arial"/>
                <w:sz w:val="20"/>
                <w:szCs w:val="20"/>
              </w:rPr>
              <w:t xml:space="preserve"> was performed to help visualize the canal and incise it.</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2022, Fontana</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b/>
                <w:bCs/>
                <w:sz w:val="20"/>
                <w:szCs w:val="20"/>
              </w:rPr>
              <w:t>A blunt tip spatula</w:t>
            </w:r>
            <w:r>
              <w:rPr>
                <w:rFonts w:ascii="Arial" w:eastAsia="宋体" w:hAnsi="Arial"/>
                <w:sz w:val="20"/>
                <w:szCs w:val="20"/>
              </w:rPr>
              <w:t xml:space="preserve"> (reference J2192.32A, E.janach, Como, Italy) was used to perform a 20–30° goniosynechialysis, allowing visualization and access to the angle structures.</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20° to 30°</w:t>
            </w:r>
          </w:p>
        </w:tc>
      </w:tr>
      <w:tr w:rsidR="00566D4F">
        <w:trPr>
          <w:trHeight w:val="28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2021, Sharkawi</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p>
        </w:tc>
      </w:tr>
      <w:tr w:rsidR="00566D4F">
        <w:trPr>
          <w:trHeight w:val="347"/>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2021, Chira-Adisai</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 xml:space="preserve">Goniosynechialysis was done by pressing all the PAS as much as possible down gently with </w:t>
            </w:r>
            <w:r>
              <w:rPr>
                <w:rFonts w:ascii="Arial" w:eastAsia="宋体" w:hAnsi="Arial"/>
                <w:b/>
                <w:bCs/>
                <w:sz w:val="20"/>
                <w:szCs w:val="20"/>
              </w:rPr>
              <w:t>a spatula</w:t>
            </w:r>
            <w:r>
              <w:rPr>
                <w:rFonts w:ascii="Arial" w:eastAsia="宋体" w:hAnsi="Arial"/>
                <w:sz w:val="20"/>
                <w:szCs w:val="20"/>
              </w:rPr>
              <w:t xml:space="preserve"> (Mori-goniospatula</w:t>
            </w:r>
            <w:r>
              <w:rPr>
                <w:rFonts w:ascii="Arial" w:eastAsia="宋体" w:hAnsi="Arial"/>
                <w:sz w:val="20"/>
                <w:szCs w:val="20"/>
                <w:vertAlign w:val="superscript"/>
              </w:rPr>
              <w:t>®</w:t>
            </w:r>
            <w:r>
              <w:rPr>
                <w:rFonts w:ascii="Arial" w:eastAsia="宋体" w:hAnsi="Arial"/>
                <w:sz w:val="20"/>
                <w:szCs w:val="20"/>
              </w:rPr>
              <w:t>, Handaya Co Ltd, Tokyo, Japan)</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p>
        </w:tc>
      </w:tr>
      <w:tr w:rsidR="00566D4F">
        <w:trPr>
          <w:trHeight w:val="288"/>
        </w:trPr>
        <w:tc>
          <w:tcPr>
            <w:tcW w:w="3600" w:type="pct"/>
            <w:gridSpan w:val="2"/>
            <w:tcBorders>
              <w:top w:val="nil"/>
              <w:left w:val="nil"/>
              <w:bottom w:val="nil"/>
              <w:right w:val="nil"/>
            </w:tcBorders>
            <w:shd w:val="clear" w:color="auto" w:fill="FFFFFF"/>
            <w:noWrap/>
          </w:tcPr>
          <w:p w:rsidR="00566D4F" w:rsidRDefault="00000000">
            <w:pPr>
              <w:rPr>
                <w:rFonts w:ascii="Arial" w:hAnsi="Arial"/>
                <w:sz w:val="20"/>
                <w:szCs w:val="20"/>
              </w:rPr>
            </w:pPr>
            <w:r>
              <w:rPr>
                <w:rFonts w:ascii="Arial" w:eastAsia="宋体" w:hAnsi="Arial"/>
                <w:b/>
                <w:kern w:val="0"/>
                <w:sz w:val="20"/>
                <w:szCs w:val="20"/>
                <w:lang w:bidi="ar"/>
              </w:rPr>
              <w:t>PEI ± GSL + iStent</w:t>
            </w:r>
          </w:p>
        </w:tc>
        <w:tc>
          <w:tcPr>
            <w:tcW w:w="1399" w:type="pct"/>
            <w:tcBorders>
              <w:top w:val="nil"/>
              <w:left w:val="nil"/>
              <w:bottom w:val="nil"/>
              <w:right w:val="nil"/>
            </w:tcBorders>
            <w:shd w:val="clear" w:color="auto" w:fill="FFFFFF"/>
            <w:noWrap/>
          </w:tcPr>
          <w:p w:rsidR="00566D4F" w:rsidRDefault="00566D4F">
            <w:pPr>
              <w:rPr>
                <w:rFonts w:ascii="Arial" w:hAnsi="Arial"/>
                <w:sz w:val="20"/>
                <w:szCs w:val="20"/>
              </w:rPr>
            </w:pPr>
          </w:p>
        </w:tc>
      </w:tr>
      <w:tr w:rsidR="00566D4F">
        <w:trPr>
          <w:trHeight w:val="31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2021, Salimi</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GSL was performed nasally in 41 eyes (52%) with the presence of PAS.</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kern w:val="0"/>
                <w:sz w:val="20"/>
                <w:szCs w:val="20"/>
                <w:lang w:bidi="ar"/>
              </w:rPr>
              <w:t xml:space="preserve">Nasal angle, but no </w:t>
            </w:r>
            <w:r>
              <w:rPr>
                <w:rFonts w:ascii="Arial" w:eastAsia="宋体" w:hAnsi="Arial"/>
                <w:sz w:val="20"/>
                <w:szCs w:val="20"/>
              </w:rPr>
              <w:t>specified size</w:t>
            </w:r>
          </w:p>
        </w:tc>
      </w:tr>
      <w:tr w:rsidR="00566D4F">
        <w:trPr>
          <w:trHeight w:val="318"/>
        </w:trPr>
        <w:tc>
          <w:tcPr>
            <w:tcW w:w="658" w:type="pct"/>
            <w:tcBorders>
              <w:top w:val="nil"/>
              <w:left w:val="nil"/>
              <w:bottom w:val="nil"/>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2020, Chen</w:t>
            </w:r>
          </w:p>
        </w:tc>
        <w:tc>
          <w:tcPr>
            <w:tcW w:w="2941"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p>
        </w:tc>
        <w:tc>
          <w:tcPr>
            <w:tcW w:w="1399" w:type="pct"/>
            <w:tcBorders>
              <w:top w:val="nil"/>
              <w:left w:val="nil"/>
              <w:bottom w:val="nil"/>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kern w:val="0"/>
                <w:sz w:val="20"/>
                <w:szCs w:val="20"/>
                <w:lang w:bidi="ar"/>
              </w:rPr>
              <w:t xml:space="preserve">Nasal angle, but no </w:t>
            </w:r>
            <w:r>
              <w:rPr>
                <w:rFonts w:ascii="Arial" w:eastAsia="宋体" w:hAnsi="Arial"/>
                <w:sz w:val="20"/>
                <w:szCs w:val="20"/>
              </w:rPr>
              <w:t>specified size</w:t>
            </w:r>
          </w:p>
        </w:tc>
      </w:tr>
      <w:tr w:rsidR="00566D4F">
        <w:trPr>
          <w:trHeight w:val="288"/>
        </w:trPr>
        <w:tc>
          <w:tcPr>
            <w:tcW w:w="658" w:type="pct"/>
            <w:tcBorders>
              <w:top w:val="nil"/>
              <w:left w:val="nil"/>
              <w:bottom w:val="single" w:sz="12" w:space="0" w:color="000000"/>
              <w:right w:val="nil"/>
            </w:tcBorders>
            <w:shd w:val="clear" w:color="auto" w:fill="FFFFFF"/>
            <w:noWrap/>
          </w:tcPr>
          <w:p w:rsidR="00566D4F" w:rsidRDefault="00000000">
            <w:pPr>
              <w:widowControl/>
              <w:spacing w:afterLines="30" w:after="93"/>
              <w:textAlignment w:val="center"/>
              <w:rPr>
                <w:rFonts w:ascii="Arial" w:eastAsia="宋体" w:hAnsi="Arial"/>
                <w:sz w:val="20"/>
                <w:szCs w:val="20"/>
              </w:rPr>
            </w:pPr>
            <w:r>
              <w:rPr>
                <w:rFonts w:ascii="Arial" w:eastAsia="宋体" w:hAnsi="Arial"/>
                <w:kern w:val="0"/>
                <w:sz w:val="20"/>
                <w:szCs w:val="20"/>
                <w:lang w:bidi="ar"/>
              </w:rPr>
              <w:t>2019, Hernstadt</w:t>
            </w:r>
          </w:p>
        </w:tc>
        <w:tc>
          <w:tcPr>
            <w:tcW w:w="2941" w:type="pct"/>
            <w:tcBorders>
              <w:top w:val="nil"/>
              <w:left w:val="nil"/>
              <w:bottom w:val="single" w:sz="12" w:space="0" w:color="000000"/>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sz w:val="20"/>
                <w:szCs w:val="20"/>
              </w:rPr>
              <w:t>Not specified</w:t>
            </w:r>
          </w:p>
        </w:tc>
        <w:tc>
          <w:tcPr>
            <w:tcW w:w="1399" w:type="pct"/>
            <w:tcBorders>
              <w:top w:val="nil"/>
              <w:left w:val="nil"/>
              <w:bottom w:val="single" w:sz="12" w:space="0" w:color="000000"/>
              <w:right w:val="nil"/>
            </w:tcBorders>
            <w:shd w:val="clear" w:color="auto" w:fill="FFFFFF"/>
            <w:noWrap/>
          </w:tcPr>
          <w:p w:rsidR="00566D4F" w:rsidRDefault="00000000">
            <w:pPr>
              <w:spacing w:afterLines="30" w:after="93"/>
              <w:rPr>
                <w:rFonts w:ascii="Arial" w:eastAsia="宋体" w:hAnsi="Arial"/>
                <w:sz w:val="20"/>
                <w:szCs w:val="20"/>
              </w:rPr>
            </w:pPr>
            <w:r>
              <w:rPr>
                <w:rFonts w:ascii="Arial" w:eastAsia="宋体" w:hAnsi="Arial"/>
                <w:kern w:val="0"/>
                <w:sz w:val="20"/>
                <w:szCs w:val="20"/>
                <w:lang w:bidi="ar"/>
              </w:rPr>
              <w:t xml:space="preserve">Nasal angle, but no </w:t>
            </w:r>
            <w:r>
              <w:rPr>
                <w:rFonts w:ascii="Arial" w:eastAsia="宋体" w:hAnsi="Arial"/>
                <w:sz w:val="20"/>
                <w:szCs w:val="20"/>
              </w:rPr>
              <w:t>specified size</w:t>
            </w:r>
          </w:p>
        </w:tc>
      </w:tr>
    </w:tbl>
    <w:p w:rsidR="00566D4F" w:rsidRDefault="00000000">
      <w:pPr>
        <w:rPr>
          <w:rFonts w:ascii="Arial" w:hAnsi="Arial"/>
          <w:sz w:val="20"/>
          <w:szCs w:val="20"/>
        </w:rPr>
      </w:pPr>
      <w:r>
        <w:rPr>
          <w:rFonts w:ascii="Arial" w:hAnsi="Arial"/>
          <w:b/>
          <w:sz w:val="20"/>
          <w:szCs w:val="20"/>
        </w:rPr>
        <w:t xml:space="preserve">Abbreviations: </w:t>
      </w:r>
      <w:r>
        <w:rPr>
          <w:rFonts w:ascii="Arial" w:hAnsi="Arial"/>
          <w:sz w:val="20"/>
          <w:szCs w:val="20"/>
        </w:rPr>
        <w:t xml:space="preserve">GSL: goniosynechiysis; GT: goniotomy; GATT: gonioscopy-assisted transluminal trabeculotomy; iStent: trabecular micro-bypass stent;  </w:t>
      </w:r>
      <w:r>
        <w:rPr>
          <w:rFonts w:ascii="Arial" w:eastAsia="宋体" w:hAnsi="Arial"/>
          <w:sz w:val="20"/>
          <w:szCs w:val="20"/>
        </w:rPr>
        <w:t xml:space="preserve">PAS: peripheral anterior synechiae; </w:t>
      </w:r>
      <w:r>
        <w:rPr>
          <w:rFonts w:ascii="Arial" w:hAnsi="Arial"/>
          <w:sz w:val="20"/>
          <w:szCs w:val="20"/>
        </w:rPr>
        <w:t>PEI: phacoemulsification with intraocular lens implantation.</w:t>
      </w:r>
    </w:p>
    <w:p w:rsidR="00566D4F" w:rsidRDefault="00000000">
      <w:pPr>
        <w:pStyle w:val="ac"/>
        <w:spacing w:line="276" w:lineRule="auto"/>
        <w:jc w:val="both"/>
        <w:rPr>
          <w:rFonts w:ascii="Arial" w:eastAsia="宋体" w:hAnsi="Arial" w:cs="Arial"/>
          <w:sz w:val="20"/>
          <w:szCs w:val="20"/>
          <w:vertAlign w:val="superscript"/>
          <w:lang w:val="en-US" w:eastAsia="zh-CN" w:bidi="ar"/>
        </w:rPr>
      </w:pPr>
      <w:r>
        <w:rPr>
          <w:rFonts w:ascii="Arial" w:hAnsi="Arial" w:cs="Arial"/>
          <w:sz w:val="20"/>
          <w:szCs w:val="20"/>
          <w:lang w:val="en-US" w:eastAsia="zh-CN"/>
        </w:rPr>
        <w:t>*The bold indicated the the specific  instruments</w:t>
      </w:r>
      <w:r>
        <w:rPr>
          <w:rFonts w:ascii="Arial" w:hAnsi="Arial" w:cs="Arial" w:hint="eastAsia"/>
          <w:sz w:val="20"/>
          <w:szCs w:val="20"/>
          <w:lang w:val="en-US" w:eastAsia="zh-CN"/>
        </w:rPr>
        <w:t xml:space="preserve"> of synechiolysis.</w:t>
      </w:r>
    </w:p>
    <w:p w:rsidR="00566D4F" w:rsidRDefault="00000000">
      <w:pPr>
        <w:pStyle w:val="ac"/>
        <w:spacing w:line="276" w:lineRule="auto"/>
        <w:jc w:val="both"/>
        <w:rPr>
          <w:rFonts w:ascii="Arial" w:hAnsi="Arial" w:cs="Arial"/>
          <w:sz w:val="20"/>
          <w:szCs w:val="20"/>
          <w:lang w:val="en-US" w:eastAsia="zh-CN"/>
        </w:rPr>
      </w:pPr>
      <w:r>
        <w:rPr>
          <w:rFonts w:ascii="Arial" w:eastAsia="宋体" w:hAnsi="Arial" w:cs="Arial"/>
          <w:sz w:val="20"/>
          <w:szCs w:val="20"/>
          <w:vertAlign w:val="superscript"/>
          <w:lang w:val="en-US" w:eastAsia="zh-CN" w:bidi="ar"/>
        </w:rPr>
        <w:t>#</w:t>
      </w:r>
      <w:r>
        <w:rPr>
          <w:rFonts w:ascii="Arial" w:hAnsi="Arial" w:cs="Arial"/>
          <w:sz w:val="20"/>
          <w:szCs w:val="20"/>
          <w:lang w:val="en-US" w:eastAsia="zh-CN"/>
        </w:rPr>
        <w:t>Data are presented as mean ± SD</w:t>
      </w:r>
    </w:p>
    <w:p w:rsidR="00566D4F" w:rsidRDefault="00566D4F">
      <w:pPr>
        <w:rPr>
          <w:rFonts w:ascii="Arial" w:hAnsi="Arial"/>
          <w:b/>
          <w:sz w:val="20"/>
          <w:szCs w:val="20"/>
        </w:rPr>
      </w:pPr>
    </w:p>
    <w:p w:rsidR="00566D4F" w:rsidRDefault="00000000">
      <w:pPr>
        <w:rPr>
          <w:rFonts w:ascii="Arial" w:hAnsi="Arial"/>
          <w:sz w:val="20"/>
          <w:szCs w:val="20"/>
        </w:rPr>
      </w:pPr>
      <w:r>
        <w:rPr>
          <w:rStyle w:val="aa"/>
          <w:rFonts w:ascii="Arial" w:eastAsia="Segoe UI" w:hAnsi="Arial"/>
          <w:sz w:val="20"/>
          <w:szCs w:val="20"/>
        </w:rPr>
        <w:t>Table S</w:t>
      </w:r>
      <w:r>
        <w:rPr>
          <w:rStyle w:val="aa"/>
          <w:rFonts w:ascii="Arial" w:eastAsia="宋体" w:hAnsi="Arial"/>
          <w:sz w:val="20"/>
          <w:szCs w:val="20"/>
        </w:rPr>
        <w:t>5</w:t>
      </w:r>
      <w:r>
        <w:rPr>
          <w:rStyle w:val="aa"/>
          <w:rFonts w:ascii="Arial" w:eastAsia="Segoe UI" w:hAnsi="Arial"/>
          <w:sz w:val="20"/>
          <w:szCs w:val="20"/>
        </w:rPr>
        <w:t xml:space="preserve"> Surgical </w:t>
      </w:r>
      <w:r>
        <w:rPr>
          <w:rStyle w:val="aa"/>
          <w:rFonts w:ascii="Arial" w:eastAsia="宋体" w:hAnsi="Arial"/>
          <w:sz w:val="20"/>
          <w:szCs w:val="20"/>
        </w:rPr>
        <w:t>i</w:t>
      </w:r>
      <w:r>
        <w:rPr>
          <w:rStyle w:val="aa"/>
          <w:rFonts w:ascii="Arial" w:eastAsia="Segoe UI" w:hAnsi="Arial"/>
          <w:sz w:val="20"/>
          <w:szCs w:val="20"/>
        </w:rPr>
        <w:t>nstruments and angle size</w:t>
      </w:r>
      <w:r>
        <w:rPr>
          <w:rStyle w:val="aa"/>
          <w:rFonts w:ascii="Arial" w:eastAsia="宋体" w:hAnsi="Arial"/>
          <w:sz w:val="20"/>
          <w:szCs w:val="20"/>
        </w:rPr>
        <w:t xml:space="preserve"> </w:t>
      </w:r>
      <w:r>
        <w:rPr>
          <w:rFonts w:ascii="Arial" w:hAnsi="Arial"/>
          <w:b/>
          <w:bCs/>
          <w:sz w:val="20"/>
          <w:szCs w:val="20"/>
        </w:rPr>
        <w:t>in the PEI ± GSL + GT group</w:t>
      </w:r>
    </w:p>
    <w:tbl>
      <w:tblPr>
        <w:tblStyle w:val="a9"/>
        <w:tblW w:w="4999" w:type="pct"/>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ook w:val="04A0" w:firstRow="1" w:lastRow="0" w:firstColumn="1" w:lastColumn="0" w:noHBand="0" w:noVBand="1"/>
      </w:tblPr>
      <w:tblGrid>
        <w:gridCol w:w="2646"/>
        <w:gridCol w:w="6934"/>
        <w:gridCol w:w="4377"/>
      </w:tblGrid>
      <w:tr w:rsidR="00566D4F">
        <w:tc>
          <w:tcPr>
            <w:tcW w:w="948" w:type="pct"/>
            <w:tcBorders>
              <w:bottom w:val="single" w:sz="12" w:space="0" w:color="000000"/>
            </w:tcBorders>
            <w:shd w:val="clear" w:color="auto" w:fill="FFFFFF"/>
          </w:tcPr>
          <w:p w:rsidR="00566D4F" w:rsidRDefault="00000000">
            <w:pPr>
              <w:rPr>
                <w:rFonts w:ascii="Arial" w:eastAsia="宋体" w:hAnsi="Arial"/>
                <w:b/>
                <w:bCs/>
                <w:sz w:val="20"/>
                <w:szCs w:val="20"/>
              </w:rPr>
            </w:pPr>
            <w:r>
              <w:rPr>
                <w:rFonts w:ascii="Arial" w:eastAsia="宋体" w:hAnsi="Arial"/>
                <w:b/>
                <w:bCs/>
                <w:sz w:val="20"/>
                <w:szCs w:val="20"/>
              </w:rPr>
              <w:t>Study</w:t>
            </w:r>
          </w:p>
        </w:tc>
        <w:tc>
          <w:tcPr>
            <w:tcW w:w="2483" w:type="pct"/>
            <w:tcBorders>
              <w:bottom w:val="single" w:sz="12" w:space="0" w:color="000000"/>
            </w:tcBorders>
            <w:shd w:val="clear" w:color="auto" w:fill="FFFFFF"/>
          </w:tcPr>
          <w:p w:rsidR="00566D4F" w:rsidRDefault="00000000">
            <w:pPr>
              <w:rPr>
                <w:rFonts w:ascii="Arial" w:eastAsia="宋体" w:hAnsi="Arial"/>
                <w:b/>
                <w:bCs/>
                <w:sz w:val="20"/>
                <w:szCs w:val="20"/>
              </w:rPr>
            </w:pPr>
            <w:r>
              <w:rPr>
                <w:rFonts w:ascii="Arial" w:eastAsia="宋体" w:hAnsi="Arial"/>
                <w:b/>
                <w:bCs/>
                <w:sz w:val="20"/>
                <w:szCs w:val="20"/>
              </w:rPr>
              <w:t>Surgical instruments</w:t>
            </w:r>
          </w:p>
        </w:tc>
        <w:tc>
          <w:tcPr>
            <w:tcW w:w="1567" w:type="pct"/>
            <w:tcBorders>
              <w:bottom w:val="single" w:sz="12" w:space="0" w:color="000000"/>
            </w:tcBorders>
            <w:shd w:val="clear" w:color="auto" w:fill="FFFFFF"/>
          </w:tcPr>
          <w:p w:rsidR="00566D4F" w:rsidRDefault="00000000">
            <w:pPr>
              <w:rPr>
                <w:rFonts w:ascii="Arial" w:eastAsia="宋体" w:hAnsi="Arial"/>
                <w:b/>
                <w:bCs/>
                <w:sz w:val="20"/>
                <w:szCs w:val="20"/>
              </w:rPr>
            </w:pPr>
            <w:r>
              <w:rPr>
                <w:rFonts w:ascii="Arial" w:eastAsia="宋体" w:hAnsi="Arial"/>
                <w:b/>
                <w:bCs/>
                <w:sz w:val="20"/>
                <w:szCs w:val="20"/>
              </w:rPr>
              <w:t>Goniotomy angle size</w:t>
            </w:r>
          </w:p>
        </w:tc>
      </w:tr>
      <w:tr w:rsidR="00566D4F">
        <w:tc>
          <w:tcPr>
            <w:tcW w:w="948" w:type="pct"/>
            <w:tcBorders>
              <w:top w:val="single" w:sz="12" w:space="0" w:color="000000"/>
              <w:tl2br w:val="nil"/>
              <w:tr2bl w:val="nil"/>
            </w:tcBorders>
            <w:shd w:val="clear" w:color="auto" w:fill="FFFFFF"/>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t>2024, Song</w:t>
            </w:r>
          </w:p>
        </w:tc>
        <w:tc>
          <w:tcPr>
            <w:tcW w:w="2483" w:type="pct"/>
            <w:tcBorders>
              <w:top w:val="single" w:sz="12" w:space="0" w:color="000000"/>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Tanito Microhook</w:t>
            </w:r>
            <w:r>
              <w:rPr>
                <w:rFonts w:ascii="Arial" w:eastAsia="宋体" w:hAnsi="Arial" w:hint="eastAsia"/>
                <w:sz w:val="20"/>
                <w:szCs w:val="20"/>
              </w:rPr>
              <w:t xml:space="preserve"> (</w:t>
            </w:r>
            <w:r>
              <w:rPr>
                <w:rFonts w:ascii="Arial" w:eastAsia="宋体" w:hAnsi="Arial"/>
                <w:sz w:val="20"/>
                <w:szCs w:val="20"/>
              </w:rPr>
              <w:t>TMH;</w:t>
            </w:r>
            <w:r>
              <w:rPr>
                <w:rFonts w:ascii="Arial" w:eastAsia="宋体" w:hAnsi="Arial" w:hint="eastAsia"/>
                <w:sz w:val="20"/>
                <w:szCs w:val="20"/>
              </w:rPr>
              <w:t xml:space="preserve"> </w:t>
            </w:r>
            <w:r>
              <w:rPr>
                <w:rFonts w:ascii="Arial" w:eastAsia="宋体" w:hAnsi="Arial"/>
                <w:sz w:val="20"/>
                <w:szCs w:val="20"/>
              </w:rPr>
              <w:t>Inami &amp; Co, Ltd, Tokyo, Japan)</w:t>
            </w:r>
          </w:p>
        </w:tc>
        <w:tc>
          <w:tcPr>
            <w:tcW w:w="1567" w:type="pct"/>
            <w:tcBorders>
              <w:top w:val="single" w:sz="12" w:space="0" w:color="000000"/>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120°</w:t>
            </w:r>
          </w:p>
        </w:tc>
      </w:tr>
      <w:tr w:rsidR="00566D4F">
        <w:tc>
          <w:tcPr>
            <w:tcW w:w="948" w:type="pct"/>
            <w:tcBorders>
              <w:tl2br w:val="nil"/>
              <w:tr2bl w:val="nil"/>
            </w:tcBorders>
            <w:shd w:val="clear" w:color="auto" w:fill="FFFFFF"/>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t>2023, Tan</w:t>
            </w:r>
          </w:p>
        </w:tc>
        <w:tc>
          <w:tcPr>
            <w:tcW w:w="2483"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Kahook dual blade (KDB, New World Medical, Inc)</w:t>
            </w:r>
          </w:p>
        </w:tc>
        <w:tc>
          <w:tcPr>
            <w:tcW w:w="1567"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116.8 ± 9.2 (90° to 120°)</w:t>
            </w:r>
          </w:p>
        </w:tc>
      </w:tr>
      <w:tr w:rsidR="00566D4F">
        <w:tc>
          <w:tcPr>
            <w:tcW w:w="948" w:type="pct"/>
            <w:tcBorders>
              <w:tl2br w:val="nil"/>
              <w:tr2bl w:val="nil"/>
            </w:tcBorders>
            <w:shd w:val="clear" w:color="auto" w:fill="FFFFFF"/>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t>2022, Song</w:t>
            </w:r>
          </w:p>
        </w:tc>
        <w:tc>
          <w:tcPr>
            <w:tcW w:w="2483"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Tanito Microhook</w:t>
            </w:r>
            <w:r>
              <w:rPr>
                <w:rFonts w:ascii="Arial" w:eastAsia="宋体" w:hAnsi="Arial" w:hint="eastAsia"/>
                <w:sz w:val="20"/>
                <w:szCs w:val="20"/>
              </w:rPr>
              <w:t xml:space="preserve"> (</w:t>
            </w:r>
            <w:r>
              <w:rPr>
                <w:rFonts w:ascii="Arial" w:eastAsia="宋体" w:hAnsi="Arial"/>
                <w:sz w:val="20"/>
                <w:szCs w:val="20"/>
              </w:rPr>
              <w:t>TMH; Inami &amp; Co, Ltd, Tokyo, Japan)</w:t>
            </w:r>
          </w:p>
        </w:tc>
        <w:tc>
          <w:tcPr>
            <w:tcW w:w="1567"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120°</w:t>
            </w:r>
          </w:p>
        </w:tc>
      </w:tr>
      <w:tr w:rsidR="00566D4F">
        <w:tc>
          <w:tcPr>
            <w:tcW w:w="948" w:type="pct"/>
            <w:tcBorders>
              <w:tl2br w:val="nil"/>
              <w:tr2bl w:val="nil"/>
            </w:tcBorders>
            <w:shd w:val="clear" w:color="auto" w:fill="FFFFFF"/>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t>2021, Gupta</w:t>
            </w:r>
          </w:p>
        </w:tc>
        <w:tc>
          <w:tcPr>
            <w:tcW w:w="2483"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 xml:space="preserve">Microvitreoretinal (MVR) blade (Alcon Surgical, Inc.) </w:t>
            </w:r>
          </w:p>
        </w:tc>
        <w:tc>
          <w:tcPr>
            <w:tcW w:w="1567"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141.3 ± 42.7 (90° to 240°)</w:t>
            </w:r>
          </w:p>
        </w:tc>
      </w:tr>
      <w:tr w:rsidR="00566D4F">
        <w:tc>
          <w:tcPr>
            <w:tcW w:w="948" w:type="pct"/>
            <w:tcBorders>
              <w:tl2br w:val="nil"/>
              <w:tr2bl w:val="nil"/>
            </w:tcBorders>
            <w:shd w:val="clear" w:color="auto" w:fill="FFFFFF"/>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lastRenderedPageBreak/>
              <w:t>2019, Dorairaj</w:t>
            </w:r>
          </w:p>
        </w:tc>
        <w:tc>
          <w:tcPr>
            <w:tcW w:w="2483"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Kahook Dual Blade (KDB, New World Medical, Inc, Rancho Cucamonga, CA, USA)</w:t>
            </w:r>
          </w:p>
        </w:tc>
        <w:tc>
          <w:tcPr>
            <w:tcW w:w="1567" w:type="pct"/>
            <w:tcBorders>
              <w:tl2br w:val="nil"/>
              <w:tr2bl w:val="nil"/>
            </w:tcBorders>
            <w:shd w:val="clear" w:color="auto" w:fill="FFFFFF"/>
          </w:tcPr>
          <w:p w:rsidR="00566D4F" w:rsidRDefault="00000000">
            <w:pPr>
              <w:jc w:val="left"/>
              <w:rPr>
                <w:rFonts w:ascii="Arial" w:eastAsia="宋体" w:hAnsi="Arial"/>
                <w:sz w:val="20"/>
                <w:szCs w:val="20"/>
              </w:rPr>
            </w:pPr>
            <w:r>
              <w:rPr>
                <w:rFonts w:ascii="Arial" w:eastAsia="宋体" w:hAnsi="Arial"/>
                <w:sz w:val="20"/>
                <w:szCs w:val="20"/>
              </w:rPr>
              <w:t>110° to 140°</w:t>
            </w:r>
          </w:p>
        </w:tc>
      </w:tr>
    </w:tbl>
    <w:p w:rsidR="00566D4F" w:rsidRDefault="00566D4F">
      <w:pPr>
        <w:rPr>
          <w:rFonts w:ascii="Arial" w:hAnsi="Arial"/>
          <w:b/>
          <w:sz w:val="20"/>
          <w:szCs w:val="20"/>
        </w:rPr>
      </w:pPr>
    </w:p>
    <w:p w:rsidR="00566D4F" w:rsidRDefault="00566D4F">
      <w:pPr>
        <w:rPr>
          <w:rFonts w:ascii="Arial" w:hAnsi="Arial"/>
          <w:b/>
          <w:sz w:val="20"/>
          <w:szCs w:val="20"/>
        </w:rPr>
      </w:pPr>
    </w:p>
    <w:p w:rsidR="00566D4F" w:rsidRDefault="00000000">
      <w:pPr>
        <w:pStyle w:val="ac"/>
        <w:tabs>
          <w:tab w:val="center" w:pos="4156"/>
        </w:tabs>
        <w:spacing w:line="276" w:lineRule="auto"/>
        <w:jc w:val="both"/>
        <w:rPr>
          <w:rFonts w:ascii="Arial" w:hAnsi="Arial" w:cs="Arial"/>
          <w:sz w:val="20"/>
          <w:szCs w:val="20"/>
          <w:lang w:val="en-US" w:eastAsia="zh-CN"/>
        </w:rPr>
      </w:pPr>
      <w:r>
        <w:rPr>
          <w:rFonts w:ascii="Arial" w:hAnsi="Arial" w:cs="Arial"/>
          <w:b/>
          <w:bCs/>
          <w:sz w:val="20"/>
          <w:szCs w:val="20"/>
          <w:lang w:val="en-US" w:eastAsia="zh-CN"/>
        </w:rPr>
        <w:t>Table S6 Types and i</w:t>
      </w:r>
      <w:r>
        <w:rPr>
          <w:rFonts w:ascii="Arial" w:eastAsia="宋体" w:hAnsi="Arial" w:cs="Arial"/>
          <w:b/>
          <w:bCs/>
          <w:sz w:val="20"/>
          <w:szCs w:val="20"/>
          <w:lang w:val="en-US" w:eastAsia="zh-CN"/>
        </w:rPr>
        <w:t>mplantation strategies of iStent</w:t>
      </w:r>
    </w:p>
    <w:tbl>
      <w:tblPr>
        <w:tblStyle w:val="a9"/>
        <w:tblW w:w="4999" w:type="pct"/>
        <w:jc w:val="cente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ook w:val="04A0" w:firstRow="1" w:lastRow="0" w:firstColumn="1" w:lastColumn="0" w:noHBand="0" w:noVBand="1"/>
      </w:tblPr>
      <w:tblGrid>
        <w:gridCol w:w="2739"/>
        <w:gridCol w:w="5936"/>
        <w:gridCol w:w="5282"/>
      </w:tblGrid>
      <w:tr w:rsidR="00566D4F">
        <w:trPr>
          <w:jc w:val="center"/>
        </w:trPr>
        <w:tc>
          <w:tcPr>
            <w:tcW w:w="981" w:type="pct"/>
            <w:tcBorders>
              <w:bottom w:val="single" w:sz="12" w:space="0" w:color="000000"/>
            </w:tcBorders>
            <w:shd w:val="clear" w:color="auto" w:fill="FFFFFF"/>
          </w:tcPr>
          <w:p w:rsidR="00566D4F" w:rsidRDefault="00000000">
            <w:pPr>
              <w:rPr>
                <w:rFonts w:ascii="Arial" w:eastAsia="宋体" w:hAnsi="Arial"/>
                <w:b/>
                <w:bCs/>
                <w:sz w:val="20"/>
                <w:szCs w:val="20"/>
              </w:rPr>
            </w:pPr>
            <w:r>
              <w:rPr>
                <w:rFonts w:ascii="Arial" w:eastAsia="宋体" w:hAnsi="Arial"/>
                <w:b/>
                <w:bCs/>
                <w:sz w:val="20"/>
                <w:szCs w:val="20"/>
              </w:rPr>
              <w:t>Study</w:t>
            </w:r>
          </w:p>
        </w:tc>
        <w:tc>
          <w:tcPr>
            <w:tcW w:w="2126" w:type="pct"/>
            <w:tcBorders>
              <w:bottom w:val="single" w:sz="12" w:space="0" w:color="000000"/>
            </w:tcBorders>
            <w:shd w:val="clear" w:color="auto" w:fill="FFFFFF"/>
          </w:tcPr>
          <w:p w:rsidR="00566D4F" w:rsidRDefault="00000000">
            <w:pPr>
              <w:rPr>
                <w:rFonts w:ascii="Arial" w:eastAsia="宋体" w:hAnsi="Arial"/>
                <w:b/>
                <w:bCs/>
                <w:sz w:val="20"/>
                <w:szCs w:val="20"/>
              </w:rPr>
            </w:pPr>
            <w:r>
              <w:rPr>
                <w:rFonts w:ascii="Arial" w:eastAsia="宋体" w:hAnsi="Arial"/>
                <w:b/>
                <w:bCs/>
                <w:sz w:val="20"/>
                <w:szCs w:val="20"/>
              </w:rPr>
              <w:t>Types of iStent</w:t>
            </w:r>
          </w:p>
        </w:tc>
        <w:tc>
          <w:tcPr>
            <w:tcW w:w="1892" w:type="pct"/>
            <w:tcBorders>
              <w:bottom w:val="single" w:sz="12" w:space="0" w:color="000000"/>
            </w:tcBorders>
            <w:shd w:val="clear" w:color="auto" w:fill="FFFFFF"/>
          </w:tcPr>
          <w:p w:rsidR="00566D4F" w:rsidRDefault="00000000">
            <w:pPr>
              <w:rPr>
                <w:rFonts w:ascii="Arial" w:eastAsia="宋体" w:hAnsi="Arial"/>
                <w:b/>
                <w:bCs/>
                <w:sz w:val="20"/>
                <w:szCs w:val="20"/>
              </w:rPr>
            </w:pPr>
            <w:r>
              <w:rPr>
                <w:rFonts w:ascii="Arial" w:eastAsia="宋体" w:hAnsi="Arial"/>
                <w:b/>
                <w:bCs/>
                <w:sz w:val="20"/>
                <w:szCs w:val="20"/>
              </w:rPr>
              <w:t>Implantation strategies</w:t>
            </w:r>
          </w:p>
        </w:tc>
      </w:tr>
      <w:tr w:rsidR="00566D4F">
        <w:trPr>
          <w:jc w:val="center"/>
        </w:trPr>
        <w:tc>
          <w:tcPr>
            <w:tcW w:w="981" w:type="pct"/>
            <w:tcBorders>
              <w:top w:val="single" w:sz="12" w:space="0" w:color="000000"/>
              <w:tl2br w:val="nil"/>
              <w:tr2bl w:val="nil"/>
            </w:tcBorders>
            <w:shd w:val="clear" w:color="auto" w:fill="FFFFFF"/>
          </w:tcPr>
          <w:p w:rsidR="00566D4F" w:rsidRDefault="00000000">
            <w:pPr>
              <w:rPr>
                <w:rFonts w:ascii="Arial" w:eastAsia="宋体" w:hAnsi="Arial"/>
                <w:sz w:val="20"/>
                <w:szCs w:val="20"/>
              </w:rPr>
            </w:pPr>
            <w:r>
              <w:rPr>
                <w:rFonts w:ascii="Arial" w:eastAsia="宋体" w:hAnsi="Arial"/>
                <w:sz w:val="20"/>
                <w:szCs w:val="20"/>
              </w:rPr>
              <w:t>2021, Salimi</w:t>
            </w:r>
          </w:p>
        </w:tc>
        <w:tc>
          <w:tcPr>
            <w:tcW w:w="2126" w:type="pct"/>
            <w:tcBorders>
              <w:top w:val="single" w:sz="12" w:space="0" w:color="000000"/>
              <w:tl2br w:val="nil"/>
              <w:tr2bl w:val="nil"/>
            </w:tcBorders>
            <w:shd w:val="clear" w:color="auto" w:fill="FFFFFF"/>
          </w:tcPr>
          <w:p w:rsidR="00566D4F" w:rsidRDefault="00000000">
            <w:pPr>
              <w:numPr>
                <w:ilvl w:val="0"/>
                <w:numId w:val="1"/>
              </w:numPr>
              <w:rPr>
                <w:rFonts w:ascii="Arial" w:eastAsia="宋体" w:hAnsi="Arial"/>
                <w:sz w:val="20"/>
                <w:szCs w:val="20"/>
              </w:rPr>
            </w:pPr>
            <w:r>
              <w:rPr>
                <w:rFonts w:ascii="Arial" w:eastAsia="宋体" w:hAnsi="Arial"/>
                <w:sz w:val="20"/>
                <w:szCs w:val="20"/>
              </w:rPr>
              <w:t>iStent trabecular micro-bypass (Glaukos, Laguna Hills, CA)</w:t>
            </w:r>
          </w:p>
          <w:p w:rsidR="00566D4F" w:rsidRDefault="00000000">
            <w:pPr>
              <w:numPr>
                <w:ilvl w:val="0"/>
                <w:numId w:val="1"/>
              </w:numPr>
              <w:rPr>
                <w:rFonts w:ascii="Arial" w:eastAsia="宋体" w:hAnsi="Arial"/>
                <w:sz w:val="20"/>
                <w:szCs w:val="20"/>
              </w:rPr>
            </w:pPr>
            <w:r>
              <w:rPr>
                <w:rFonts w:ascii="Arial" w:eastAsia="宋体" w:hAnsi="Arial"/>
                <w:sz w:val="20"/>
                <w:szCs w:val="20"/>
              </w:rPr>
              <w:t>iStent inject trabecular microbypass stent (Glaukos Corp.)</w:t>
            </w:r>
          </w:p>
        </w:tc>
        <w:tc>
          <w:tcPr>
            <w:tcW w:w="1892" w:type="pct"/>
            <w:tcBorders>
              <w:top w:val="single" w:sz="12" w:space="0" w:color="000000"/>
              <w:tl2br w:val="nil"/>
              <w:tr2bl w:val="nil"/>
            </w:tcBorders>
            <w:shd w:val="clear" w:color="auto" w:fill="FFFFFF"/>
          </w:tcPr>
          <w:p w:rsidR="00566D4F" w:rsidRDefault="00000000">
            <w:pPr>
              <w:rPr>
                <w:rFonts w:ascii="Arial" w:eastAsia="宋体" w:hAnsi="Arial"/>
                <w:sz w:val="20"/>
                <w:szCs w:val="20"/>
              </w:rPr>
            </w:pPr>
            <w:r>
              <w:rPr>
                <w:rFonts w:ascii="Arial" w:eastAsia="宋体" w:hAnsi="Arial"/>
                <w:sz w:val="20"/>
                <w:szCs w:val="20"/>
              </w:rPr>
              <w:t>iStent for 53 eyes and iStent inject for 26 eyes</w:t>
            </w:r>
            <w:r>
              <w:rPr>
                <w:rFonts w:ascii="Arial" w:eastAsia="宋体" w:hAnsi="Arial" w:hint="eastAsia"/>
                <w:sz w:val="20"/>
                <w:szCs w:val="20"/>
              </w:rPr>
              <w:t>;</w:t>
            </w:r>
          </w:p>
          <w:p w:rsidR="00566D4F" w:rsidRDefault="00000000">
            <w:pPr>
              <w:rPr>
                <w:rFonts w:ascii="Arial" w:eastAsia="宋体" w:hAnsi="Arial"/>
                <w:sz w:val="20"/>
                <w:szCs w:val="20"/>
              </w:rPr>
            </w:pPr>
            <w:r>
              <w:rPr>
                <w:rFonts w:ascii="Arial" w:eastAsia="宋体" w:hAnsi="Arial"/>
                <w:sz w:val="20"/>
                <w:szCs w:val="20"/>
              </w:rPr>
              <w:t>The decision to implant iStent was made preoperatively by the surgeon based on a combination of factors, including achieving a lower target IOP and reducing medication burden to aid in compliance and ocular surface symptoms.</w:t>
            </w:r>
          </w:p>
        </w:tc>
      </w:tr>
      <w:tr w:rsidR="00566D4F">
        <w:trPr>
          <w:jc w:val="center"/>
        </w:trPr>
        <w:tc>
          <w:tcPr>
            <w:tcW w:w="981" w:type="pct"/>
            <w:tcBorders>
              <w:tl2br w:val="nil"/>
              <w:tr2bl w:val="nil"/>
            </w:tcBorders>
            <w:shd w:val="clear" w:color="auto" w:fill="FFFFFF"/>
          </w:tcPr>
          <w:p w:rsidR="00566D4F" w:rsidRDefault="00000000">
            <w:pPr>
              <w:rPr>
                <w:rFonts w:ascii="Arial" w:eastAsia="宋体" w:hAnsi="Arial"/>
                <w:sz w:val="20"/>
                <w:szCs w:val="20"/>
              </w:rPr>
            </w:pPr>
            <w:r>
              <w:rPr>
                <w:rFonts w:ascii="Arial" w:eastAsia="宋体" w:hAnsi="Arial"/>
                <w:sz w:val="20"/>
                <w:szCs w:val="20"/>
              </w:rPr>
              <w:t>2020, Chen</w:t>
            </w:r>
          </w:p>
        </w:tc>
        <w:tc>
          <w:tcPr>
            <w:tcW w:w="2126" w:type="pct"/>
            <w:tcBorders>
              <w:tl2br w:val="nil"/>
              <w:tr2bl w:val="nil"/>
            </w:tcBorders>
            <w:shd w:val="clear" w:color="auto" w:fill="FFFFFF"/>
          </w:tcPr>
          <w:p w:rsidR="00566D4F" w:rsidRDefault="00000000">
            <w:pPr>
              <w:numPr>
                <w:ilvl w:val="0"/>
                <w:numId w:val="1"/>
              </w:numPr>
              <w:rPr>
                <w:rFonts w:ascii="Arial" w:eastAsia="宋体" w:hAnsi="Arial"/>
                <w:sz w:val="20"/>
                <w:szCs w:val="20"/>
              </w:rPr>
            </w:pPr>
            <w:r>
              <w:rPr>
                <w:rFonts w:ascii="Arial" w:eastAsia="宋体" w:hAnsi="Arial"/>
                <w:sz w:val="20"/>
                <w:szCs w:val="20"/>
              </w:rPr>
              <w:t>iStent trabecular micro-bypass stent (Glaukos Corporation, San Clemente, California)</w:t>
            </w:r>
          </w:p>
        </w:tc>
        <w:tc>
          <w:tcPr>
            <w:tcW w:w="1892" w:type="pct"/>
            <w:tcBorders>
              <w:tl2br w:val="nil"/>
              <w:tr2bl w:val="nil"/>
            </w:tcBorders>
            <w:shd w:val="clear" w:color="auto" w:fill="FFFFFF"/>
          </w:tcPr>
          <w:p w:rsidR="00566D4F" w:rsidRDefault="00000000">
            <w:pPr>
              <w:rPr>
                <w:rFonts w:ascii="Arial" w:eastAsia="宋体" w:hAnsi="Arial"/>
                <w:sz w:val="20"/>
                <w:szCs w:val="20"/>
              </w:rPr>
            </w:pPr>
            <w:r>
              <w:rPr>
                <w:rFonts w:ascii="Arial" w:eastAsia="宋体" w:hAnsi="Arial"/>
                <w:sz w:val="20"/>
                <w:szCs w:val="20"/>
              </w:rPr>
              <w:t>Not specified</w:t>
            </w:r>
          </w:p>
        </w:tc>
      </w:tr>
      <w:tr w:rsidR="00566D4F">
        <w:trPr>
          <w:jc w:val="center"/>
        </w:trPr>
        <w:tc>
          <w:tcPr>
            <w:tcW w:w="981" w:type="pct"/>
            <w:tcBorders>
              <w:tl2br w:val="nil"/>
              <w:tr2bl w:val="nil"/>
            </w:tcBorders>
            <w:shd w:val="clear" w:color="auto" w:fill="FFFFFF"/>
          </w:tcPr>
          <w:p w:rsidR="00566D4F" w:rsidRDefault="00000000">
            <w:pPr>
              <w:rPr>
                <w:rFonts w:ascii="Arial" w:eastAsia="宋体" w:hAnsi="Arial"/>
                <w:sz w:val="20"/>
                <w:szCs w:val="20"/>
              </w:rPr>
            </w:pPr>
            <w:r>
              <w:rPr>
                <w:rFonts w:ascii="Arial" w:eastAsia="宋体" w:hAnsi="Arial"/>
                <w:sz w:val="20"/>
                <w:szCs w:val="20"/>
              </w:rPr>
              <w:t>2019, Hernstadt</w:t>
            </w:r>
          </w:p>
        </w:tc>
        <w:tc>
          <w:tcPr>
            <w:tcW w:w="2126" w:type="pct"/>
            <w:tcBorders>
              <w:tl2br w:val="nil"/>
              <w:tr2bl w:val="nil"/>
            </w:tcBorders>
            <w:shd w:val="clear" w:color="auto" w:fill="FFFFFF"/>
          </w:tcPr>
          <w:p w:rsidR="00566D4F" w:rsidRDefault="00000000">
            <w:pPr>
              <w:numPr>
                <w:ilvl w:val="0"/>
                <w:numId w:val="1"/>
              </w:numPr>
              <w:rPr>
                <w:rFonts w:ascii="Arial" w:eastAsia="宋体" w:hAnsi="Arial"/>
                <w:sz w:val="20"/>
                <w:szCs w:val="20"/>
              </w:rPr>
            </w:pPr>
            <w:r>
              <w:rPr>
                <w:rFonts w:ascii="Arial" w:eastAsia="宋体" w:hAnsi="Arial"/>
                <w:sz w:val="20"/>
                <w:szCs w:val="20"/>
              </w:rPr>
              <w:t>iStent trabecular micro-bypass stent (iStent, Glaukos, Laguna Hills CA)</w:t>
            </w:r>
          </w:p>
        </w:tc>
        <w:tc>
          <w:tcPr>
            <w:tcW w:w="1892" w:type="pct"/>
            <w:tcBorders>
              <w:tl2br w:val="nil"/>
              <w:tr2bl w:val="nil"/>
            </w:tcBorders>
            <w:shd w:val="clear" w:color="auto" w:fill="FFFFFF"/>
          </w:tcPr>
          <w:p w:rsidR="00566D4F" w:rsidRDefault="00000000">
            <w:pPr>
              <w:rPr>
                <w:rFonts w:ascii="Arial" w:eastAsia="宋体" w:hAnsi="Arial"/>
                <w:sz w:val="20"/>
                <w:szCs w:val="20"/>
              </w:rPr>
            </w:pPr>
            <w:r>
              <w:rPr>
                <w:rFonts w:ascii="Arial" w:eastAsia="宋体" w:hAnsi="Arial"/>
                <w:sz w:val="20"/>
                <w:szCs w:val="20"/>
              </w:rPr>
              <w:t>Two iStent for 16 eyes and one iStent for 21 eyes;</w:t>
            </w:r>
          </w:p>
          <w:p w:rsidR="00566D4F" w:rsidRDefault="00000000">
            <w:pPr>
              <w:rPr>
                <w:rFonts w:ascii="Arial" w:eastAsia="宋体" w:hAnsi="Arial"/>
                <w:sz w:val="20"/>
                <w:szCs w:val="20"/>
              </w:rPr>
            </w:pPr>
            <w:r>
              <w:rPr>
                <w:rFonts w:ascii="Arial" w:eastAsia="宋体" w:hAnsi="Arial"/>
                <w:sz w:val="20"/>
                <w:szCs w:val="20"/>
              </w:rPr>
              <w:t>The decision to have either one or two iStents was based on the subject’s willingness to pay for the second iStent.</w:t>
            </w:r>
          </w:p>
        </w:tc>
      </w:tr>
    </w:tbl>
    <w:p w:rsidR="00566D4F" w:rsidRDefault="00566D4F">
      <w:pPr>
        <w:rPr>
          <w:rFonts w:ascii="Arial" w:hAnsi="Arial"/>
          <w:b/>
          <w:sz w:val="20"/>
          <w:szCs w:val="20"/>
        </w:rPr>
      </w:pPr>
    </w:p>
    <w:p w:rsidR="00566D4F" w:rsidRDefault="00000000">
      <w:pPr>
        <w:rPr>
          <w:rFonts w:ascii="Arial" w:hAnsi="Arial"/>
          <w:b/>
          <w:sz w:val="20"/>
          <w:szCs w:val="20"/>
        </w:rPr>
      </w:pPr>
      <w:r>
        <w:rPr>
          <w:rFonts w:ascii="Arial" w:hAnsi="Arial"/>
          <w:b/>
          <w:sz w:val="20"/>
          <w:szCs w:val="20"/>
        </w:rPr>
        <w:t>Table S</w:t>
      </w:r>
      <w:r>
        <w:rPr>
          <w:rFonts w:ascii="Arial" w:hAnsi="Arial" w:hint="eastAsia"/>
          <w:b/>
          <w:sz w:val="20"/>
          <w:szCs w:val="20"/>
        </w:rPr>
        <w:t>7</w:t>
      </w:r>
      <w:r>
        <w:rPr>
          <w:rFonts w:ascii="Arial" w:hAnsi="Arial"/>
          <w:b/>
          <w:sz w:val="20"/>
          <w:szCs w:val="20"/>
        </w:rPr>
        <w:t xml:space="preserve"> Quality assessment of research (RCT study)</w:t>
      </w:r>
    </w:p>
    <w:tbl>
      <w:tblPr>
        <w:tblW w:w="13832" w:type="dxa"/>
        <w:tblInd w:w="90" w:type="dxa"/>
        <w:tblLayout w:type="fixed"/>
        <w:tblLook w:val="04A0" w:firstRow="1" w:lastRow="0" w:firstColumn="1" w:lastColumn="0" w:noHBand="0" w:noVBand="1"/>
      </w:tblPr>
      <w:tblGrid>
        <w:gridCol w:w="1110"/>
        <w:gridCol w:w="1107"/>
        <w:gridCol w:w="3600"/>
        <w:gridCol w:w="2175"/>
        <w:gridCol w:w="1224"/>
        <w:gridCol w:w="2882"/>
        <w:gridCol w:w="1734"/>
      </w:tblGrid>
      <w:tr w:rsidR="00566D4F">
        <w:trPr>
          <w:trHeight w:val="585"/>
        </w:trPr>
        <w:tc>
          <w:tcPr>
            <w:tcW w:w="2217" w:type="dxa"/>
            <w:gridSpan w:val="2"/>
            <w:tcBorders>
              <w:top w:val="single" w:sz="12" w:space="0" w:color="000000"/>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Study</w:t>
            </w:r>
          </w:p>
        </w:tc>
        <w:tc>
          <w:tcPr>
            <w:tcW w:w="3600"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Generation of random sequences</w:t>
            </w:r>
          </w:p>
        </w:tc>
        <w:tc>
          <w:tcPr>
            <w:tcW w:w="2175"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Randomized hiding</w:t>
            </w:r>
          </w:p>
        </w:tc>
        <w:tc>
          <w:tcPr>
            <w:tcW w:w="1224" w:type="dxa"/>
            <w:tcBorders>
              <w:top w:val="single" w:sz="12" w:space="0" w:color="000000"/>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Masking</w:t>
            </w:r>
          </w:p>
        </w:tc>
        <w:tc>
          <w:tcPr>
            <w:tcW w:w="2882"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Accountability of all patients</w:t>
            </w:r>
          </w:p>
        </w:tc>
        <w:tc>
          <w:tcPr>
            <w:tcW w:w="1734"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Quality (score)</w:t>
            </w:r>
          </w:p>
        </w:tc>
      </w:tr>
      <w:tr w:rsidR="00566D4F">
        <w:trPr>
          <w:trHeight w:val="300"/>
        </w:trPr>
        <w:tc>
          <w:tcPr>
            <w:tcW w:w="1110" w:type="dxa"/>
            <w:tcBorders>
              <w:top w:val="single" w:sz="12" w:space="0" w:color="000000"/>
              <w:left w:val="nil"/>
              <w:bottom w:val="nil"/>
              <w:right w:val="nil"/>
            </w:tcBorders>
            <w:shd w:val="clear" w:color="auto" w:fill="FFFFFF"/>
            <w:noWrap/>
          </w:tcPr>
          <w:p w:rsidR="00566D4F" w:rsidRDefault="00000000">
            <w:pPr>
              <w:widowControl/>
              <w:jc w:val="right"/>
              <w:rPr>
                <w:rFonts w:ascii="Arial" w:eastAsia="宋体" w:hAnsi="Arial"/>
                <w:kern w:val="0"/>
                <w:sz w:val="20"/>
                <w:szCs w:val="20"/>
              </w:rPr>
            </w:pPr>
            <w:r>
              <w:rPr>
                <w:rFonts w:ascii="Arial" w:eastAsia="宋体" w:hAnsi="Arial"/>
                <w:kern w:val="0"/>
                <w:sz w:val="20"/>
                <w:szCs w:val="20"/>
              </w:rPr>
              <w:t>2024</w:t>
            </w:r>
          </w:p>
        </w:tc>
        <w:tc>
          <w:tcPr>
            <w:tcW w:w="1107" w:type="dxa"/>
            <w:tcBorders>
              <w:top w:val="single" w:sz="12" w:space="0" w:color="000000"/>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Song</w:t>
            </w:r>
          </w:p>
        </w:tc>
        <w:tc>
          <w:tcPr>
            <w:tcW w:w="3600"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175" w:type="dxa"/>
            <w:tcBorders>
              <w:top w:val="single" w:sz="12" w:space="0" w:color="000000"/>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224"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882"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734"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7</w:t>
            </w:r>
          </w:p>
        </w:tc>
      </w:tr>
      <w:tr w:rsidR="00566D4F">
        <w:trPr>
          <w:trHeight w:val="300"/>
        </w:trPr>
        <w:tc>
          <w:tcPr>
            <w:tcW w:w="1110" w:type="dxa"/>
            <w:tcBorders>
              <w:top w:val="nil"/>
              <w:left w:val="nil"/>
              <w:bottom w:val="nil"/>
              <w:right w:val="nil"/>
            </w:tcBorders>
            <w:shd w:val="clear" w:color="auto" w:fill="FFFFFF"/>
            <w:noWrap/>
          </w:tcPr>
          <w:p w:rsidR="00566D4F" w:rsidRDefault="00000000">
            <w:pPr>
              <w:widowControl/>
              <w:jc w:val="right"/>
              <w:rPr>
                <w:rFonts w:ascii="Arial" w:eastAsia="宋体" w:hAnsi="Arial"/>
                <w:kern w:val="0"/>
                <w:sz w:val="20"/>
                <w:szCs w:val="20"/>
              </w:rPr>
            </w:pPr>
            <w:r>
              <w:rPr>
                <w:rFonts w:ascii="Arial" w:eastAsia="宋体" w:hAnsi="Arial"/>
                <w:kern w:val="0"/>
                <w:sz w:val="20"/>
                <w:szCs w:val="20"/>
              </w:rPr>
              <w:t>2023</w:t>
            </w:r>
          </w:p>
        </w:tc>
        <w:tc>
          <w:tcPr>
            <w:tcW w:w="1107"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ElSayed</w:t>
            </w:r>
          </w:p>
        </w:tc>
        <w:tc>
          <w:tcPr>
            <w:tcW w:w="3600"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175"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224"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8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734"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5</w:t>
            </w:r>
          </w:p>
        </w:tc>
      </w:tr>
      <w:tr w:rsidR="00566D4F">
        <w:trPr>
          <w:trHeight w:val="300"/>
        </w:trPr>
        <w:tc>
          <w:tcPr>
            <w:tcW w:w="1110" w:type="dxa"/>
            <w:tcBorders>
              <w:top w:val="nil"/>
              <w:left w:val="nil"/>
              <w:bottom w:val="single" w:sz="12" w:space="0" w:color="000000"/>
              <w:right w:val="nil"/>
            </w:tcBorders>
            <w:shd w:val="clear" w:color="auto" w:fill="FFFFFF"/>
            <w:noWrap/>
          </w:tcPr>
          <w:p w:rsidR="00566D4F" w:rsidRDefault="00000000">
            <w:pPr>
              <w:widowControl/>
              <w:jc w:val="right"/>
              <w:rPr>
                <w:rFonts w:ascii="Arial" w:eastAsia="宋体" w:hAnsi="Arial"/>
                <w:kern w:val="0"/>
                <w:sz w:val="20"/>
                <w:szCs w:val="20"/>
              </w:rPr>
            </w:pPr>
            <w:r>
              <w:rPr>
                <w:rFonts w:ascii="Arial" w:eastAsia="宋体" w:hAnsi="Arial"/>
                <w:kern w:val="0"/>
                <w:sz w:val="20"/>
                <w:szCs w:val="20"/>
              </w:rPr>
              <w:t>2020</w:t>
            </w:r>
          </w:p>
        </w:tc>
        <w:tc>
          <w:tcPr>
            <w:tcW w:w="1107" w:type="dxa"/>
            <w:tcBorders>
              <w:top w:val="nil"/>
              <w:left w:val="nil"/>
              <w:bottom w:val="single" w:sz="12" w:space="0" w:color="000000"/>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Chen</w:t>
            </w:r>
          </w:p>
        </w:tc>
        <w:tc>
          <w:tcPr>
            <w:tcW w:w="3600" w:type="dxa"/>
            <w:tcBorders>
              <w:top w:val="nil"/>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175" w:type="dxa"/>
            <w:tcBorders>
              <w:top w:val="nil"/>
              <w:left w:val="nil"/>
              <w:bottom w:val="single" w:sz="12" w:space="0" w:color="000000"/>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224" w:type="dxa"/>
            <w:tcBorders>
              <w:top w:val="nil"/>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882" w:type="dxa"/>
            <w:tcBorders>
              <w:top w:val="nil"/>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734" w:type="dxa"/>
            <w:tcBorders>
              <w:top w:val="nil"/>
              <w:left w:val="nil"/>
              <w:bottom w:val="single" w:sz="12" w:space="0" w:color="000000"/>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5</w:t>
            </w:r>
          </w:p>
        </w:tc>
      </w:tr>
    </w:tbl>
    <w:p w:rsidR="00566D4F" w:rsidRDefault="00566D4F">
      <w:pPr>
        <w:rPr>
          <w:rFonts w:ascii="Arial" w:eastAsia="楷体" w:hAnsi="Arial"/>
          <w:sz w:val="20"/>
          <w:szCs w:val="20"/>
        </w:rPr>
      </w:pPr>
    </w:p>
    <w:p w:rsidR="00566D4F" w:rsidRDefault="00000000">
      <w:pPr>
        <w:spacing w:line="360" w:lineRule="auto"/>
        <w:rPr>
          <w:rFonts w:ascii="Arial" w:hAnsi="Arial"/>
          <w:b/>
          <w:sz w:val="20"/>
          <w:szCs w:val="20"/>
        </w:rPr>
      </w:pPr>
      <w:r>
        <w:rPr>
          <w:rFonts w:ascii="Arial" w:hAnsi="Arial"/>
          <w:b/>
          <w:sz w:val="20"/>
          <w:szCs w:val="20"/>
        </w:rPr>
        <w:t>Table S</w:t>
      </w:r>
      <w:r>
        <w:rPr>
          <w:rFonts w:ascii="Arial" w:hAnsi="Arial" w:hint="eastAsia"/>
          <w:b/>
          <w:sz w:val="20"/>
          <w:szCs w:val="20"/>
        </w:rPr>
        <w:t>8</w:t>
      </w:r>
      <w:r>
        <w:rPr>
          <w:rFonts w:ascii="Arial" w:hAnsi="Arial"/>
          <w:b/>
          <w:sz w:val="20"/>
          <w:szCs w:val="20"/>
        </w:rPr>
        <w:t xml:space="preserve"> Quality assessment of research (non-RCT study)</w:t>
      </w:r>
    </w:p>
    <w:tbl>
      <w:tblPr>
        <w:tblW w:w="1397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481"/>
        <w:gridCol w:w="3582"/>
        <w:gridCol w:w="2203"/>
        <w:gridCol w:w="4181"/>
        <w:gridCol w:w="1650"/>
      </w:tblGrid>
      <w:tr w:rsidR="00566D4F">
        <w:trPr>
          <w:trHeight w:val="558"/>
        </w:trPr>
        <w:tc>
          <w:tcPr>
            <w:tcW w:w="2357" w:type="dxa"/>
            <w:gridSpan w:val="2"/>
            <w:tcBorders>
              <w:top w:val="single" w:sz="12" w:space="0" w:color="000000"/>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Study</w:t>
            </w:r>
          </w:p>
        </w:tc>
        <w:tc>
          <w:tcPr>
            <w:tcW w:w="3582"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Selection</w:t>
            </w:r>
          </w:p>
        </w:tc>
        <w:tc>
          <w:tcPr>
            <w:tcW w:w="2203"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Comparability</w:t>
            </w:r>
          </w:p>
        </w:tc>
        <w:tc>
          <w:tcPr>
            <w:tcW w:w="4181"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Outcome</w:t>
            </w:r>
          </w:p>
        </w:tc>
        <w:tc>
          <w:tcPr>
            <w:tcW w:w="1650" w:type="dxa"/>
            <w:tcBorders>
              <w:top w:val="single" w:sz="12" w:space="0" w:color="000000"/>
              <w:left w:val="nil"/>
              <w:bottom w:val="single" w:sz="12" w:space="0" w:color="000000"/>
              <w:right w:val="nil"/>
            </w:tcBorders>
            <w:shd w:val="clear" w:color="auto" w:fill="FFFFFF"/>
            <w:vAlign w:val="center"/>
          </w:tcPr>
          <w:p w:rsidR="00566D4F" w:rsidRDefault="00000000">
            <w:pPr>
              <w:widowControl/>
              <w:jc w:val="center"/>
              <w:rPr>
                <w:rFonts w:ascii="Arial" w:eastAsia="宋体" w:hAnsi="Arial"/>
                <w:b/>
                <w:kern w:val="0"/>
                <w:sz w:val="20"/>
                <w:szCs w:val="20"/>
              </w:rPr>
            </w:pPr>
            <w:r>
              <w:rPr>
                <w:rFonts w:ascii="Arial" w:eastAsia="宋体" w:hAnsi="Arial"/>
                <w:b/>
                <w:kern w:val="0"/>
                <w:sz w:val="20"/>
                <w:szCs w:val="20"/>
              </w:rPr>
              <w:t>Quality (score)</w:t>
            </w:r>
          </w:p>
        </w:tc>
      </w:tr>
      <w:tr w:rsidR="00566D4F">
        <w:trPr>
          <w:trHeight w:val="300"/>
        </w:trPr>
        <w:tc>
          <w:tcPr>
            <w:tcW w:w="876"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lastRenderedPageBreak/>
              <w:t>2023</w:t>
            </w:r>
          </w:p>
        </w:tc>
        <w:tc>
          <w:tcPr>
            <w:tcW w:w="1481" w:type="dxa"/>
            <w:tcBorders>
              <w:top w:val="single" w:sz="12" w:space="0" w:color="000000"/>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Tan</w:t>
            </w:r>
          </w:p>
        </w:tc>
        <w:tc>
          <w:tcPr>
            <w:tcW w:w="3582"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bookmarkStart w:id="0" w:name="OLE_LINK3"/>
            <w:r>
              <w:rPr>
                <w:rFonts w:ascii="Arial" w:eastAsia="宋体" w:hAnsi="Arial"/>
                <w:kern w:val="0"/>
                <w:sz w:val="20"/>
                <w:szCs w:val="20"/>
              </w:rPr>
              <w:t>★★</w:t>
            </w:r>
            <w:bookmarkEnd w:id="0"/>
          </w:p>
        </w:tc>
        <w:tc>
          <w:tcPr>
            <w:tcW w:w="2203" w:type="dxa"/>
            <w:tcBorders>
              <w:top w:val="single" w:sz="12" w:space="0" w:color="000000"/>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highlight w:val="yellow"/>
              </w:rPr>
            </w:pPr>
            <w:r>
              <w:rPr>
                <w:rFonts w:ascii="Arial" w:eastAsia="宋体" w:hAnsi="Arial"/>
                <w:kern w:val="0"/>
                <w:sz w:val="20"/>
                <w:szCs w:val="20"/>
              </w:rPr>
              <w:t>★★</w:t>
            </w:r>
          </w:p>
        </w:tc>
        <w:tc>
          <w:tcPr>
            <w:tcW w:w="4181"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single" w:sz="12" w:space="0" w:color="000000"/>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7</w:t>
            </w:r>
          </w:p>
        </w:tc>
      </w:tr>
      <w:tr w:rsidR="00566D4F">
        <w:trPr>
          <w:trHeight w:val="300"/>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2022</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Fontana</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highlight w:val="yellow"/>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7</w:t>
            </w:r>
          </w:p>
        </w:tc>
      </w:tr>
      <w:tr w:rsidR="00566D4F">
        <w:trPr>
          <w:trHeight w:val="300"/>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2022</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Song</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8</w:t>
            </w:r>
          </w:p>
        </w:tc>
      </w:tr>
      <w:tr w:rsidR="00566D4F">
        <w:trPr>
          <w:trHeight w:val="300"/>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2021</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Gupta</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highlight w:val="yellow"/>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7</w:t>
            </w:r>
          </w:p>
        </w:tc>
      </w:tr>
      <w:tr w:rsidR="00566D4F">
        <w:trPr>
          <w:trHeight w:val="300"/>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2021</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Sharkawi</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highlight w:val="yellow"/>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6</w:t>
            </w:r>
          </w:p>
        </w:tc>
      </w:tr>
      <w:tr w:rsidR="00566D4F">
        <w:trPr>
          <w:trHeight w:val="300"/>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2021</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Chira-Adisai</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highlight w:val="yellow"/>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6</w:t>
            </w:r>
          </w:p>
        </w:tc>
      </w:tr>
      <w:tr w:rsidR="00566D4F">
        <w:trPr>
          <w:trHeight w:val="251"/>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2021</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Salimi</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8</w:t>
            </w:r>
          </w:p>
        </w:tc>
      </w:tr>
      <w:tr w:rsidR="00566D4F">
        <w:trPr>
          <w:trHeight w:val="300"/>
        </w:trPr>
        <w:tc>
          <w:tcPr>
            <w:tcW w:w="876"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2019</w:t>
            </w:r>
          </w:p>
        </w:tc>
        <w:tc>
          <w:tcPr>
            <w:tcW w:w="1481" w:type="dxa"/>
            <w:tcBorders>
              <w:top w:val="nil"/>
              <w:left w:val="nil"/>
              <w:bottom w:val="nil"/>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Dorairaj</w:t>
            </w:r>
          </w:p>
        </w:tc>
        <w:tc>
          <w:tcPr>
            <w:tcW w:w="3582"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nil"/>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4181" w:type="dxa"/>
            <w:tcBorders>
              <w:top w:val="nil"/>
              <w:left w:val="nil"/>
              <w:bottom w:val="nil"/>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nil"/>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7</w:t>
            </w:r>
          </w:p>
        </w:tc>
      </w:tr>
      <w:tr w:rsidR="00566D4F">
        <w:trPr>
          <w:trHeight w:val="300"/>
        </w:trPr>
        <w:tc>
          <w:tcPr>
            <w:tcW w:w="876" w:type="dxa"/>
            <w:tcBorders>
              <w:top w:val="nil"/>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2019</w:t>
            </w:r>
          </w:p>
        </w:tc>
        <w:tc>
          <w:tcPr>
            <w:tcW w:w="1481" w:type="dxa"/>
            <w:tcBorders>
              <w:top w:val="nil"/>
              <w:left w:val="nil"/>
              <w:bottom w:val="single" w:sz="12" w:space="0" w:color="000000"/>
              <w:right w:val="nil"/>
            </w:tcBorders>
            <w:shd w:val="clear" w:color="auto" w:fill="FFFFFF"/>
            <w:noWrap/>
          </w:tcPr>
          <w:p w:rsidR="00566D4F" w:rsidRDefault="00000000">
            <w:pPr>
              <w:widowControl/>
              <w:jc w:val="left"/>
              <w:rPr>
                <w:rFonts w:ascii="Arial" w:eastAsia="宋体" w:hAnsi="Arial"/>
                <w:kern w:val="0"/>
                <w:sz w:val="20"/>
                <w:szCs w:val="20"/>
              </w:rPr>
            </w:pPr>
            <w:r>
              <w:rPr>
                <w:rFonts w:ascii="Arial" w:eastAsia="宋体" w:hAnsi="Arial"/>
                <w:kern w:val="0"/>
                <w:sz w:val="20"/>
                <w:szCs w:val="20"/>
              </w:rPr>
              <w:t>Hernstadt</w:t>
            </w:r>
          </w:p>
        </w:tc>
        <w:tc>
          <w:tcPr>
            <w:tcW w:w="3582" w:type="dxa"/>
            <w:tcBorders>
              <w:top w:val="nil"/>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2203" w:type="dxa"/>
            <w:tcBorders>
              <w:top w:val="nil"/>
              <w:left w:val="nil"/>
              <w:bottom w:val="single" w:sz="12" w:space="0" w:color="000000"/>
              <w:right w:val="nil"/>
            </w:tcBorders>
            <w:shd w:val="clear" w:color="auto" w:fill="FFFFFF"/>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4181" w:type="dxa"/>
            <w:tcBorders>
              <w:top w:val="nil"/>
              <w:left w:val="nil"/>
              <w:bottom w:val="single" w:sz="12" w:space="0" w:color="000000"/>
              <w:right w:val="nil"/>
            </w:tcBorders>
            <w:shd w:val="clear" w:color="auto" w:fill="FFFFFF"/>
            <w:noWrap/>
            <w:vAlign w:val="center"/>
          </w:tcPr>
          <w:p w:rsidR="00566D4F" w:rsidRDefault="00000000">
            <w:pPr>
              <w:widowControl/>
              <w:jc w:val="center"/>
              <w:rPr>
                <w:rFonts w:ascii="Arial" w:eastAsia="宋体" w:hAnsi="Arial"/>
                <w:kern w:val="0"/>
                <w:sz w:val="20"/>
                <w:szCs w:val="20"/>
              </w:rPr>
            </w:pPr>
            <w:r>
              <w:rPr>
                <w:rFonts w:ascii="Arial" w:eastAsia="宋体" w:hAnsi="Arial"/>
                <w:kern w:val="0"/>
                <w:sz w:val="20"/>
                <w:szCs w:val="20"/>
              </w:rPr>
              <w:t>★★★</w:t>
            </w:r>
          </w:p>
        </w:tc>
        <w:tc>
          <w:tcPr>
            <w:tcW w:w="1650" w:type="dxa"/>
            <w:tcBorders>
              <w:top w:val="nil"/>
              <w:left w:val="nil"/>
              <w:bottom w:val="single" w:sz="12" w:space="0" w:color="000000"/>
              <w:right w:val="nil"/>
            </w:tcBorders>
            <w:shd w:val="clear" w:color="auto" w:fill="FFFFFF"/>
            <w:noWrap/>
          </w:tcPr>
          <w:p w:rsidR="00566D4F" w:rsidRDefault="00000000">
            <w:pPr>
              <w:widowControl/>
              <w:jc w:val="center"/>
              <w:rPr>
                <w:rFonts w:ascii="Arial" w:eastAsia="宋体" w:hAnsi="Arial"/>
                <w:kern w:val="0"/>
                <w:sz w:val="20"/>
                <w:szCs w:val="20"/>
              </w:rPr>
            </w:pPr>
            <w:r>
              <w:rPr>
                <w:rFonts w:ascii="Arial" w:eastAsia="宋体" w:hAnsi="Arial"/>
                <w:kern w:val="0"/>
                <w:sz w:val="20"/>
                <w:szCs w:val="20"/>
              </w:rPr>
              <w:t>7</w:t>
            </w:r>
          </w:p>
        </w:tc>
      </w:tr>
    </w:tbl>
    <w:p w:rsidR="00566D4F" w:rsidRDefault="00566D4F">
      <w:pPr>
        <w:rPr>
          <w:rFonts w:ascii="Arial" w:eastAsia="楷体" w:hAnsi="Arial"/>
          <w:sz w:val="20"/>
          <w:szCs w:val="20"/>
        </w:rPr>
      </w:pPr>
    </w:p>
    <w:p w:rsidR="00566D4F" w:rsidRDefault="00000000">
      <w:pPr>
        <w:jc w:val="left"/>
        <w:rPr>
          <w:rFonts w:ascii="Arial" w:hAnsi="Arial"/>
          <w:b/>
          <w:sz w:val="20"/>
          <w:szCs w:val="20"/>
        </w:rPr>
      </w:pPr>
      <w:r>
        <w:rPr>
          <w:rFonts w:ascii="Arial" w:hAnsi="Arial"/>
          <w:b/>
          <w:sz w:val="20"/>
          <w:szCs w:val="20"/>
        </w:rPr>
        <w:t>Table S</w:t>
      </w:r>
      <w:r>
        <w:rPr>
          <w:rFonts w:ascii="Arial" w:hAnsi="Arial" w:hint="eastAsia"/>
          <w:b/>
          <w:sz w:val="20"/>
          <w:szCs w:val="20"/>
        </w:rPr>
        <w:t>9</w:t>
      </w:r>
      <w:r>
        <w:rPr>
          <w:rFonts w:ascii="Arial" w:hAnsi="Arial"/>
          <w:b/>
          <w:sz w:val="20"/>
          <w:szCs w:val="20"/>
        </w:rPr>
        <w:t xml:space="preserve"> Subgroup analysis for </w:t>
      </w:r>
      <w:r>
        <w:rPr>
          <w:rFonts w:ascii="Arial" w:hAnsi="Arial"/>
          <w:b/>
          <w:kern w:val="0"/>
          <w:sz w:val="20"/>
          <w:szCs w:val="20"/>
        </w:rPr>
        <w:t>IOP value and AGMs at 12 months postoperatively</w:t>
      </w:r>
    </w:p>
    <w:tbl>
      <w:tblPr>
        <w:tblW w:w="4999" w:type="pct"/>
        <w:tblLook w:val="04A0" w:firstRow="1" w:lastRow="0" w:firstColumn="1" w:lastColumn="0" w:noHBand="0" w:noVBand="1"/>
      </w:tblPr>
      <w:tblGrid>
        <w:gridCol w:w="2952"/>
        <w:gridCol w:w="4065"/>
        <w:gridCol w:w="1042"/>
        <w:gridCol w:w="897"/>
        <w:gridCol w:w="325"/>
        <w:gridCol w:w="2739"/>
        <w:gridCol w:w="1041"/>
        <w:gridCol w:w="896"/>
      </w:tblGrid>
      <w:tr w:rsidR="00566D4F">
        <w:trPr>
          <w:trHeight w:val="372"/>
        </w:trPr>
        <w:tc>
          <w:tcPr>
            <w:tcW w:w="1056"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bookmarkStart w:id="1" w:name="OLE_LINK15" w:colFirst="3" w:colLast="4"/>
            <w:r>
              <w:rPr>
                <w:rFonts w:ascii="Arial" w:eastAsia="新宋体" w:hAnsi="Arial"/>
                <w:b/>
                <w:kern w:val="0"/>
                <w:sz w:val="20"/>
                <w:szCs w:val="20"/>
                <w:lang w:bidi="ar"/>
              </w:rPr>
              <w:t>Study</w:t>
            </w:r>
          </w:p>
        </w:tc>
        <w:tc>
          <w:tcPr>
            <w:tcW w:w="1454"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ΔIOP value (95% CI)</w:t>
            </w:r>
          </w:p>
        </w:tc>
        <w:tc>
          <w:tcPr>
            <w:tcW w:w="373"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I</w:t>
            </w:r>
            <w:r>
              <w:rPr>
                <w:rFonts w:ascii="Arial" w:eastAsia="新宋体" w:hAnsi="Arial"/>
                <w:b/>
                <w:kern w:val="0"/>
                <w:sz w:val="20"/>
                <w:szCs w:val="20"/>
                <w:vertAlign w:val="superscript"/>
                <w:lang w:bidi="ar"/>
              </w:rPr>
              <w:t>2</w:t>
            </w:r>
            <w:r>
              <w:rPr>
                <w:rFonts w:ascii="Arial" w:eastAsia="新宋体" w:hAnsi="Arial"/>
                <w:b/>
                <w:kern w:val="0"/>
                <w:sz w:val="20"/>
                <w:szCs w:val="20"/>
                <w:lang w:bidi="ar"/>
              </w:rPr>
              <w:t xml:space="preserve"> (%)</w:t>
            </w:r>
          </w:p>
        </w:tc>
        <w:tc>
          <w:tcPr>
            <w:tcW w:w="321"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P</w:t>
            </w:r>
          </w:p>
        </w:tc>
        <w:tc>
          <w:tcPr>
            <w:tcW w:w="116" w:type="pct"/>
            <w:tcBorders>
              <w:top w:val="single" w:sz="12" w:space="0" w:color="000000"/>
              <w:left w:val="nil"/>
              <w:bottom w:val="single" w:sz="12" w:space="0" w:color="000000"/>
              <w:right w:val="nil"/>
            </w:tcBorders>
            <w:shd w:val="clear" w:color="auto" w:fill="FFFFFF"/>
          </w:tcPr>
          <w:p w:rsidR="00566D4F" w:rsidRDefault="00566D4F">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p>
        </w:tc>
        <w:tc>
          <w:tcPr>
            <w:tcW w:w="980"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ΔAGMs (95% CI)</w:t>
            </w:r>
          </w:p>
        </w:tc>
        <w:tc>
          <w:tcPr>
            <w:tcW w:w="373"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I</w:t>
            </w:r>
            <w:r>
              <w:rPr>
                <w:rFonts w:ascii="Arial" w:eastAsia="新宋体" w:hAnsi="Arial"/>
                <w:b/>
                <w:kern w:val="0"/>
                <w:sz w:val="20"/>
                <w:szCs w:val="20"/>
                <w:vertAlign w:val="superscript"/>
                <w:lang w:bidi="ar"/>
              </w:rPr>
              <w:t>2</w:t>
            </w:r>
            <w:r>
              <w:rPr>
                <w:rFonts w:ascii="Arial" w:eastAsia="新宋体" w:hAnsi="Arial"/>
                <w:b/>
                <w:kern w:val="0"/>
                <w:sz w:val="20"/>
                <w:szCs w:val="20"/>
                <w:lang w:bidi="ar"/>
              </w:rPr>
              <w:t xml:space="preserve"> (%)</w:t>
            </w:r>
          </w:p>
        </w:tc>
        <w:tc>
          <w:tcPr>
            <w:tcW w:w="321"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P</w:t>
            </w:r>
          </w:p>
        </w:tc>
      </w:tr>
      <w:bookmarkEnd w:id="1"/>
      <w:tr w:rsidR="00566D4F">
        <w:trPr>
          <w:trHeight w:val="285"/>
        </w:trPr>
        <w:tc>
          <w:tcPr>
            <w:tcW w:w="1056" w:type="pct"/>
            <w:tcBorders>
              <w:top w:val="single" w:sz="12" w:space="0" w:color="000000"/>
              <w:left w:val="nil"/>
              <w:bottom w:val="nil"/>
              <w:right w:val="nil"/>
              <w:tl2br w:val="nil"/>
            </w:tcBorders>
            <w:shd w:val="clear" w:color="auto" w:fill="FFFFFF"/>
          </w:tcPr>
          <w:p w:rsidR="00566D4F" w:rsidRDefault="00000000">
            <w:pPr>
              <w:widowControl/>
              <w:jc w:val="left"/>
              <w:rPr>
                <w:rFonts w:ascii="Arial" w:eastAsia="宋体" w:hAnsi="Arial"/>
                <w:bCs/>
                <w:kern w:val="0"/>
                <w:sz w:val="20"/>
                <w:szCs w:val="20"/>
              </w:rPr>
            </w:pPr>
            <w:r>
              <w:rPr>
                <w:rFonts w:ascii="Arial" w:eastAsia="宋体" w:hAnsi="Arial"/>
                <w:b/>
                <w:kern w:val="0"/>
                <w:sz w:val="20"/>
                <w:szCs w:val="20"/>
              </w:rPr>
              <w:t>Total</w:t>
            </w:r>
          </w:p>
        </w:tc>
        <w:tc>
          <w:tcPr>
            <w:tcW w:w="1454" w:type="pct"/>
            <w:tcBorders>
              <w:top w:val="single" w:sz="12" w:space="0" w:color="000000"/>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-10.25 [-13.43, -7.06]</w:t>
            </w:r>
          </w:p>
        </w:tc>
        <w:tc>
          <w:tcPr>
            <w:tcW w:w="373" w:type="pct"/>
            <w:tcBorders>
              <w:top w:val="single" w:sz="12" w:space="0" w:color="000000"/>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sz w:val="20"/>
                <w:szCs w:val="20"/>
              </w:rPr>
              <w:t>97</w:t>
            </w:r>
          </w:p>
        </w:tc>
        <w:tc>
          <w:tcPr>
            <w:tcW w:w="321" w:type="pct"/>
            <w:tcBorders>
              <w:top w:val="single" w:sz="12" w:space="0" w:color="000000"/>
              <w:left w:val="nil"/>
              <w:bottom w:val="nil"/>
              <w:right w:val="nil"/>
            </w:tcBorders>
            <w:shd w:val="clear" w:color="auto" w:fill="FFFFFF"/>
          </w:tcPr>
          <w:p w:rsidR="00566D4F" w:rsidRDefault="00000000">
            <w:pPr>
              <w:widowControl/>
              <w:jc w:val="left"/>
              <w:rPr>
                <w:rFonts w:ascii="Arial" w:eastAsia="宋体" w:hAnsi="Arial"/>
                <w:sz w:val="20"/>
                <w:szCs w:val="20"/>
              </w:rPr>
            </w:pPr>
            <w:r>
              <w:rPr>
                <w:rFonts w:ascii="Arial" w:hAnsi="Arial"/>
                <w:b/>
                <w:bCs/>
                <w:sz w:val="20"/>
                <w:szCs w:val="20"/>
              </w:rPr>
              <w:t>&lt;.01</w:t>
            </w:r>
          </w:p>
        </w:tc>
        <w:tc>
          <w:tcPr>
            <w:tcW w:w="116" w:type="pct"/>
            <w:tcBorders>
              <w:top w:val="single" w:sz="12" w:space="0" w:color="000000"/>
              <w:left w:val="nil"/>
              <w:bottom w:val="nil"/>
              <w:right w:val="nil"/>
            </w:tcBorders>
            <w:shd w:val="clear" w:color="auto" w:fill="FFFFFF"/>
          </w:tcPr>
          <w:p w:rsidR="00566D4F" w:rsidRDefault="00566D4F">
            <w:pPr>
              <w:widowControl/>
              <w:jc w:val="left"/>
              <w:rPr>
                <w:rFonts w:ascii="Arial" w:eastAsia="宋体" w:hAnsi="Arial"/>
                <w:sz w:val="20"/>
                <w:szCs w:val="20"/>
              </w:rPr>
            </w:pPr>
          </w:p>
        </w:tc>
        <w:tc>
          <w:tcPr>
            <w:tcW w:w="980" w:type="pct"/>
            <w:tcBorders>
              <w:top w:val="single" w:sz="12" w:space="0" w:color="000000"/>
              <w:left w:val="nil"/>
              <w:bottom w:val="nil"/>
              <w:right w:val="nil"/>
            </w:tcBorders>
            <w:shd w:val="clear" w:color="auto" w:fill="FFFFFF"/>
          </w:tcPr>
          <w:p w:rsidR="00566D4F" w:rsidRDefault="00000000">
            <w:pPr>
              <w:widowControl/>
              <w:ind w:left="200" w:hangingChars="100" w:hanging="200"/>
              <w:jc w:val="left"/>
              <w:rPr>
                <w:rFonts w:ascii="Arial" w:eastAsia="宋体" w:hAnsi="Arial"/>
                <w:kern w:val="0"/>
                <w:sz w:val="20"/>
                <w:szCs w:val="20"/>
              </w:rPr>
            </w:pPr>
            <w:r>
              <w:rPr>
                <w:rFonts w:ascii="Arial" w:eastAsia="宋体" w:hAnsi="Arial"/>
                <w:kern w:val="0"/>
                <w:sz w:val="20"/>
                <w:szCs w:val="20"/>
              </w:rPr>
              <w:t>-1.89 [-2.27, -1.51]</w:t>
            </w:r>
          </w:p>
        </w:tc>
        <w:tc>
          <w:tcPr>
            <w:tcW w:w="373" w:type="pct"/>
            <w:tcBorders>
              <w:top w:val="single" w:sz="12" w:space="0" w:color="000000"/>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90</w:t>
            </w:r>
          </w:p>
        </w:tc>
        <w:tc>
          <w:tcPr>
            <w:tcW w:w="321" w:type="pct"/>
            <w:tcBorders>
              <w:top w:val="single" w:sz="12" w:space="0" w:color="000000"/>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r>
      <w:tr w:rsidR="00566D4F">
        <w:trPr>
          <w:trHeight w:val="285"/>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bCs/>
                <w:kern w:val="0"/>
                <w:sz w:val="20"/>
                <w:szCs w:val="20"/>
              </w:rPr>
            </w:pPr>
            <w:r>
              <w:rPr>
                <w:rFonts w:ascii="Arial" w:eastAsia="宋体" w:hAnsi="Arial"/>
                <w:b/>
                <w:kern w:val="0"/>
                <w:sz w:val="20"/>
                <w:szCs w:val="20"/>
                <w:lang w:bidi="ar"/>
              </w:rPr>
              <w:t>Surgical technique</w:t>
            </w:r>
          </w:p>
        </w:tc>
        <w:tc>
          <w:tcPr>
            <w:tcW w:w="1454" w:type="pct"/>
            <w:tcBorders>
              <w:top w:val="nil"/>
              <w:left w:val="nil"/>
              <w:bottom w:val="nil"/>
              <w:right w:val="nil"/>
            </w:tcBorders>
            <w:shd w:val="clear" w:color="auto" w:fill="FFFFFF"/>
          </w:tcPr>
          <w:p w:rsidR="00566D4F" w:rsidRDefault="00566D4F">
            <w:pPr>
              <w:widowControl/>
              <w:jc w:val="left"/>
              <w:rPr>
                <w:rFonts w:ascii="Arial" w:eastAsia="宋体" w:hAnsi="Arial"/>
                <w:kern w:val="0"/>
                <w:sz w:val="20"/>
                <w:szCs w:val="20"/>
              </w:rPr>
            </w:pPr>
          </w:p>
        </w:tc>
        <w:tc>
          <w:tcPr>
            <w:tcW w:w="373"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321"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566D4F">
            <w:pPr>
              <w:widowControl/>
              <w:jc w:val="left"/>
              <w:rPr>
                <w:rFonts w:ascii="Arial" w:eastAsia="宋体" w:hAnsi="Arial"/>
                <w:kern w:val="0"/>
                <w:sz w:val="20"/>
                <w:szCs w:val="20"/>
              </w:rPr>
            </w:pPr>
          </w:p>
        </w:tc>
        <w:tc>
          <w:tcPr>
            <w:tcW w:w="373"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321"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r>
      <w:tr w:rsidR="00566D4F">
        <w:trPr>
          <w:trHeight w:val="286"/>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bookmarkStart w:id="2" w:name="OLE_LINK14"/>
            <w:r>
              <w:rPr>
                <w:rFonts w:ascii="Arial" w:eastAsia="宋体" w:hAnsi="Arial"/>
                <w:kern w:val="0"/>
                <w:sz w:val="20"/>
                <w:szCs w:val="20"/>
                <w:lang w:bidi="ar"/>
              </w:rPr>
              <w:t>PEI ± GSL + GT</w:t>
            </w:r>
            <w:bookmarkEnd w:id="2"/>
          </w:p>
        </w:tc>
        <w:tc>
          <w:tcPr>
            <w:tcW w:w="1454" w:type="pct"/>
            <w:tcBorders>
              <w:top w:val="nil"/>
              <w:left w:val="nil"/>
              <w:bottom w:val="nil"/>
              <w:right w:val="nil"/>
            </w:tcBorders>
            <w:shd w:val="clear" w:color="auto" w:fill="FFFFFF"/>
          </w:tcPr>
          <w:p w:rsidR="00566D4F" w:rsidRDefault="00000000">
            <w:pPr>
              <w:widowControl/>
              <w:ind w:left="1867" w:hanging="1867"/>
              <w:jc w:val="left"/>
              <w:rPr>
                <w:rFonts w:ascii="Arial" w:eastAsia="宋体" w:hAnsi="Arial"/>
                <w:kern w:val="0"/>
                <w:sz w:val="20"/>
                <w:szCs w:val="20"/>
              </w:rPr>
            </w:pPr>
            <w:r>
              <w:rPr>
                <w:rFonts w:ascii="Arial" w:eastAsia="宋体" w:hAnsi="Arial"/>
                <w:kern w:val="0"/>
                <w:sz w:val="20"/>
                <w:szCs w:val="20"/>
              </w:rPr>
              <w:t>-13.10 [-18.62, -7.59]</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97</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-2.06 [-2.22, -1.90]</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26</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0.25</w:t>
            </w:r>
          </w:p>
        </w:tc>
      </w:tr>
      <w:tr w:rsidR="00566D4F">
        <w:trPr>
          <w:trHeight w:val="300"/>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lang w:bidi="ar"/>
              </w:rPr>
              <w:t>PEI ± GSL + GATT</w:t>
            </w:r>
          </w:p>
        </w:tc>
        <w:tc>
          <w:tcPr>
            <w:tcW w:w="1454"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-11.54 [-15.90, -7.18]</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95</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-2.38 [-3.25, -1.51]</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92</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r>
      <w:tr w:rsidR="00566D4F">
        <w:trPr>
          <w:trHeight w:val="295"/>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lang w:bidi="ar"/>
              </w:rPr>
            </w:pPr>
            <w:r>
              <w:rPr>
                <w:rFonts w:ascii="Arial" w:eastAsia="宋体" w:hAnsi="Arial"/>
                <w:kern w:val="0"/>
                <w:sz w:val="20"/>
                <w:szCs w:val="20"/>
                <w:lang w:bidi="ar"/>
              </w:rPr>
              <w:t>PEI ± GSL + iStent</w:t>
            </w:r>
          </w:p>
        </w:tc>
        <w:tc>
          <w:tcPr>
            <w:tcW w:w="1454"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-3.94 [-5.30, -2.58]</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51</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.13</w:t>
            </w: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-1.21 [-1.42, -0.99]</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14</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.31</w:t>
            </w:r>
          </w:p>
        </w:tc>
      </w:tr>
      <w:tr w:rsidR="00566D4F">
        <w:trPr>
          <w:trHeight w:val="300"/>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bCs/>
                <w:kern w:val="0"/>
                <w:sz w:val="20"/>
                <w:szCs w:val="20"/>
              </w:rPr>
            </w:pPr>
            <w:r>
              <w:rPr>
                <w:rFonts w:ascii="Arial" w:eastAsia="宋体" w:hAnsi="Arial"/>
                <w:b/>
                <w:kern w:val="0"/>
                <w:sz w:val="20"/>
                <w:szCs w:val="20"/>
              </w:rPr>
              <w:t>Baseline severity</w:t>
            </w:r>
          </w:p>
        </w:tc>
        <w:tc>
          <w:tcPr>
            <w:tcW w:w="1454" w:type="pct"/>
            <w:tcBorders>
              <w:top w:val="nil"/>
              <w:left w:val="nil"/>
              <w:bottom w:val="nil"/>
              <w:right w:val="nil"/>
            </w:tcBorders>
            <w:shd w:val="clear" w:color="auto" w:fill="FFFFFF"/>
          </w:tcPr>
          <w:p w:rsidR="00566D4F" w:rsidRDefault="00566D4F">
            <w:pPr>
              <w:widowControl/>
              <w:jc w:val="left"/>
              <w:rPr>
                <w:rFonts w:ascii="Arial" w:eastAsia="宋体" w:hAnsi="Arial"/>
                <w:kern w:val="0"/>
                <w:sz w:val="20"/>
                <w:szCs w:val="20"/>
              </w:rPr>
            </w:pPr>
          </w:p>
        </w:tc>
        <w:tc>
          <w:tcPr>
            <w:tcW w:w="373"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321"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566D4F">
            <w:pPr>
              <w:widowControl/>
              <w:jc w:val="left"/>
              <w:rPr>
                <w:rFonts w:ascii="Arial" w:eastAsia="宋体" w:hAnsi="Arial"/>
                <w:kern w:val="0"/>
                <w:sz w:val="20"/>
                <w:szCs w:val="20"/>
              </w:rPr>
            </w:pPr>
          </w:p>
        </w:tc>
        <w:tc>
          <w:tcPr>
            <w:tcW w:w="373"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321"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r>
      <w:tr w:rsidR="00566D4F">
        <w:trPr>
          <w:trHeight w:val="300"/>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Early</w:t>
            </w:r>
          </w:p>
        </w:tc>
        <w:tc>
          <w:tcPr>
            <w:tcW w:w="1454"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-4.70 [-5.57, -3.83]</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NA</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NA</w:t>
            </w: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-1.00 [-1.34, -0.66]</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NA</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NA</w:t>
            </w:r>
          </w:p>
        </w:tc>
      </w:tr>
      <w:tr w:rsidR="00566D4F">
        <w:trPr>
          <w:trHeight w:val="300"/>
        </w:trPr>
        <w:tc>
          <w:tcPr>
            <w:tcW w:w="1056"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Moderate</w:t>
            </w:r>
          </w:p>
        </w:tc>
        <w:tc>
          <w:tcPr>
            <w:tcW w:w="1454"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-4.99 [-9.50, -0.49]</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92</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c>
          <w:tcPr>
            <w:tcW w:w="116" w:type="pct"/>
            <w:tcBorders>
              <w:top w:val="nil"/>
              <w:left w:val="nil"/>
              <w:bottom w:val="nil"/>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nil"/>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-1.65 [-2.28, -1.01]</w:t>
            </w:r>
          </w:p>
        </w:tc>
        <w:tc>
          <w:tcPr>
            <w:tcW w:w="373"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81</w:t>
            </w:r>
          </w:p>
        </w:tc>
        <w:tc>
          <w:tcPr>
            <w:tcW w:w="321" w:type="pct"/>
            <w:tcBorders>
              <w:top w:val="nil"/>
              <w:left w:val="nil"/>
              <w:bottom w:val="nil"/>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r>
      <w:tr w:rsidR="00566D4F">
        <w:trPr>
          <w:trHeight w:val="300"/>
        </w:trPr>
        <w:tc>
          <w:tcPr>
            <w:tcW w:w="1056" w:type="pct"/>
            <w:tcBorders>
              <w:top w:val="nil"/>
              <w:left w:val="nil"/>
              <w:bottom w:val="single" w:sz="12" w:space="0" w:color="000000"/>
              <w:right w:val="nil"/>
            </w:tcBorders>
            <w:shd w:val="clear" w:color="auto" w:fill="FFFFFF"/>
          </w:tcPr>
          <w:p w:rsidR="00566D4F" w:rsidRDefault="00000000">
            <w:pPr>
              <w:widowControl/>
              <w:jc w:val="left"/>
              <w:rPr>
                <w:rFonts w:ascii="Arial" w:eastAsia="宋体" w:hAnsi="Arial"/>
                <w:kern w:val="0"/>
                <w:sz w:val="20"/>
                <w:szCs w:val="20"/>
              </w:rPr>
            </w:pPr>
            <w:bookmarkStart w:id="3" w:name="OLE_LINK9"/>
            <w:r>
              <w:rPr>
                <w:rFonts w:ascii="Arial" w:eastAsia="宋体" w:hAnsi="Arial"/>
                <w:kern w:val="0"/>
                <w:sz w:val="20"/>
                <w:szCs w:val="20"/>
              </w:rPr>
              <w:t>Advanced</w:t>
            </w:r>
            <w:bookmarkEnd w:id="3"/>
          </w:p>
        </w:tc>
        <w:tc>
          <w:tcPr>
            <w:tcW w:w="1454" w:type="pct"/>
            <w:tcBorders>
              <w:top w:val="nil"/>
              <w:left w:val="nil"/>
              <w:bottom w:val="single" w:sz="12" w:space="0" w:color="000000"/>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-13.97 [-19.80, -8.13]</w:t>
            </w:r>
          </w:p>
        </w:tc>
        <w:tc>
          <w:tcPr>
            <w:tcW w:w="373" w:type="pct"/>
            <w:tcBorders>
              <w:top w:val="nil"/>
              <w:left w:val="nil"/>
              <w:bottom w:val="single" w:sz="12" w:space="0" w:color="000000"/>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97</w:t>
            </w:r>
          </w:p>
        </w:tc>
        <w:tc>
          <w:tcPr>
            <w:tcW w:w="321" w:type="pct"/>
            <w:tcBorders>
              <w:top w:val="nil"/>
              <w:left w:val="nil"/>
              <w:bottom w:val="single" w:sz="12" w:space="0" w:color="000000"/>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c>
          <w:tcPr>
            <w:tcW w:w="116" w:type="pct"/>
            <w:tcBorders>
              <w:top w:val="nil"/>
              <w:left w:val="nil"/>
              <w:bottom w:val="single" w:sz="12" w:space="0" w:color="000000"/>
              <w:right w:val="nil"/>
            </w:tcBorders>
            <w:shd w:val="clear" w:color="auto" w:fill="FFFFFF"/>
          </w:tcPr>
          <w:p w:rsidR="00566D4F" w:rsidRDefault="00566D4F">
            <w:pPr>
              <w:widowControl/>
              <w:jc w:val="left"/>
              <w:rPr>
                <w:rFonts w:ascii="Arial" w:hAnsi="Arial"/>
                <w:sz w:val="20"/>
                <w:szCs w:val="20"/>
              </w:rPr>
            </w:pPr>
          </w:p>
        </w:tc>
        <w:tc>
          <w:tcPr>
            <w:tcW w:w="980" w:type="pct"/>
            <w:tcBorders>
              <w:top w:val="nil"/>
              <w:left w:val="nil"/>
              <w:bottom w:val="single" w:sz="12" w:space="0" w:color="000000"/>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kern w:val="0"/>
                <w:sz w:val="20"/>
                <w:szCs w:val="20"/>
              </w:rPr>
              <w:t>-2.20 [-2.86, -1.55]</w:t>
            </w:r>
          </w:p>
        </w:tc>
        <w:tc>
          <w:tcPr>
            <w:tcW w:w="373" w:type="pct"/>
            <w:tcBorders>
              <w:top w:val="nil"/>
              <w:left w:val="nil"/>
              <w:bottom w:val="single" w:sz="12" w:space="0" w:color="000000"/>
              <w:right w:val="nil"/>
            </w:tcBorders>
            <w:shd w:val="clear" w:color="auto" w:fill="FFFFFF"/>
          </w:tcPr>
          <w:p w:rsidR="00566D4F" w:rsidRDefault="00000000">
            <w:pPr>
              <w:widowControl/>
              <w:jc w:val="left"/>
              <w:rPr>
                <w:rFonts w:ascii="Arial" w:hAnsi="Arial"/>
                <w:sz w:val="20"/>
                <w:szCs w:val="20"/>
              </w:rPr>
            </w:pPr>
            <w:r>
              <w:rPr>
                <w:rFonts w:ascii="Arial" w:hAnsi="Arial"/>
                <w:sz w:val="20"/>
                <w:szCs w:val="20"/>
              </w:rPr>
              <w:t>91</w:t>
            </w:r>
          </w:p>
        </w:tc>
        <w:tc>
          <w:tcPr>
            <w:tcW w:w="321" w:type="pct"/>
            <w:tcBorders>
              <w:top w:val="nil"/>
              <w:left w:val="nil"/>
              <w:bottom w:val="single" w:sz="12" w:space="0" w:color="000000"/>
              <w:right w:val="nil"/>
            </w:tcBorders>
            <w:shd w:val="clear" w:color="auto" w:fill="FFFFFF"/>
          </w:tcPr>
          <w:p w:rsidR="00566D4F" w:rsidRDefault="00000000">
            <w:pPr>
              <w:widowControl/>
              <w:jc w:val="left"/>
              <w:rPr>
                <w:rFonts w:ascii="Arial" w:hAnsi="Arial"/>
                <w:sz w:val="20"/>
                <w:szCs w:val="20"/>
              </w:rPr>
            </w:pPr>
            <w:r>
              <w:rPr>
                <w:rFonts w:ascii="Arial" w:hAnsi="Arial"/>
                <w:b/>
                <w:bCs/>
                <w:sz w:val="20"/>
                <w:szCs w:val="20"/>
              </w:rPr>
              <w:t>&lt;.01</w:t>
            </w:r>
          </w:p>
        </w:tc>
      </w:tr>
    </w:tbl>
    <w:p w:rsidR="00566D4F" w:rsidRDefault="00000000">
      <w:pPr>
        <w:widowControl/>
        <w:jc w:val="left"/>
        <w:rPr>
          <w:rFonts w:ascii="Arial" w:hAnsi="Arial"/>
          <w:sz w:val="20"/>
          <w:szCs w:val="20"/>
        </w:rPr>
      </w:pPr>
      <w:r>
        <w:rPr>
          <w:rFonts w:ascii="Arial" w:hAnsi="Arial"/>
          <w:b/>
          <w:sz w:val="20"/>
          <w:szCs w:val="20"/>
        </w:rPr>
        <w:t xml:space="preserve">Abbreviations: </w:t>
      </w:r>
      <w:r>
        <w:rPr>
          <w:rFonts w:ascii="Arial" w:hAnsi="Arial"/>
          <w:sz w:val="20"/>
          <w:szCs w:val="20"/>
        </w:rPr>
        <w:t>AGM: anti-glaucoma medication; CI: confidence interval; GATT: gonioscopy-assisted transluminal trabeculotomy; GSL: goniosynechiysis; GT: goniotomy; IOP: Intraocular pressure; iStent: trabecular micro-bypass stent; PEI: phacoemulsification with intraocular lens implantation; RCT: randomized controlled trial.</w:t>
      </w:r>
      <w:r>
        <w:rPr>
          <w:rFonts w:ascii="Arial" w:hAnsi="Arial" w:hint="eastAsia"/>
          <w:sz w:val="20"/>
          <w:szCs w:val="20"/>
        </w:rPr>
        <w:t xml:space="preserve"> The bold indicated the statistical significance.</w:t>
      </w:r>
    </w:p>
    <w:p w:rsidR="00566D4F" w:rsidRDefault="00566D4F">
      <w:pPr>
        <w:rPr>
          <w:rFonts w:ascii="Arial" w:eastAsia="楷体" w:hAnsi="Arial"/>
          <w:sz w:val="20"/>
          <w:szCs w:val="20"/>
        </w:rPr>
      </w:pPr>
    </w:p>
    <w:p w:rsidR="00566D4F" w:rsidRDefault="00000000">
      <w:pPr>
        <w:jc w:val="left"/>
        <w:rPr>
          <w:rFonts w:ascii="Arial" w:hAnsi="Arial"/>
          <w:b/>
          <w:sz w:val="20"/>
          <w:szCs w:val="20"/>
        </w:rPr>
      </w:pPr>
      <w:r>
        <w:rPr>
          <w:rFonts w:ascii="Arial" w:hAnsi="Arial"/>
          <w:b/>
          <w:sz w:val="20"/>
          <w:szCs w:val="20"/>
        </w:rPr>
        <w:t>Table S</w:t>
      </w:r>
      <w:r>
        <w:rPr>
          <w:rFonts w:ascii="Arial" w:hAnsi="Arial" w:hint="eastAsia"/>
          <w:b/>
          <w:sz w:val="20"/>
          <w:szCs w:val="20"/>
        </w:rPr>
        <w:t>10</w:t>
      </w:r>
      <w:r>
        <w:rPr>
          <w:rFonts w:ascii="Arial" w:hAnsi="Arial"/>
          <w:b/>
          <w:sz w:val="20"/>
          <w:szCs w:val="20"/>
        </w:rPr>
        <w:t xml:space="preserve"> Comparison of the </w:t>
      </w:r>
      <w:r>
        <w:rPr>
          <w:rFonts w:ascii="Arial" w:hAnsi="Arial" w:hint="eastAsia"/>
          <w:b/>
          <w:sz w:val="20"/>
          <w:szCs w:val="20"/>
        </w:rPr>
        <w:t xml:space="preserve">main </w:t>
      </w:r>
      <w:r>
        <w:rPr>
          <w:rFonts w:ascii="Arial" w:hAnsi="Arial"/>
          <w:b/>
          <w:sz w:val="20"/>
          <w:szCs w:val="20"/>
        </w:rPr>
        <w:t>complications in different surgical techniques</w:t>
      </w:r>
    </w:p>
    <w:tbl>
      <w:tblPr>
        <w:tblW w:w="4998" w:type="pct"/>
        <w:tblLook w:val="04A0" w:firstRow="1" w:lastRow="0" w:firstColumn="1" w:lastColumn="0" w:noHBand="0" w:noVBand="1"/>
      </w:tblPr>
      <w:tblGrid>
        <w:gridCol w:w="5069"/>
        <w:gridCol w:w="2962"/>
        <w:gridCol w:w="2962"/>
        <w:gridCol w:w="2961"/>
      </w:tblGrid>
      <w:tr w:rsidR="00566D4F">
        <w:trPr>
          <w:trHeight w:val="372"/>
        </w:trPr>
        <w:tc>
          <w:tcPr>
            <w:tcW w:w="1815"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jc w:val="left"/>
              <w:textAlignment w:val="center"/>
              <w:rPr>
                <w:rFonts w:ascii="Arial" w:eastAsia="新宋体" w:hAnsi="Arial"/>
                <w:b/>
                <w:kern w:val="0"/>
                <w:sz w:val="20"/>
                <w:szCs w:val="20"/>
                <w:lang w:bidi="ar"/>
              </w:rPr>
            </w:pPr>
            <w:r>
              <w:rPr>
                <w:rFonts w:ascii="Arial" w:eastAsia="新宋体" w:hAnsi="Arial"/>
                <w:b/>
                <w:kern w:val="0"/>
                <w:sz w:val="20"/>
                <w:szCs w:val="20"/>
                <w:lang w:bidi="ar"/>
              </w:rPr>
              <w:t>Complication</w:t>
            </w:r>
          </w:p>
        </w:tc>
        <w:tc>
          <w:tcPr>
            <w:tcW w:w="1061"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textAlignment w:val="center"/>
              <w:rPr>
                <w:rFonts w:ascii="Arial" w:eastAsia="新宋体" w:hAnsi="Arial"/>
                <w:b/>
                <w:kern w:val="0"/>
                <w:sz w:val="20"/>
                <w:szCs w:val="20"/>
                <w:lang w:bidi="ar"/>
              </w:rPr>
            </w:pPr>
            <w:r>
              <w:rPr>
                <w:rFonts w:ascii="Arial" w:eastAsia="新宋体" w:hAnsi="Arial"/>
                <w:b/>
                <w:kern w:val="0"/>
                <w:sz w:val="20"/>
                <w:szCs w:val="20"/>
                <w:lang w:bidi="ar"/>
              </w:rPr>
              <w:t>P value</w:t>
            </w:r>
            <w:r>
              <w:rPr>
                <w:rFonts w:ascii="Arial" w:eastAsia="新宋体" w:hAnsi="Arial"/>
                <w:b/>
                <w:kern w:val="0"/>
                <w:sz w:val="20"/>
                <w:szCs w:val="20"/>
                <w:vertAlign w:val="superscript"/>
                <w:lang w:bidi="ar"/>
              </w:rPr>
              <w:t>A</w:t>
            </w:r>
            <w:r>
              <w:rPr>
                <w:rFonts w:ascii="Arial" w:eastAsia="新宋体" w:hAnsi="Arial"/>
                <w:b/>
                <w:kern w:val="0"/>
                <w:sz w:val="20"/>
                <w:szCs w:val="20"/>
                <w:lang w:bidi="ar"/>
              </w:rPr>
              <w:t xml:space="preserve"> </w:t>
            </w:r>
          </w:p>
        </w:tc>
        <w:tc>
          <w:tcPr>
            <w:tcW w:w="1061"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textAlignment w:val="center"/>
              <w:rPr>
                <w:rFonts w:ascii="Arial" w:eastAsia="新宋体" w:hAnsi="Arial"/>
                <w:b/>
                <w:kern w:val="0"/>
                <w:sz w:val="20"/>
                <w:szCs w:val="20"/>
                <w:lang w:bidi="ar"/>
              </w:rPr>
            </w:pPr>
            <w:r>
              <w:rPr>
                <w:rFonts w:ascii="Arial" w:eastAsia="新宋体" w:hAnsi="Arial"/>
                <w:b/>
                <w:kern w:val="0"/>
                <w:sz w:val="20"/>
                <w:szCs w:val="20"/>
                <w:lang w:bidi="ar"/>
              </w:rPr>
              <w:t>P value</w:t>
            </w:r>
            <w:r>
              <w:rPr>
                <w:rFonts w:ascii="Arial" w:eastAsia="新宋体" w:hAnsi="Arial"/>
                <w:b/>
                <w:kern w:val="0"/>
                <w:sz w:val="20"/>
                <w:szCs w:val="20"/>
                <w:vertAlign w:val="superscript"/>
                <w:lang w:bidi="ar"/>
              </w:rPr>
              <w:t>B</w:t>
            </w:r>
            <w:r>
              <w:rPr>
                <w:rFonts w:ascii="Arial" w:eastAsia="新宋体" w:hAnsi="Arial"/>
                <w:b/>
                <w:kern w:val="0"/>
                <w:sz w:val="20"/>
                <w:szCs w:val="20"/>
                <w:lang w:bidi="ar"/>
              </w:rPr>
              <w:t xml:space="preserve"> </w:t>
            </w:r>
          </w:p>
        </w:tc>
        <w:tc>
          <w:tcPr>
            <w:tcW w:w="1061" w:type="pct"/>
            <w:tcBorders>
              <w:top w:val="single" w:sz="12" w:space="0" w:color="000000"/>
              <w:left w:val="nil"/>
              <w:bottom w:val="single" w:sz="12" w:space="0" w:color="000000"/>
              <w:right w:val="nil"/>
            </w:tcBorders>
            <w:shd w:val="clear" w:color="auto" w:fill="FFFFFF"/>
          </w:tcPr>
          <w:p w:rsidR="00566D4F" w:rsidRDefault="00000000">
            <w:pPr>
              <w:widowControl/>
              <w:pBdr>
                <w:top w:val="none" w:sz="0" w:space="0" w:color="000000"/>
                <w:left w:val="none" w:sz="0" w:space="0" w:color="000000"/>
                <w:bottom w:val="none" w:sz="0" w:space="0" w:color="000000"/>
                <w:right w:val="none" w:sz="0" w:space="0" w:color="000000"/>
                <w:between w:val="none" w:sz="0" w:space="0" w:color="000000"/>
              </w:pBdr>
              <w:textAlignment w:val="center"/>
              <w:rPr>
                <w:rFonts w:ascii="Arial" w:eastAsia="新宋体" w:hAnsi="Arial"/>
                <w:b/>
                <w:kern w:val="0"/>
                <w:sz w:val="20"/>
                <w:szCs w:val="20"/>
                <w:lang w:bidi="ar"/>
              </w:rPr>
            </w:pPr>
            <w:r>
              <w:rPr>
                <w:rFonts w:ascii="Arial" w:eastAsia="新宋体" w:hAnsi="Arial"/>
                <w:b/>
                <w:kern w:val="0"/>
                <w:sz w:val="20"/>
                <w:szCs w:val="20"/>
                <w:lang w:bidi="ar"/>
              </w:rPr>
              <w:t>P value</w:t>
            </w:r>
            <w:r>
              <w:rPr>
                <w:rFonts w:ascii="Arial" w:eastAsia="新宋体" w:hAnsi="Arial"/>
                <w:b/>
                <w:kern w:val="0"/>
                <w:sz w:val="20"/>
                <w:szCs w:val="20"/>
                <w:vertAlign w:val="superscript"/>
                <w:lang w:bidi="ar"/>
              </w:rPr>
              <w:t>C</w:t>
            </w:r>
            <w:r>
              <w:rPr>
                <w:rFonts w:ascii="Arial" w:eastAsia="新宋体" w:hAnsi="Arial"/>
                <w:b/>
                <w:kern w:val="0"/>
                <w:sz w:val="20"/>
                <w:szCs w:val="20"/>
                <w:lang w:bidi="ar"/>
              </w:rPr>
              <w:t xml:space="preserve"> </w:t>
            </w:r>
          </w:p>
        </w:tc>
      </w:tr>
      <w:tr w:rsidR="00566D4F">
        <w:trPr>
          <w:trHeight w:val="285"/>
        </w:trPr>
        <w:tc>
          <w:tcPr>
            <w:tcW w:w="1815" w:type="pct"/>
            <w:tcBorders>
              <w:top w:val="nil"/>
              <w:left w:val="nil"/>
              <w:bottom w:val="nil"/>
              <w:right w:val="nil"/>
            </w:tcBorders>
            <w:shd w:val="clear" w:color="auto" w:fill="FFFFFF"/>
          </w:tcPr>
          <w:p w:rsidR="00566D4F" w:rsidRDefault="00000000">
            <w:pPr>
              <w:widowControl/>
              <w:jc w:val="left"/>
              <w:rPr>
                <w:rFonts w:ascii="Arial" w:eastAsia="宋体" w:hAnsi="Arial"/>
                <w:bCs/>
                <w:kern w:val="0"/>
                <w:sz w:val="20"/>
                <w:szCs w:val="20"/>
              </w:rPr>
            </w:pPr>
            <w:r>
              <w:rPr>
                <w:rFonts w:ascii="Arial" w:eastAsia="宋体" w:hAnsi="Arial"/>
                <w:b/>
                <w:kern w:val="0"/>
                <w:sz w:val="20"/>
                <w:szCs w:val="20"/>
                <w:lang w:bidi="ar"/>
              </w:rPr>
              <w:lastRenderedPageBreak/>
              <w:t>Hyphema</w:t>
            </w:r>
            <w:r>
              <w:rPr>
                <w:rFonts w:ascii="Arial" w:eastAsia="新宋体" w:hAnsi="Arial"/>
                <w:b/>
                <w:bCs/>
                <w:sz w:val="20"/>
                <w:szCs w:val="20"/>
                <w:vertAlign w:val="superscript"/>
              </w:rPr>
              <w:t>#</w:t>
            </w:r>
          </w:p>
        </w:tc>
        <w:tc>
          <w:tcPr>
            <w:tcW w:w="1061" w:type="pct"/>
            <w:tcBorders>
              <w:top w:val="nil"/>
              <w:left w:val="nil"/>
              <w:bottom w:val="nil"/>
              <w:right w:val="nil"/>
            </w:tcBorders>
            <w:shd w:val="clear" w:color="auto" w:fill="FFFFFF"/>
          </w:tcPr>
          <w:p w:rsidR="00566D4F" w:rsidRDefault="00000000">
            <w:pPr>
              <w:widowControl/>
              <w:rPr>
                <w:rFonts w:ascii="Arial" w:eastAsia="宋体" w:hAnsi="Arial"/>
                <w:kern w:val="0"/>
                <w:sz w:val="20"/>
                <w:szCs w:val="20"/>
              </w:rPr>
            </w:pPr>
            <w:r>
              <w:rPr>
                <w:rFonts w:ascii="Arial" w:hAnsi="Arial"/>
                <w:b/>
                <w:bCs/>
                <w:sz w:val="20"/>
                <w:szCs w:val="20"/>
              </w:rPr>
              <w:t>&lt;.01</w:t>
            </w:r>
          </w:p>
        </w:tc>
        <w:tc>
          <w:tcPr>
            <w:tcW w:w="1061" w:type="pct"/>
            <w:tcBorders>
              <w:top w:val="nil"/>
              <w:left w:val="nil"/>
              <w:bottom w:val="nil"/>
              <w:right w:val="nil"/>
            </w:tcBorders>
            <w:shd w:val="clear" w:color="auto" w:fill="FFFFFF"/>
          </w:tcPr>
          <w:p w:rsidR="00566D4F" w:rsidRDefault="00000000">
            <w:pPr>
              <w:widowControl/>
              <w:rPr>
                <w:rFonts w:ascii="Arial" w:hAnsi="Arial"/>
                <w:sz w:val="20"/>
                <w:szCs w:val="20"/>
              </w:rPr>
            </w:pPr>
            <w:r>
              <w:rPr>
                <w:rFonts w:ascii="Arial" w:hAnsi="Arial"/>
                <w:sz w:val="20"/>
                <w:szCs w:val="20"/>
              </w:rPr>
              <w:t>.242</w:t>
            </w:r>
          </w:p>
        </w:tc>
        <w:tc>
          <w:tcPr>
            <w:tcW w:w="1061" w:type="pct"/>
            <w:tcBorders>
              <w:top w:val="nil"/>
              <w:left w:val="nil"/>
              <w:bottom w:val="nil"/>
              <w:right w:val="nil"/>
            </w:tcBorders>
            <w:shd w:val="clear" w:color="auto" w:fill="FFFFFF"/>
          </w:tcPr>
          <w:p w:rsidR="00566D4F" w:rsidRDefault="00000000">
            <w:pPr>
              <w:widowControl/>
              <w:rPr>
                <w:rFonts w:ascii="Arial" w:hAnsi="Arial"/>
                <w:sz w:val="20"/>
                <w:szCs w:val="20"/>
              </w:rPr>
            </w:pPr>
            <w:r>
              <w:rPr>
                <w:rFonts w:ascii="Arial" w:hAnsi="Arial"/>
                <w:b/>
                <w:bCs/>
                <w:sz w:val="20"/>
                <w:szCs w:val="20"/>
              </w:rPr>
              <w:t>&lt;.01</w:t>
            </w:r>
          </w:p>
        </w:tc>
      </w:tr>
      <w:tr w:rsidR="00566D4F">
        <w:trPr>
          <w:trHeight w:val="300"/>
        </w:trPr>
        <w:tc>
          <w:tcPr>
            <w:tcW w:w="1815" w:type="pct"/>
            <w:tcBorders>
              <w:top w:val="nil"/>
              <w:left w:val="nil"/>
              <w:bottom w:val="single" w:sz="12" w:space="0" w:color="000000"/>
              <w:right w:val="nil"/>
            </w:tcBorders>
            <w:shd w:val="clear" w:color="auto" w:fill="FFFFFF"/>
          </w:tcPr>
          <w:p w:rsidR="00566D4F" w:rsidRDefault="00000000">
            <w:pPr>
              <w:widowControl/>
              <w:jc w:val="left"/>
              <w:rPr>
                <w:rFonts w:ascii="Arial" w:eastAsia="宋体" w:hAnsi="Arial"/>
                <w:kern w:val="0"/>
                <w:sz w:val="20"/>
                <w:szCs w:val="20"/>
              </w:rPr>
            </w:pPr>
            <w:r>
              <w:rPr>
                <w:rFonts w:ascii="Arial" w:eastAsia="宋体" w:hAnsi="Arial"/>
                <w:b/>
                <w:kern w:val="0"/>
                <w:sz w:val="20"/>
                <w:szCs w:val="20"/>
              </w:rPr>
              <w:t>IOP spike</w:t>
            </w:r>
            <w:r>
              <w:rPr>
                <w:rFonts w:ascii="Arial" w:eastAsia="新宋体" w:hAnsi="Arial"/>
                <w:b/>
                <w:bCs/>
                <w:sz w:val="20"/>
                <w:szCs w:val="20"/>
                <w:vertAlign w:val="superscript"/>
              </w:rPr>
              <w:t>#</w:t>
            </w:r>
          </w:p>
        </w:tc>
        <w:tc>
          <w:tcPr>
            <w:tcW w:w="1061" w:type="pct"/>
            <w:tcBorders>
              <w:top w:val="nil"/>
              <w:left w:val="nil"/>
              <w:bottom w:val="single" w:sz="12" w:space="0" w:color="000000"/>
              <w:right w:val="nil"/>
            </w:tcBorders>
            <w:shd w:val="clear" w:color="auto" w:fill="FFFFFF"/>
          </w:tcPr>
          <w:p w:rsidR="00566D4F" w:rsidRDefault="00000000">
            <w:pPr>
              <w:widowControl/>
              <w:rPr>
                <w:rFonts w:ascii="Arial" w:eastAsia="宋体" w:hAnsi="Arial"/>
                <w:kern w:val="0"/>
                <w:sz w:val="20"/>
                <w:szCs w:val="20"/>
              </w:rPr>
            </w:pPr>
            <w:r>
              <w:rPr>
                <w:rFonts w:ascii="Arial" w:hAnsi="Arial"/>
                <w:b/>
                <w:bCs/>
                <w:sz w:val="20"/>
                <w:szCs w:val="20"/>
              </w:rPr>
              <w:t>.031</w:t>
            </w:r>
          </w:p>
        </w:tc>
        <w:tc>
          <w:tcPr>
            <w:tcW w:w="1061" w:type="pct"/>
            <w:tcBorders>
              <w:top w:val="nil"/>
              <w:left w:val="nil"/>
              <w:bottom w:val="single" w:sz="12" w:space="0" w:color="000000"/>
              <w:right w:val="nil"/>
            </w:tcBorders>
            <w:shd w:val="clear" w:color="auto" w:fill="FFFFFF"/>
          </w:tcPr>
          <w:p w:rsidR="00566D4F" w:rsidRDefault="00000000">
            <w:pPr>
              <w:widowControl/>
              <w:rPr>
                <w:rFonts w:ascii="Arial" w:hAnsi="Arial"/>
                <w:sz w:val="20"/>
                <w:szCs w:val="20"/>
              </w:rPr>
            </w:pPr>
            <w:r>
              <w:rPr>
                <w:rFonts w:ascii="Arial" w:hAnsi="Arial"/>
                <w:sz w:val="20"/>
                <w:szCs w:val="20"/>
              </w:rPr>
              <w:t>.090</w:t>
            </w:r>
          </w:p>
        </w:tc>
        <w:tc>
          <w:tcPr>
            <w:tcW w:w="1061" w:type="pct"/>
            <w:tcBorders>
              <w:top w:val="nil"/>
              <w:left w:val="nil"/>
              <w:bottom w:val="single" w:sz="12" w:space="0" w:color="000000"/>
              <w:right w:val="nil"/>
            </w:tcBorders>
            <w:shd w:val="clear" w:color="auto" w:fill="FFFFFF"/>
          </w:tcPr>
          <w:p w:rsidR="00566D4F" w:rsidRDefault="00000000">
            <w:pPr>
              <w:widowControl/>
              <w:rPr>
                <w:rFonts w:ascii="Arial" w:hAnsi="Arial"/>
                <w:sz w:val="20"/>
                <w:szCs w:val="20"/>
              </w:rPr>
            </w:pPr>
            <w:r>
              <w:rPr>
                <w:rFonts w:ascii="Arial" w:hAnsi="Arial"/>
                <w:b/>
                <w:bCs/>
                <w:sz w:val="20"/>
                <w:szCs w:val="20"/>
              </w:rPr>
              <w:t>&lt;.01</w:t>
            </w:r>
          </w:p>
        </w:tc>
      </w:tr>
    </w:tbl>
    <w:p w:rsidR="00566D4F" w:rsidRDefault="00000000">
      <w:pPr>
        <w:widowControl/>
        <w:jc w:val="left"/>
        <w:rPr>
          <w:rFonts w:ascii="Arial" w:eastAsia="新宋体" w:hAnsi="Arial"/>
          <w:sz w:val="20"/>
          <w:szCs w:val="20"/>
        </w:rPr>
      </w:pPr>
      <w:r>
        <w:rPr>
          <w:rFonts w:ascii="Arial" w:hAnsi="Arial"/>
          <w:b/>
          <w:sz w:val="20"/>
          <w:szCs w:val="20"/>
        </w:rPr>
        <w:t xml:space="preserve">Abbreviations: </w:t>
      </w:r>
      <w:r>
        <w:rPr>
          <w:rFonts w:ascii="Arial" w:eastAsia="新宋体" w:hAnsi="Arial"/>
          <w:bCs/>
          <w:sz w:val="20"/>
          <w:szCs w:val="20"/>
        </w:rPr>
        <w:t>AC: anterior chamber;</w:t>
      </w:r>
      <w:r>
        <w:rPr>
          <w:rFonts w:ascii="Arial" w:eastAsia="新宋体" w:hAnsi="Arial"/>
          <w:b/>
          <w:sz w:val="20"/>
          <w:szCs w:val="20"/>
        </w:rPr>
        <w:t xml:space="preserve"> </w:t>
      </w:r>
      <w:r>
        <w:rPr>
          <w:rFonts w:ascii="Arial" w:eastAsia="新宋体" w:hAnsi="Arial"/>
          <w:sz w:val="20"/>
          <w:szCs w:val="20"/>
        </w:rPr>
        <w:t xml:space="preserve">GATT: gonioscopy-assisted transluminal trabeculotomy; GSL: goniosynechiysis; GT: goniotomy; IOP: intraocular pressure; iStent: trabecular micro-bypass stent; </w:t>
      </w:r>
      <w:r>
        <w:rPr>
          <w:rFonts w:ascii="Arial" w:hAnsi="Arial"/>
          <w:sz w:val="20"/>
          <w:szCs w:val="20"/>
        </w:rPr>
        <w:t>PEI: phacoemulsification with intraocular lens implantation</w:t>
      </w:r>
      <w:r>
        <w:rPr>
          <w:rFonts w:ascii="Arial" w:eastAsia="新宋体" w:hAnsi="Arial"/>
          <w:sz w:val="20"/>
          <w:szCs w:val="20"/>
        </w:rPr>
        <w:t>.</w:t>
      </w:r>
      <w:r>
        <w:rPr>
          <w:rFonts w:ascii="Arial" w:eastAsia="新宋体" w:hAnsi="Arial" w:hint="eastAsia"/>
          <w:sz w:val="20"/>
          <w:szCs w:val="20"/>
        </w:rPr>
        <w:t xml:space="preserve"> The bold indicated the statistical significance.</w:t>
      </w:r>
    </w:p>
    <w:p w:rsidR="00566D4F" w:rsidRDefault="00000000">
      <w:pPr>
        <w:widowControl/>
        <w:jc w:val="left"/>
        <w:rPr>
          <w:rFonts w:ascii="Arial" w:eastAsia="新宋体" w:hAnsi="Arial"/>
          <w:sz w:val="20"/>
          <w:szCs w:val="20"/>
          <w:vertAlign w:val="superscript"/>
        </w:rPr>
      </w:pPr>
      <w:r>
        <w:rPr>
          <w:rFonts w:ascii="Arial" w:eastAsia="新宋体" w:hAnsi="Arial"/>
          <w:b/>
          <w:bCs/>
          <w:sz w:val="20"/>
          <w:szCs w:val="20"/>
          <w:vertAlign w:val="superscript"/>
        </w:rPr>
        <w:t>A</w:t>
      </w:r>
      <w:r>
        <w:rPr>
          <w:rFonts w:ascii="Arial" w:eastAsia="新宋体" w:hAnsi="Arial"/>
          <w:kern w:val="0"/>
          <w:sz w:val="20"/>
          <w:szCs w:val="20"/>
          <w:lang w:bidi="ar"/>
        </w:rPr>
        <w:t>(PEI ± GSL + GT vs PEI ± GSL + GATT)</w:t>
      </w:r>
    </w:p>
    <w:p w:rsidR="00566D4F" w:rsidRDefault="00000000">
      <w:pPr>
        <w:widowControl/>
        <w:jc w:val="left"/>
        <w:rPr>
          <w:rFonts w:ascii="Arial" w:eastAsia="新宋体" w:hAnsi="Arial"/>
          <w:sz w:val="20"/>
          <w:szCs w:val="20"/>
          <w:vertAlign w:val="superscript"/>
        </w:rPr>
      </w:pPr>
      <w:r>
        <w:rPr>
          <w:rFonts w:ascii="Arial" w:eastAsia="新宋体" w:hAnsi="Arial"/>
          <w:b/>
          <w:bCs/>
          <w:sz w:val="20"/>
          <w:szCs w:val="20"/>
          <w:vertAlign w:val="superscript"/>
        </w:rPr>
        <w:t>B</w:t>
      </w:r>
      <w:r>
        <w:rPr>
          <w:rFonts w:ascii="Arial" w:eastAsia="新宋体" w:hAnsi="Arial"/>
          <w:kern w:val="0"/>
          <w:sz w:val="20"/>
          <w:szCs w:val="20"/>
          <w:lang w:bidi="ar"/>
        </w:rPr>
        <w:t>(PEI ± GSL + GT vs PEI ± GSL + iStent)</w:t>
      </w:r>
    </w:p>
    <w:p w:rsidR="00566D4F" w:rsidRDefault="00000000">
      <w:pPr>
        <w:widowControl/>
        <w:jc w:val="left"/>
        <w:rPr>
          <w:rFonts w:ascii="Arial" w:eastAsia="新宋体" w:hAnsi="Arial"/>
          <w:sz w:val="20"/>
          <w:szCs w:val="20"/>
          <w:vertAlign w:val="superscript"/>
        </w:rPr>
      </w:pPr>
      <w:r>
        <w:rPr>
          <w:rFonts w:ascii="Arial" w:eastAsia="新宋体" w:hAnsi="Arial"/>
          <w:b/>
          <w:bCs/>
          <w:sz w:val="20"/>
          <w:szCs w:val="20"/>
          <w:vertAlign w:val="superscript"/>
        </w:rPr>
        <w:t>C</w:t>
      </w:r>
      <w:r>
        <w:rPr>
          <w:rFonts w:ascii="Arial" w:eastAsia="新宋体" w:hAnsi="Arial"/>
          <w:kern w:val="0"/>
          <w:sz w:val="20"/>
          <w:szCs w:val="20"/>
          <w:lang w:bidi="ar"/>
        </w:rPr>
        <w:t>(PEI ± GSL + GATT vs PEI ± GSL + iStent)</w:t>
      </w:r>
    </w:p>
    <w:p w:rsidR="00566D4F" w:rsidRDefault="00000000">
      <w:pPr>
        <w:widowControl/>
        <w:jc w:val="left"/>
        <w:rPr>
          <w:rFonts w:ascii="Arial" w:eastAsia="新宋体" w:hAnsi="Arial"/>
          <w:bCs/>
          <w:sz w:val="20"/>
          <w:szCs w:val="20"/>
        </w:rPr>
      </w:pPr>
      <w:r>
        <w:rPr>
          <w:rFonts w:ascii="Arial" w:eastAsia="新宋体" w:hAnsi="Arial"/>
          <w:b/>
          <w:sz w:val="20"/>
          <w:szCs w:val="20"/>
          <w:vertAlign w:val="superscript"/>
        </w:rPr>
        <w:t>#</w:t>
      </w:r>
      <w:r>
        <w:rPr>
          <w:rFonts w:ascii="Arial" w:eastAsia="新宋体" w:hAnsi="Arial"/>
          <w:bCs/>
          <w:sz w:val="20"/>
          <w:szCs w:val="20"/>
        </w:rPr>
        <w:t>Chi-square test was used.</w:t>
      </w:r>
    </w:p>
    <w:p w:rsidR="00566D4F" w:rsidRDefault="00566D4F">
      <w:pPr>
        <w:widowControl/>
        <w:jc w:val="left"/>
        <w:rPr>
          <w:rFonts w:ascii="Arial" w:eastAsia="新宋体" w:hAnsi="Arial"/>
          <w:bCs/>
          <w:sz w:val="20"/>
          <w:szCs w:val="20"/>
        </w:rPr>
      </w:pPr>
    </w:p>
    <w:p w:rsidR="00566D4F" w:rsidRDefault="00000000">
      <w:pPr>
        <w:widowControl/>
        <w:jc w:val="left"/>
        <w:rPr>
          <w:rFonts w:ascii="Arial" w:hAnsi="Arial"/>
          <w:b/>
          <w:sz w:val="20"/>
          <w:szCs w:val="20"/>
        </w:rPr>
      </w:pPr>
      <w:r>
        <w:rPr>
          <w:rFonts w:ascii="Arial" w:hAnsi="Arial"/>
          <w:b/>
          <w:sz w:val="20"/>
          <w:szCs w:val="20"/>
        </w:rPr>
        <w:t>Table S</w:t>
      </w:r>
      <w:r>
        <w:rPr>
          <w:rFonts w:ascii="Arial" w:hAnsi="Arial" w:hint="eastAsia"/>
          <w:b/>
          <w:sz w:val="20"/>
          <w:szCs w:val="20"/>
        </w:rPr>
        <w:t>11</w:t>
      </w:r>
      <w:r>
        <w:rPr>
          <w:rFonts w:ascii="Arial" w:hAnsi="Arial"/>
          <w:b/>
          <w:sz w:val="20"/>
          <w:szCs w:val="20"/>
        </w:rPr>
        <w:t xml:space="preserve"> Incidence of all complications</w:t>
      </w:r>
    </w:p>
    <w:tbl>
      <w:tblPr>
        <w:tblStyle w:val="a9"/>
        <w:tblW w:w="4997" w:type="pct"/>
        <w:tblLook w:val="04A0" w:firstRow="1" w:lastRow="0" w:firstColumn="1" w:lastColumn="0" w:noHBand="0" w:noVBand="1"/>
      </w:tblPr>
      <w:tblGrid>
        <w:gridCol w:w="7565"/>
        <w:gridCol w:w="6387"/>
      </w:tblGrid>
      <w:tr w:rsidR="00566D4F">
        <w:trPr>
          <w:trHeight w:val="545"/>
        </w:trPr>
        <w:tc>
          <w:tcPr>
            <w:tcW w:w="2710" w:type="pct"/>
            <w:tcBorders>
              <w:top w:val="single" w:sz="12" w:space="0" w:color="000000"/>
              <w:left w:val="nil"/>
              <w:bottom w:val="single" w:sz="12" w:space="0" w:color="000000"/>
              <w:right w:val="nil"/>
            </w:tcBorders>
            <w:shd w:val="clear" w:color="auto" w:fill="FFFFFF"/>
            <w:vAlign w:val="center"/>
          </w:tcPr>
          <w:p w:rsidR="00566D4F" w:rsidRDefault="00000000">
            <w:pPr>
              <w:widowControl/>
              <w:spacing w:line="240" w:lineRule="atLeast"/>
              <w:rPr>
                <w:rFonts w:ascii="Arial" w:hAnsi="Arial"/>
                <w:sz w:val="20"/>
                <w:szCs w:val="20"/>
              </w:rPr>
            </w:pPr>
            <w:r>
              <w:rPr>
                <w:rFonts w:ascii="Arial" w:hAnsi="Arial"/>
                <w:b/>
                <w:bCs/>
                <w:sz w:val="20"/>
                <w:szCs w:val="20"/>
              </w:rPr>
              <w:t>Type of intra- or post-operative complication</w:t>
            </w:r>
          </w:p>
        </w:tc>
        <w:tc>
          <w:tcPr>
            <w:tcW w:w="2289" w:type="pct"/>
            <w:tcBorders>
              <w:top w:val="single" w:sz="12" w:space="0" w:color="000000"/>
              <w:left w:val="nil"/>
              <w:bottom w:val="single" w:sz="12" w:space="0" w:color="000000"/>
              <w:right w:val="nil"/>
            </w:tcBorders>
            <w:shd w:val="clear" w:color="auto" w:fill="FFFFFF"/>
            <w:vAlign w:val="center"/>
          </w:tcPr>
          <w:p w:rsidR="00566D4F" w:rsidRDefault="00000000">
            <w:pPr>
              <w:widowControl/>
              <w:spacing w:line="240" w:lineRule="atLeast"/>
              <w:rPr>
                <w:rFonts w:ascii="Arial" w:hAnsi="Arial"/>
                <w:sz w:val="20"/>
                <w:szCs w:val="20"/>
              </w:rPr>
            </w:pPr>
            <w:r>
              <w:rPr>
                <w:rFonts w:ascii="Arial" w:eastAsia="宋体" w:hAnsi="Arial"/>
                <w:b/>
                <w:kern w:val="0"/>
                <w:sz w:val="20"/>
                <w:szCs w:val="20"/>
              </w:rPr>
              <w:t>Number of eyes (n = 633)</w:t>
            </w:r>
          </w:p>
        </w:tc>
      </w:tr>
      <w:tr w:rsidR="00566D4F">
        <w:tc>
          <w:tcPr>
            <w:tcW w:w="2710" w:type="pct"/>
            <w:tcBorders>
              <w:top w:val="single" w:sz="12" w:space="0" w:color="000000"/>
              <w:left w:val="nil"/>
              <w:bottom w:val="nil"/>
              <w:right w:val="nil"/>
            </w:tcBorders>
            <w:shd w:val="clear" w:color="auto" w:fill="FFFFFF"/>
            <w:vAlign w:val="center"/>
          </w:tcPr>
          <w:p w:rsidR="00566D4F" w:rsidRDefault="00000000">
            <w:pPr>
              <w:widowControl/>
              <w:jc w:val="left"/>
              <w:rPr>
                <w:rFonts w:ascii="Arial" w:eastAsia="宋体" w:hAnsi="Arial"/>
                <w:kern w:val="0"/>
                <w:sz w:val="20"/>
                <w:szCs w:val="20"/>
              </w:rPr>
            </w:pPr>
            <w:r>
              <w:rPr>
                <w:rFonts w:ascii="Arial" w:eastAsia="宋体" w:hAnsi="Arial"/>
                <w:kern w:val="0"/>
                <w:sz w:val="20"/>
                <w:szCs w:val="20"/>
              </w:rPr>
              <w:t>Hyphema</w:t>
            </w:r>
          </w:p>
        </w:tc>
        <w:tc>
          <w:tcPr>
            <w:tcW w:w="2289" w:type="pct"/>
            <w:tcBorders>
              <w:top w:val="single" w:sz="12" w:space="0" w:color="000000"/>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103 (16.3%)</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hAnsi="Arial"/>
                <w:sz w:val="20"/>
                <w:szCs w:val="20"/>
              </w:rPr>
              <w:t>Intraocular pressure spike</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47 (7.4%)</w:t>
            </w:r>
          </w:p>
        </w:tc>
      </w:tr>
      <w:tr w:rsidR="00566D4F">
        <w:trPr>
          <w:trHeight w:val="90"/>
        </w:trPr>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eastAsia="宋体" w:hAnsi="Arial"/>
                <w:kern w:val="0"/>
                <w:sz w:val="20"/>
                <w:szCs w:val="20"/>
                <w:lang w:bidi="ar"/>
              </w:rPr>
            </w:pPr>
            <w:r>
              <w:rPr>
                <w:rFonts w:ascii="Arial" w:eastAsia="宋体" w:hAnsi="Arial"/>
                <w:kern w:val="0"/>
                <w:sz w:val="20"/>
                <w:szCs w:val="20"/>
                <w:lang w:bidi="ar"/>
              </w:rPr>
              <w:t>Corneal edema</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eastAsia="宋体" w:hAnsi="Arial"/>
                <w:kern w:val="0"/>
                <w:sz w:val="20"/>
                <w:szCs w:val="20"/>
                <w:lang w:bidi="ar"/>
              </w:rPr>
            </w:pPr>
            <w:r>
              <w:rPr>
                <w:rFonts w:ascii="Arial" w:eastAsia="宋体" w:hAnsi="Arial"/>
                <w:kern w:val="0"/>
                <w:sz w:val="20"/>
                <w:szCs w:val="20"/>
                <w:lang w:bidi="ar"/>
              </w:rPr>
              <w:t>16 (2.5%)</w:t>
            </w:r>
          </w:p>
        </w:tc>
      </w:tr>
      <w:tr w:rsidR="00566D4F">
        <w:tc>
          <w:tcPr>
            <w:tcW w:w="2710" w:type="pct"/>
            <w:tcBorders>
              <w:top w:val="nil"/>
              <w:left w:val="nil"/>
              <w:bottom w:val="nil"/>
              <w:right w:val="nil"/>
            </w:tcBorders>
            <w:shd w:val="clear" w:color="auto" w:fill="auto"/>
            <w:vAlign w:val="center"/>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t>iStent occlusion*</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eastAsia="宋体" w:hAnsi="Arial"/>
                <w:kern w:val="0"/>
                <w:sz w:val="20"/>
                <w:szCs w:val="20"/>
                <w:lang w:bidi="ar"/>
              </w:rPr>
            </w:pPr>
            <w:r>
              <w:rPr>
                <w:rFonts w:ascii="Arial" w:eastAsia="宋体" w:hAnsi="Arial"/>
                <w:kern w:val="0"/>
                <w:sz w:val="20"/>
                <w:szCs w:val="20"/>
                <w:lang w:bidi="ar"/>
              </w:rPr>
              <w:t>15</w:t>
            </w:r>
            <w:r>
              <w:rPr>
                <w:rFonts w:ascii="Arial" w:eastAsia="宋体" w:hAnsi="Arial" w:hint="eastAsia"/>
                <w:kern w:val="0"/>
                <w:sz w:val="20"/>
                <w:szCs w:val="20"/>
                <w:lang w:bidi="ar"/>
              </w:rPr>
              <w:t xml:space="preserve"> (11.4%)</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eastAsia="宋体" w:hAnsi="Arial"/>
                <w:kern w:val="0"/>
                <w:sz w:val="20"/>
                <w:szCs w:val="20"/>
                <w:lang w:bidi="ar"/>
              </w:rPr>
            </w:pPr>
            <w:r>
              <w:rPr>
                <w:rFonts w:ascii="Arial" w:eastAsia="宋体" w:hAnsi="Arial"/>
                <w:kern w:val="0"/>
                <w:sz w:val="20"/>
                <w:szCs w:val="20"/>
                <w:lang w:bidi="ar"/>
              </w:rPr>
              <w:t>Shallow anterior chamber</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eastAsia="宋体" w:hAnsi="Arial"/>
                <w:kern w:val="0"/>
                <w:sz w:val="20"/>
                <w:szCs w:val="20"/>
                <w:lang w:bidi="ar"/>
              </w:rPr>
            </w:pPr>
            <w:r>
              <w:rPr>
                <w:rFonts w:ascii="Arial" w:eastAsia="宋体" w:hAnsi="Arial"/>
                <w:kern w:val="0"/>
                <w:sz w:val="20"/>
                <w:szCs w:val="20"/>
                <w:lang w:bidi="ar"/>
              </w:rPr>
              <w:t>8 (1.3%)</w:t>
            </w:r>
          </w:p>
        </w:tc>
      </w:tr>
      <w:tr w:rsidR="00566D4F">
        <w:trPr>
          <w:trHeight w:val="90"/>
        </w:trPr>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Pupillary membrane</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8 (1.3%)</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Posterior capsule opacification</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7 (1.1%)</w:t>
            </w:r>
          </w:p>
        </w:tc>
      </w:tr>
      <w:tr w:rsidR="00566D4F">
        <w:tc>
          <w:tcPr>
            <w:tcW w:w="2710" w:type="pct"/>
            <w:tcBorders>
              <w:top w:val="nil"/>
              <w:left w:val="nil"/>
              <w:bottom w:val="nil"/>
              <w:right w:val="nil"/>
            </w:tcBorders>
            <w:shd w:val="clear" w:color="auto" w:fill="auto"/>
            <w:vAlign w:val="center"/>
          </w:tcPr>
          <w:p w:rsidR="00566D4F" w:rsidRDefault="00000000">
            <w:pPr>
              <w:widowControl/>
              <w:jc w:val="left"/>
              <w:textAlignment w:val="center"/>
              <w:rPr>
                <w:rFonts w:ascii="Arial" w:eastAsia="宋体" w:hAnsi="Arial"/>
                <w:sz w:val="20"/>
                <w:szCs w:val="20"/>
              </w:rPr>
            </w:pPr>
            <w:r>
              <w:rPr>
                <w:rFonts w:ascii="Arial" w:eastAsia="宋体" w:hAnsi="Arial"/>
                <w:kern w:val="0"/>
                <w:sz w:val="20"/>
                <w:szCs w:val="20"/>
                <w:lang w:bidi="ar"/>
              </w:rPr>
              <w:t>Passage obstruction</w:t>
            </w:r>
            <w:r>
              <w:rPr>
                <w:rFonts w:ascii="Arial" w:eastAsia="宋体" w:hAnsi="Arial"/>
                <w:kern w:val="0"/>
                <w:sz w:val="20"/>
                <w:szCs w:val="20"/>
                <w:vertAlign w:val="superscript"/>
                <w:lang w:bidi="ar"/>
              </w:rPr>
              <w:t>#</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eastAsia="宋体" w:hAnsi="Arial"/>
                <w:kern w:val="0"/>
                <w:sz w:val="20"/>
                <w:szCs w:val="20"/>
                <w:lang w:bidi="ar"/>
              </w:rPr>
            </w:pPr>
            <w:r>
              <w:rPr>
                <w:rFonts w:ascii="Arial" w:eastAsia="宋体" w:hAnsi="Arial"/>
                <w:kern w:val="0"/>
                <w:sz w:val="20"/>
                <w:szCs w:val="20"/>
                <w:lang w:bidi="ar"/>
              </w:rPr>
              <w:t>6</w:t>
            </w:r>
            <w:r>
              <w:rPr>
                <w:rFonts w:ascii="Arial" w:eastAsia="宋体" w:hAnsi="Arial" w:hint="eastAsia"/>
                <w:kern w:val="0"/>
                <w:sz w:val="20"/>
                <w:szCs w:val="20"/>
                <w:lang w:bidi="ar"/>
              </w:rPr>
              <w:t xml:space="preserve"> (3.1%)</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Detachment peripheral iris</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4 (0.6%)</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Iris atrophy</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3 (0.5%)</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Malignant glaucoma</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3 (0.5%)</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Cyclodialysis</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2 (0.3%)</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Tyndall effect</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2 (0.3%)</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Endothelial blood staining</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1 (0.2%)</w:t>
            </w:r>
          </w:p>
        </w:tc>
      </w:tr>
      <w:tr w:rsidR="00566D4F">
        <w:tc>
          <w:tcPr>
            <w:tcW w:w="2710"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Intracapsular haematoma</w:t>
            </w:r>
          </w:p>
        </w:tc>
        <w:tc>
          <w:tcPr>
            <w:tcW w:w="2289" w:type="pct"/>
            <w:tcBorders>
              <w:top w:val="nil"/>
              <w:left w:val="nil"/>
              <w:bottom w:val="nil"/>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1 (0.2%)</w:t>
            </w:r>
          </w:p>
        </w:tc>
      </w:tr>
      <w:tr w:rsidR="00566D4F">
        <w:tc>
          <w:tcPr>
            <w:tcW w:w="2710" w:type="pct"/>
            <w:tcBorders>
              <w:top w:val="nil"/>
              <w:left w:val="nil"/>
              <w:bottom w:val="single" w:sz="12" w:space="0" w:color="000000"/>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Rebound iris</w:t>
            </w:r>
          </w:p>
        </w:tc>
        <w:tc>
          <w:tcPr>
            <w:tcW w:w="2289" w:type="pct"/>
            <w:tcBorders>
              <w:top w:val="nil"/>
              <w:left w:val="nil"/>
              <w:bottom w:val="single" w:sz="12" w:space="0" w:color="000000"/>
              <w:right w:val="nil"/>
            </w:tcBorders>
            <w:shd w:val="clear" w:color="auto" w:fill="FFFFFF"/>
            <w:vAlign w:val="center"/>
          </w:tcPr>
          <w:p w:rsidR="00566D4F" w:rsidRDefault="00000000">
            <w:pPr>
              <w:widowControl/>
              <w:jc w:val="left"/>
              <w:textAlignment w:val="center"/>
              <w:rPr>
                <w:rFonts w:ascii="Arial" w:hAnsi="Arial"/>
                <w:sz w:val="20"/>
                <w:szCs w:val="20"/>
              </w:rPr>
            </w:pPr>
            <w:r>
              <w:rPr>
                <w:rFonts w:ascii="Arial" w:eastAsia="宋体" w:hAnsi="Arial"/>
                <w:kern w:val="0"/>
                <w:sz w:val="20"/>
                <w:szCs w:val="20"/>
                <w:lang w:bidi="ar"/>
              </w:rPr>
              <w:t>1 (0.2%)</w:t>
            </w:r>
          </w:p>
        </w:tc>
      </w:tr>
    </w:tbl>
    <w:p w:rsidR="00566D4F" w:rsidRDefault="00000000">
      <w:pPr>
        <w:widowControl/>
        <w:jc w:val="left"/>
        <w:rPr>
          <w:rFonts w:ascii="Arial" w:eastAsia="新宋体" w:hAnsi="Arial"/>
          <w:bCs/>
          <w:sz w:val="20"/>
          <w:szCs w:val="20"/>
        </w:rPr>
      </w:pPr>
      <w:r>
        <w:rPr>
          <w:rFonts w:ascii="Arial" w:eastAsia="新宋体" w:hAnsi="Arial" w:hint="eastAsia"/>
          <w:b/>
          <w:sz w:val="20"/>
          <w:szCs w:val="20"/>
        </w:rPr>
        <w:lastRenderedPageBreak/>
        <w:t>*</w:t>
      </w:r>
      <w:r>
        <w:rPr>
          <w:rFonts w:ascii="Arial" w:eastAsia="新宋体" w:hAnsi="Arial" w:hint="eastAsia"/>
          <w:bCs/>
          <w:sz w:val="20"/>
          <w:szCs w:val="20"/>
        </w:rPr>
        <w:t>T</w:t>
      </w:r>
      <w:r>
        <w:rPr>
          <w:rFonts w:ascii="Arial" w:eastAsia="新宋体" w:hAnsi="Arial"/>
          <w:bCs/>
          <w:sz w:val="20"/>
          <w:szCs w:val="20"/>
        </w:rPr>
        <w:t xml:space="preserve">he incidence in the </w:t>
      </w:r>
      <w:r>
        <w:rPr>
          <w:rFonts w:ascii="Arial" w:eastAsia="新宋体" w:hAnsi="Arial"/>
          <w:kern w:val="0"/>
          <w:sz w:val="20"/>
          <w:szCs w:val="20"/>
          <w:lang w:bidi="ar"/>
        </w:rPr>
        <w:t>PEI ± GSL + iStent</w:t>
      </w:r>
      <w:r>
        <w:rPr>
          <w:rFonts w:ascii="Arial" w:eastAsia="新宋体" w:hAnsi="Arial"/>
          <w:bCs/>
          <w:sz w:val="20"/>
          <w:szCs w:val="20"/>
        </w:rPr>
        <w:t xml:space="preserve"> group</w:t>
      </w:r>
      <w:r>
        <w:rPr>
          <w:rFonts w:ascii="Arial" w:eastAsia="新宋体" w:hAnsi="Arial" w:hint="eastAsia"/>
          <w:bCs/>
          <w:sz w:val="20"/>
          <w:szCs w:val="20"/>
        </w:rPr>
        <w:t xml:space="preserve"> (n=132)</w:t>
      </w:r>
      <w:r>
        <w:rPr>
          <w:rFonts w:ascii="Arial" w:eastAsia="新宋体" w:hAnsi="Arial"/>
          <w:bCs/>
          <w:sz w:val="20"/>
          <w:szCs w:val="20"/>
        </w:rPr>
        <w:t xml:space="preserve"> was calculated</w:t>
      </w:r>
      <w:r>
        <w:rPr>
          <w:rFonts w:ascii="Arial" w:eastAsia="新宋体" w:hAnsi="Arial" w:hint="eastAsia"/>
          <w:bCs/>
          <w:sz w:val="20"/>
          <w:szCs w:val="20"/>
        </w:rPr>
        <w:t>.</w:t>
      </w:r>
    </w:p>
    <w:p w:rsidR="00566D4F" w:rsidRDefault="00000000">
      <w:pPr>
        <w:widowControl/>
        <w:jc w:val="left"/>
        <w:rPr>
          <w:rFonts w:ascii="Arial" w:eastAsia="新宋体" w:hAnsi="Arial"/>
          <w:bCs/>
          <w:sz w:val="20"/>
          <w:szCs w:val="20"/>
        </w:rPr>
      </w:pPr>
      <w:r>
        <w:rPr>
          <w:rFonts w:ascii="Arial" w:eastAsia="新宋体" w:hAnsi="Arial"/>
          <w:b/>
          <w:sz w:val="20"/>
          <w:szCs w:val="20"/>
          <w:vertAlign w:val="superscript"/>
        </w:rPr>
        <w:t>#</w:t>
      </w:r>
      <w:r>
        <w:rPr>
          <w:rFonts w:ascii="Arial" w:eastAsia="新宋体" w:hAnsi="Arial" w:hint="eastAsia"/>
          <w:bCs/>
          <w:sz w:val="20"/>
          <w:szCs w:val="20"/>
        </w:rPr>
        <w:t>T</w:t>
      </w:r>
      <w:r>
        <w:rPr>
          <w:rFonts w:ascii="Arial" w:eastAsia="新宋体" w:hAnsi="Arial"/>
          <w:bCs/>
          <w:sz w:val="20"/>
          <w:szCs w:val="20"/>
        </w:rPr>
        <w:t xml:space="preserve">he incidence in the </w:t>
      </w:r>
      <w:r>
        <w:rPr>
          <w:rFonts w:ascii="Arial" w:eastAsia="新宋体" w:hAnsi="Arial"/>
          <w:kern w:val="0"/>
          <w:sz w:val="20"/>
          <w:szCs w:val="20"/>
          <w:lang w:bidi="ar"/>
        </w:rPr>
        <w:t xml:space="preserve">PEI ± GSL + </w:t>
      </w:r>
      <w:r>
        <w:rPr>
          <w:rFonts w:ascii="Arial" w:eastAsia="新宋体" w:hAnsi="Arial" w:hint="eastAsia"/>
          <w:kern w:val="0"/>
          <w:sz w:val="20"/>
          <w:szCs w:val="20"/>
          <w:lang w:bidi="ar"/>
        </w:rPr>
        <w:t>GATT</w:t>
      </w:r>
      <w:r>
        <w:rPr>
          <w:rFonts w:ascii="Arial" w:eastAsia="新宋体" w:hAnsi="Arial"/>
          <w:bCs/>
          <w:sz w:val="20"/>
          <w:szCs w:val="20"/>
        </w:rPr>
        <w:t xml:space="preserve"> group </w:t>
      </w:r>
      <w:r>
        <w:rPr>
          <w:rFonts w:ascii="Arial" w:eastAsia="新宋体" w:hAnsi="Arial" w:hint="eastAsia"/>
          <w:bCs/>
          <w:sz w:val="20"/>
          <w:szCs w:val="20"/>
        </w:rPr>
        <w:t xml:space="preserve">(n=193) </w:t>
      </w:r>
      <w:r>
        <w:rPr>
          <w:rFonts w:ascii="Arial" w:eastAsia="新宋体" w:hAnsi="Arial"/>
          <w:bCs/>
          <w:sz w:val="20"/>
          <w:szCs w:val="20"/>
        </w:rPr>
        <w:t>was calculated</w:t>
      </w:r>
      <w:r>
        <w:rPr>
          <w:rFonts w:ascii="Arial" w:eastAsia="新宋体" w:hAnsi="Arial" w:hint="eastAsia"/>
          <w:bCs/>
          <w:sz w:val="20"/>
          <w:szCs w:val="20"/>
        </w:rPr>
        <w:t>.</w:t>
      </w:r>
    </w:p>
    <w:p w:rsidR="00566D4F" w:rsidRDefault="00566D4F">
      <w:pPr>
        <w:widowControl/>
        <w:jc w:val="left"/>
        <w:rPr>
          <w:rFonts w:ascii="Arial" w:eastAsia="新宋体" w:hAnsi="Arial"/>
          <w:bCs/>
          <w:sz w:val="20"/>
          <w:szCs w:val="20"/>
        </w:rPr>
      </w:pPr>
    </w:p>
    <w:sectPr w:rsidR="00566D4F">
      <w:headerReference w:type="default" r:id="rId11"/>
      <w:footerReference w:type="default" r:id="rId12"/>
      <w:pgSz w:w="16840" w:h="11900" w:orient="landscape"/>
      <w:pgMar w:top="1440" w:right="1440" w:bottom="144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218B" w:rsidRDefault="0077218B">
      <w:r>
        <w:separator/>
      </w:r>
    </w:p>
  </w:endnote>
  <w:endnote w:type="continuationSeparator" w:id="0">
    <w:p w:rsidR="0077218B" w:rsidRDefault="00772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Segoe UI">
    <w:panose1 w:val="020B0502040204020203"/>
    <w:charset w:val="00"/>
    <w:family w:val="auto"/>
    <w:pitch w:val="default"/>
    <w:sig w:usb0="E4002EFF" w:usb1="C000E47F" w:usb2="00000009" w:usb3="00000000" w:csb0="2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6D4F" w:rsidRDefault="00566D4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6D4F" w:rsidRDefault="00000000">
    <w:pPr>
      <w:pStyle w:val="a5"/>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66D4F" w:rsidRDefault="00000000">
                          <w:pPr>
                            <w:pStyle w:val="a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rsidR="00566D4F" w:rsidRDefault="00000000">
                    <w:pPr>
                      <w:pStyle w:val="a5"/>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218B" w:rsidRDefault="0077218B">
      <w:r>
        <w:separator/>
      </w:r>
    </w:p>
  </w:footnote>
  <w:footnote w:type="continuationSeparator" w:id="0">
    <w:p w:rsidR="0077218B" w:rsidRDefault="00772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6D4F" w:rsidRDefault="00566D4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6D4F" w:rsidRDefault="00566D4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D87C6D"/>
    <w:multiLevelType w:val="singleLevel"/>
    <w:tmpl w:val="81D87C6D"/>
    <w:lvl w:ilvl="0">
      <w:start w:val="1"/>
      <w:numFmt w:val="bullet"/>
      <w:lvlText w:val=""/>
      <w:lvlJc w:val="left"/>
      <w:pPr>
        <w:ind w:left="420" w:hanging="420"/>
      </w:pPr>
      <w:rPr>
        <w:rFonts w:ascii="Wingdings" w:hAnsi="Wingdings" w:hint="default"/>
      </w:rPr>
    </w:lvl>
  </w:abstractNum>
  <w:num w:numId="1" w16cid:durableId="189492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hideSpellingErrors/>
  <w:hideGrammaticalErrors/>
  <w:defaultTabStop w:val="420"/>
  <w:hyphenationZone w:val="425"/>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0D"/>
    <w:rsid w:val="000071E2"/>
    <w:rsid w:val="00007EBF"/>
    <w:rsid w:val="00012336"/>
    <w:rsid w:val="00014CC4"/>
    <w:rsid w:val="0002068B"/>
    <w:rsid w:val="00021D5B"/>
    <w:rsid w:val="00030933"/>
    <w:rsid w:val="00040E14"/>
    <w:rsid w:val="00043544"/>
    <w:rsid w:val="00043B9F"/>
    <w:rsid w:val="0004752B"/>
    <w:rsid w:val="0005003A"/>
    <w:rsid w:val="000504B8"/>
    <w:rsid w:val="00053B86"/>
    <w:rsid w:val="00061203"/>
    <w:rsid w:val="00065BF9"/>
    <w:rsid w:val="000661B6"/>
    <w:rsid w:val="00085D08"/>
    <w:rsid w:val="000903E3"/>
    <w:rsid w:val="000904D9"/>
    <w:rsid w:val="000A27EC"/>
    <w:rsid w:val="000B05EE"/>
    <w:rsid w:val="000C13F8"/>
    <w:rsid w:val="000C1C5A"/>
    <w:rsid w:val="000C27D7"/>
    <w:rsid w:val="000C4984"/>
    <w:rsid w:val="000D1DE5"/>
    <w:rsid w:val="000D6BCA"/>
    <w:rsid w:val="000E6253"/>
    <w:rsid w:val="000F37A3"/>
    <w:rsid w:val="000F4C7D"/>
    <w:rsid w:val="000F6956"/>
    <w:rsid w:val="001045A8"/>
    <w:rsid w:val="00111430"/>
    <w:rsid w:val="001153B3"/>
    <w:rsid w:val="00116D7C"/>
    <w:rsid w:val="00120B18"/>
    <w:rsid w:val="00122B66"/>
    <w:rsid w:val="00125292"/>
    <w:rsid w:val="00135E8C"/>
    <w:rsid w:val="00144D46"/>
    <w:rsid w:val="001624FB"/>
    <w:rsid w:val="001667C1"/>
    <w:rsid w:val="001728CC"/>
    <w:rsid w:val="00176A6D"/>
    <w:rsid w:val="00176C01"/>
    <w:rsid w:val="001836AC"/>
    <w:rsid w:val="0019668E"/>
    <w:rsid w:val="001A02A5"/>
    <w:rsid w:val="001A29B2"/>
    <w:rsid w:val="001A2CDD"/>
    <w:rsid w:val="001A5228"/>
    <w:rsid w:val="001B4458"/>
    <w:rsid w:val="001B46BA"/>
    <w:rsid w:val="001C06D4"/>
    <w:rsid w:val="001C7C8D"/>
    <w:rsid w:val="001D6C0C"/>
    <w:rsid w:val="001E4A77"/>
    <w:rsid w:val="001E5037"/>
    <w:rsid w:val="001F0CE9"/>
    <w:rsid w:val="001F5BA1"/>
    <w:rsid w:val="002208CF"/>
    <w:rsid w:val="00236480"/>
    <w:rsid w:val="00247AF1"/>
    <w:rsid w:val="00247EA2"/>
    <w:rsid w:val="002513AD"/>
    <w:rsid w:val="00253E56"/>
    <w:rsid w:val="00254E09"/>
    <w:rsid w:val="0025748F"/>
    <w:rsid w:val="00262D1E"/>
    <w:rsid w:val="00270879"/>
    <w:rsid w:val="002711A8"/>
    <w:rsid w:val="0027456F"/>
    <w:rsid w:val="00277B11"/>
    <w:rsid w:val="0028136E"/>
    <w:rsid w:val="00293E76"/>
    <w:rsid w:val="00296767"/>
    <w:rsid w:val="00296F1C"/>
    <w:rsid w:val="002A0DD4"/>
    <w:rsid w:val="002A35CA"/>
    <w:rsid w:val="002A6E4E"/>
    <w:rsid w:val="002B505A"/>
    <w:rsid w:val="002B6432"/>
    <w:rsid w:val="002B7777"/>
    <w:rsid w:val="002C3D65"/>
    <w:rsid w:val="002D6922"/>
    <w:rsid w:val="002D7DE4"/>
    <w:rsid w:val="002E00C8"/>
    <w:rsid w:val="002F62A0"/>
    <w:rsid w:val="00302925"/>
    <w:rsid w:val="00304A6B"/>
    <w:rsid w:val="0030759F"/>
    <w:rsid w:val="0031273F"/>
    <w:rsid w:val="00322156"/>
    <w:rsid w:val="003254A6"/>
    <w:rsid w:val="00330B66"/>
    <w:rsid w:val="00337C46"/>
    <w:rsid w:val="00340C88"/>
    <w:rsid w:val="00353D9B"/>
    <w:rsid w:val="003572BD"/>
    <w:rsid w:val="00370C5E"/>
    <w:rsid w:val="0037211E"/>
    <w:rsid w:val="0037426C"/>
    <w:rsid w:val="003813E7"/>
    <w:rsid w:val="00383D85"/>
    <w:rsid w:val="0039077B"/>
    <w:rsid w:val="00397ED0"/>
    <w:rsid w:val="003C7476"/>
    <w:rsid w:val="003E0838"/>
    <w:rsid w:val="003E370A"/>
    <w:rsid w:val="0041300D"/>
    <w:rsid w:val="0041791C"/>
    <w:rsid w:val="0042319E"/>
    <w:rsid w:val="004267AF"/>
    <w:rsid w:val="00430B63"/>
    <w:rsid w:val="0044370D"/>
    <w:rsid w:val="004503CA"/>
    <w:rsid w:val="00450BD1"/>
    <w:rsid w:val="004553DA"/>
    <w:rsid w:val="00474A36"/>
    <w:rsid w:val="0047600E"/>
    <w:rsid w:val="00493347"/>
    <w:rsid w:val="00494066"/>
    <w:rsid w:val="004977A6"/>
    <w:rsid w:val="004A1E76"/>
    <w:rsid w:val="004A7434"/>
    <w:rsid w:val="004A788A"/>
    <w:rsid w:val="004B387E"/>
    <w:rsid w:val="004B563E"/>
    <w:rsid w:val="004C3D05"/>
    <w:rsid w:val="004C3F76"/>
    <w:rsid w:val="004C4903"/>
    <w:rsid w:val="004D4084"/>
    <w:rsid w:val="004E0792"/>
    <w:rsid w:val="004E2D7E"/>
    <w:rsid w:val="00505904"/>
    <w:rsid w:val="00514AAB"/>
    <w:rsid w:val="00514F9A"/>
    <w:rsid w:val="005249F4"/>
    <w:rsid w:val="0052579A"/>
    <w:rsid w:val="00531748"/>
    <w:rsid w:val="00554888"/>
    <w:rsid w:val="00556561"/>
    <w:rsid w:val="00560740"/>
    <w:rsid w:val="00566D4F"/>
    <w:rsid w:val="00571DE9"/>
    <w:rsid w:val="005749CE"/>
    <w:rsid w:val="0058062E"/>
    <w:rsid w:val="00580A55"/>
    <w:rsid w:val="00586E02"/>
    <w:rsid w:val="005870BD"/>
    <w:rsid w:val="0059045A"/>
    <w:rsid w:val="005A1209"/>
    <w:rsid w:val="005B019B"/>
    <w:rsid w:val="005B0552"/>
    <w:rsid w:val="005C538D"/>
    <w:rsid w:val="005D21AD"/>
    <w:rsid w:val="005D2691"/>
    <w:rsid w:val="005D5F1D"/>
    <w:rsid w:val="005E3014"/>
    <w:rsid w:val="005E6729"/>
    <w:rsid w:val="005F1CD4"/>
    <w:rsid w:val="005F31F1"/>
    <w:rsid w:val="005F6BD0"/>
    <w:rsid w:val="00607414"/>
    <w:rsid w:val="006212DF"/>
    <w:rsid w:val="00622077"/>
    <w:rsid w:val="0063047E"/>
    <w:rsid w:val="0063412C"/>
    <w:rsid w:val="006351B0"/>
    <w:rsid w:val="00651673"/>
    <w:rsid w:val="00654230"/>
    <w:rsid w:val="00660629"/>
    <w:rsid w:val="00685C8E"/>
    <w:rsid w:val="00686F86"/>
    <w:rsid w:val="00687128"/>
    <w:rsid w:val="0069333F"/>
    <w:rsid w:val="006A0438"/>
    <w:rsid w:val="006A5DAB"/>
    <w:rsid w:val="006C1964"/>
    <w:rsid w:val="006C3931"/>
    <w:rsid w:val="006D6F7C"/>
    <w:rsid w:val="006F5E23"/>
    <w:rsid w:val="007116EA"/>
    <w:rsid w:val="00713781"/>
    <w:rsid w:val="0071753E"/>
    <w:rsid w:val="00720FAC"/>
    <w:rsid w:val="00723A8C"/>
    <w:rsid w:val="00726B47"/>
    <w:rsid w:val="00733638"/>
    <w:rsid w:val="007421A2"/>
    <w:rsid w:val="00743304"/>
    <w:rsid w:val="00751A35"/>
    <w:rsid w:val="0077218B"/>
    <w:rsid w:val="007721D2"/>
    <w:rsid w:val="0077275A"/>
    <w:rsid w:val="0077296A"/>
    <w:rsid w:val="00772C73"/>
    <w:rsid w:val="00775F98"/>
    <w:rsid w:val="007835F3"/>
    <w:rsid w:val="00785F70"/>
    <w:rsid w:val="00793EBA"/>
    <w:rsid w:val="007B58A4"/>
    <w:rsid w:val="007B6FC2"/>
    <w:rsid w:val="007E1FC7"/>
    <w:rsid w:val="007F18F5"/>
    <w:rsid w:val="007F2C8F"/>
    <w:rsid w:val="00802CD6"/>
    <w:rsid w:val="0080520D"/>
    <w:rsid w:val="00806B7E"/>
    <w:rsid w:val="00822E08"/>
    <w:rsid w:val="00825EB2"/>
    <w:rsid w:val="00831B57"/>
    <w:rsid w:val="00831D30"/>
    <w:rsid w:val="008374CD"/>
    <w:rsid w:val="0085789D"/>
    <w:rsid w:val="00860C4A"/>
    <w:rsid w:val="00863150"/>
    <w:rsid w:val="0086623A"/>
    <w:rsid w:val="00870917"/>
    <w:rsid w:val="0087268F"/>
    <w:rsid w:val="00874D44"/>
    <w:rsid w:val="00881706"/>
    <w:rsid w:val="008850E1"/>
    <w:rsid w:val="0088661B"/>
    <w:rsid w:val="00893121"/>
    <w:rsid w:val="008A26D6"/>
    <w:rsid w:val="008A37C1"/>
    <w:rsid w:val="008B5DC9"/>
    <w:rsid w:val="008B614B"/>
    <w:rsid w:val="008C62C4"/>
    <w:rsid w:val="008D2FD4"/>
    <w:rsid w:val="008D3A83"/>
    <w:rsid w:val="008E2E4D"/>
    <w:rsid w:val="008E5D79"/>
    <w:rsid w:val="008E6CCB"/>
    <w:rsid w:val="008F48AB"/>
    <w:rsid w:val="008F6AB3"/>
    <w:rsid w:val="00900CA8"/>
    <w:rsid w:val="009037F1"/>
    <w:rsid w:val="00905EE2"/>
    <w:rsid w:val="00911448"/>
    <w:rsid w:val="00913B02"/>
    <w:rsid w:val="0092002A"/>
    <w:rsid w:val="009341C3"/>
    <w:rsid w:val="009532BE"/>
    <w:rsid w:val="0096053D"/>
    <w:rsid w:val="00960F56"/>
    <w:rsid w:val="00962483"/>
    <w:rsid w:val="00962DA5"/>
    <w:rsid w:val="00963CA6"/>
    <w:rsid w:val="00971355"/>
    <w:rsid w:val="00980A64"/>
    <w:rsid w:val="009823FE"/>
    <w:rsid w:val="00983B0F"/>
    <w:rsid w:val="009903A2"/>
    <w:rsid w:val="00991498"/>
    <w:rsid w:val="0099535D"/>
    <w:rsid w:val="009B3320"/>
    <w:rsid w:val="009B37F7"/>
    <w:rsid w:val="009B43AA"/>
    <w:rsid w:val="009C3FB6"/>
    <w:rsid w:val="009C7A47"/>
    <w:rsid w:val="009D3F0B"/>
    <w:rsid w:val="009F6291"/>
    <w:rsid w:val="00A00EB0"/>
    <w:rsid w:val="00A03371"/>
    <w:rsid w:val="00A04713"/>
    <w:rsid w:val="00A07D09"/>
    <w:rsid w:val="00A10686"/>
    <w:rsid w:val="00A36DB3"/>
    <w:rsid w:val="00A45D68"/>
    <w:rsid w:val="00A47F6E"/>
    <w:rsid w:val="00A5341F"/>
    <w:rsid w:val="00A62C4C"/>
    <w:rsid w:val="00A63327"/>
    <w:rsid w:val="00A87672"/>
    <w:rsid w:val="00A95EDB"/>
    <w:rsid w:val="00A96245"/>
    <w:rsid w:val="00AB1792"/>
    <w:rsid w:val="00AB2E50"/>
    <w:rsid w:val="00AB6883"/>
    <w:rsid w:val="00AC022A"/>
    <w:rsid w:val="00AC56C4"/>
    <w:rsid w:val="00AD256B"/>
    <w:rsid w:val="00AD4992"/>
    <w:rsid w:val="00AE3EAF"/>
    <w:rsid w:val="00AE59EA"/>
    <w:rsid w:val="00AF2A67"/>
    <w:rsid w:val="00AF47C8"/>
    <w:rsid w:val="00B17538"/>
    <w:rsid w:val="00B27500"/>
    <w:rsid w:val="00B318B4"/>
    <w:rsid w:val="00B40656"/>
    <w:rsid w:val="00B40F44"/>
    <w:rsid w:val="00B52722"/>
    <w:rsid w:val="00B57E18"/>
    <w:rsid w:val="00B66AF2"/>
    <w:rsid w:val="00B71814"/>
    <w:rsid w:val="00B7656F"/>
    <w:rsid w:val="00B816D4"/>
    <w:rsid w:val="00B853A3"/>
    <w:rsid w:val="00B86848"/>
    <w:rsid w:val="00B90102"/>
    <w:rsid w:val="00BC5C3C"/>
    <w:rsid w:val="00BD3B8F"/>
    <w:rsid w:val="00BD6A54"/>
    <w:rsid w:val="00BD7184"/>
    <w:rsid w:val="00BD7389"/>
    <w:rsid w:val="00BE09A3"/>
    <w:rsid w:val="00BE60B0"/>
    <w:rsid w:val="00BF3F95"/>
    <w:rsid w:val="00C074D7"/>
    <w:rsid w:val="00C1540B"/>
    <w:rsid w:val="00C20394"/>
    <w:rsid w:val="00C22FEE"/>
    <w:rsid w:val="00C23796"/>
    <w:rsid w:val="00C2473E"/>
    <w:rsid w:val="00C249DD"/>
    <w:rsid w:val="00C26C14"/>
    <w:rsid w:val="00C37329"/>
    <w:rsid w:val="00C45292"/>
    <w:rsid w:val="00C45F13"/>
    <w:rsid w:val="00C50EDA"/>
    <w:rsid w:val="00C616D5"/>
    <w:rsid w:val="00C84807"/>
    <w:rsid w:val="00C94723"/>
    <w:rsid w:val="00C94F2B"/>
    <w:rsid w:val="00C967A1"/>
    <w:rsid w:val="00CB4A79"/>
    <w:rsid w:val="00CB5A2F"/>
    <w:rsid w:val="00CC681E"/>
    <w:rsid w:val="00CC7A5C"/>
    <w:rsid w:val="00CE11AB"/>
    <w:rsid w:val="00CE59CE"/>
    <w:rsid w:val="00CF0AA1"/>
    <w:rsid w:val="00CF500C"/>
    <w:rsid w:val="00D043A9"/>
    <w:rsid w:val="00D05385"/>
    <w:rsid w:val="00D05954"/>
    <w:rsid w:val="00D15D11"/>
    <w:rsid w:val="00D17EB6"/>
    <w:rsid w:val="00D260AD"/>
    <w:rsid w:val="00D3280A"/>
    <w:rsid w:val="00D4033B"/>
    <w:rsid w:val="00D422B6"/>
    <w:rsid w:val="00D44F18"/>
    <w:rsid w:val="00D65137"/>
    <w:rsid w:val="00D7032A"/>
    <w:rsid w:val="00D7057A"/>
    <w:rsid w:val="00D721B5"/>
    <w:rsid w:val="00D74492"/>
    <w:rsid w:val="00D745E6"/>
    <w:rsid w:val="00D923AC"/>
    <w:rsid w:val="00DA0E7D"/>
    <w:rsid w:val="00DA274A"/>
    <w:rsid w:val="00DA372D"/>
    <w:rsid w:val="00DA6DC6"/>
    <w:rsid w:val="00DB0344"/>
    <w:rsid w:val="00DB0445"/>
    <w:rsid w:val="00DB3D46"/>
    <w:rsid w:val="00DB5706"/>
    <w:rsid w:val="00DB703D"/>
    <w:rsid w:val="00DD10E4"/>
    <w:rsid w:val="00DD45B1"/>
    <w:rsid w:val="00DD5963"/>
    <w:rsid w:val="00DD7721"/>
    <w:rsid w:val="00DE0A15"/>
    <w:rsid w:val="00DE3503"/>
    <w:rsid w:val="00DE3BD4"/>
    <w:rsid w:val="00DF2563"/>
    <w:rsid w:val="00E001E4"/>
    <w:rsid w:val="00E07822"/>
    <w:rsid w:val="00E12948"/>
    <w:rsid w:val="00E13A5C"/>
    <w:rsid w:val="00E2481D"/>
    <w:rsid w:val="00E34358"/>
    <w:rsid w:val="00E35B05"/>
    <w:rsid w:val="00E35FB5"/>
    <w:rsid w:val="00E43EB3"/>
    <w:rsid w:val="00E50149"/>
    <w:rsid w:val="00E640FD"/>
    <w:rsid w:val="00E66530"/>
    <w:rsid w:val="00E74376"/>
    <w:rsid w:val="00E80528"/>
    <w:rsid w:val="00E84FE9"/>
    <w:rsid w:val="00E8556C"/>
    <w:rsid w:val="00E9362F"/>
    <w:rsid w:val="00EA3959"/>
    <w:rsid w:val="00EA54CF"/>
    <w:rsid w:val="00EC0F20"/>
    <w:rsid w:val="00EC3422"/>
    <w:rsid w:val="00EC6C2F"/>
    <w:rsid w:val="00ED4F68"/>
    <w:rsid w:val="00ED55D5"/>
    <w:rsid w:val="00EE67B8"/>
    <w:rsid w:val="00F01DA9"/>
    <w:rsid w:val="00F02DF0"/>
    <w:rsid w:val="00F06725"/>
    <w:rsid w:val="00F07D6D"/>
    <w:rsid w:val="00F10FC3"/>
    <w:rsid w:val="00F12EA1"/>
    <w:rsid w:val="00F213DD"/>
    <w:rsid w:val="00F228FA"/>
    <w:rsid w:val="00F25657"/>
    <w:rsid w:val="00F259B9"/>
    <w:rsid w:val="00F272F6"/>
    <w:rsid w:val="00F320A7"/>
    <w:rsid w:val="00F3481E"/>
    <w:rsid w:val="00F34E9A"/>
    <w:rsid w:val="00F60E76"/>
    <w:rsid w:val="00F714FB"/>
    <w:rsid w:val="00F75B08"/>
    <w:rsid w:val="00F7760B"/>
    <w:rsid w:val="00F80DB5"/>
    <w:rsid w:val="00F82884"/>
    <w:rsid w:val="00F829C7"/>
    <w:rsid w:val="00F84DC3"/>
    <w:rsid w:val="00F87A2D"/>
    <w:rsid w:val="00FA0DF3"/>
    <w:rsid w:val="00FA479D"/>
    <w:rsid w:val="00FB496F"/>
    <w:rsid w:val="00FC201D"/>
    <w:rsid w:val="00FC7A87"/>
    <w:rsid w:val="00FD4B2A"/>
    <w:rsid w:val="00FD4F55"/>
    <w:rsid w:val="00FD5F00"/>
    <w:rsid w:val="00FE052E"/>
    <w:rsid w:val="00FE3931"/>
    <w:rsid w:val="016C1863"/>
    <w:rsid w:val="03AF2945"/>
    <w:rsid w:val="043B4C5B"/>
    <w:rsid w:val="06CD5A73"/>
    <w:rsid w:val="07121257"/>
    <w:rsid w:val="07AD40C1"/>
    <w:rsid w:val="08AA57D4"/>
    <w:rsid w:val="09AF53A6"/>
    <w:rsid w:val="09CA3A19"/>
    <w:rsid w:val="0A1428E8"/>
    <w:rsid w:val="0BDF6813"/>
    <w:rsid w:val="0BE73D43"/>
    <w:rsid w:val="0C497634"/>
    <w:rsid w:val="0D1F0495"/>
    <w:rsid w:val="0DEB2D2F"/>
    <w:rsid w:val="0E815404"/>
    <w:rsid w:val="0EFB75F4"/>
    <w:rsid w:val="106B05BE"/>
    <w:rsid w:val="108151A1"/>
    <w:rsid w:val="116A6B7F"/>
    <w:rsid w:val="12852ADC"/>
    <w:rsid w:val="12E024A5"/>
    <w:rsid w:val="1303541E"/>
    <w:rsid w:val="13A20564"/>
    <w:rsid w:val="1446607B"/>
    <w:rsid w:val="148C5ED1"/>
    <w:rsid w:val="14DE4914"/>
    <w:rsid w:val="150A4901"/>
    <w:rsid w:val="15F76858"/>
    <w:rsid w:val="16162216"/>
    <w:rsid w:val="16181094"/>
    <w:rsid w:val="16AB2114"/>
    <w:rsid w:val="17861B62"/>
    <w:rsid w:val="17AD1BE5"/>
    <w:rsid w:val="18582532"/>
    <w:rsid w:val="1971594F"/>
    <w:rsid w:val="1A5D4F03"/>
    <w:rsid w:val="1B0B0136"/>
    <w:rsid w:val="1B6F0B84"/>
    <w:rsid w:val="1C72178E"/>
    <w:rsid w:val="1E92208D"/>
    <w:rsid w:val="1EF1268E"/>
    <w:rsid w:val="1F1902EA"/>
    <w:rsid w:val="21EF529B"/>
    <w:rsid w:val="221A7B60"/>
    <w:rsid w:val="237E037C"/>
    <w:rsid w:val="2400534A"/>
    <w:rsid w:val="2487226C"/>
    <w:rsid w:val="24D16FC7"/>
    <w:rsid w:val="24E95BAC"/>
    <w:rsid w:val="27580973"/>
    <w:rsid w:val="28E155E0"/>
    <w:rsid w:val="296C4D0F"/>
    <w:rsid w:val="2A3A2A62"/>
    <w:rsid w:val="2A880687"/>
    <w:rsid w:val="2A9B2F20"/>
    <w:rsid w:val="2AC1385C"/>
    <w:rsid w:val="2DC41141"/>
    <w:rsid w:val="2F874B39"/>
    <w:rsid w:val="305F1D0D"/>
    <w:rsid w:val="323F2F4E"/>
    <w:rsid w:val="3550389B"/>
    <w:rsid w:val="35925C72"/>
    <w:rsid w:val="35A56ED2"/>
    <w:rsid w:val="37F55E32"/>
    <w:rsid w:val="38B61002"/>
    <w:rsid w:val="38F73B89"/>
    <w:rsid w:val="398048E2"/>
    <w:rsid w:val="3B7B7DCA"/>
    <w:rsid w:val="3B9D177C"/>
    <w:rsid w:val="3B9E5F39"/>
    <w:rsid w:val="3BB2617C"/>
    <w:rsid w:val="3C0A47E2"/>
    <w:rsid w:val="3CA67D65"/>
    <w:rsid w:val="3D4E71D1"/>
    <w:rsid w:val="3D6A5F84"/>
    <w:rsid w:val="3F434F85"/>
    <w:rsid w:val="3F5D3F49"/>
    <w:rsid w:val="41246404"/>
    <w:rsid w:val="426824C9"/>
    <w:rsid w:val="43A51ADC"/>
    <w:rsid w:val="4420631A"/>
    <w:rsid w:val="44670B79"/>
    <w:rsid w:val="45513D03"/>
    <w:rsid w:val="4706523C"/>
    <w:rsid w:val="47BF382A"/>
    <w:rsid w:val="47D25F19"/>
    <w:rsid w:val="487304A1"/>
    <w:rsid w:val="48E00C7E"/>
    <w:rsid w:val="49E00980"/>
    <w:rsid w:val="4A526E10"/>
    <w:rsid w:val="4B9B63F7"/>
    <w:rsid w:val="4BA27480"/>
    <w:rsid w:val="4CB97180"/>
    <w:rsid w:val="4D1C1598"/>
    <w:rsid w:val="4F334479"/>
    <w:rsid w:val="4FA004C7"/>
    <w:rsid w:val="51DB0B9F"/>
    <w:rsid w:val="52275F28"/>
    <w:rsid w:val="52B7267A"/>
    <w:rsid w:val="52FB1D3C"/>
    <w:rsid w:val="53453A8A"/>
    <w:rsid w:val="53B37937"/>
    <w:rsid w:val="53ED6C78"/>
    <w:rsid w:val="55A92695"/>
    <w:rsid w:val="577F0628"/>
    <w:rsid w:val="58A4548E"/>
    <w:rsid w:val="59DA659E"/>
    <w:rsid w:val="5B7974DD"/>
    <w:rsid w:val="5CAC586B"/>
    <w:rsid w:val="5D3A2F82"/>
    <w:rsid w:val="5D413B19"/>
    <w:rsid w:val="5DC139FB"/>
    <w:rsid w:val="5E5A5A9B"/>
    <w:rsid w:val="5E5E77BF"/>
    <w:rsid w:val="5F3A1CE9"/>
    <w:rsid w:val="5F4617CA"/>
    <w:rsid w:val="61D21440"/>
    <w:rsid w:val="634431BA"/>
    <w:rsid w:val="64C0096C"/>
    <w:rsid w:val="6724058B"/>
    <w:rsid w:val="67E0709C"/>
    <w:rsid w:val="67F27D07"/>
    <w:rsid w:val="68400EBA"/>
    <w:rsid w:val="6B4E48AF"/>
    <w:rsid w:val="6B8F22B9"/>
    <w:rsid w:val="6E3704FE"/>
    <w:rsid w:val="6E7A7577"/>
    <w:rsid w:val="71D40F60"/>
    <w:rsid w:val="7228762A"/>
    <w:rsid w:val="7546251E"/>
    <w:rsid w:val="759977B7"/>
    <w:rsid w:val="76095F7B"/>
    <w:rsid w:val="786120E9"/>
    <w:rsid w:val="787139D3"/>
    <w:rsid w:val="793A736F"/>
    <w:rsid w:val="793D53D5"/>
    <w:rsid w:val="79791F2A"/>
    <w:rsid w:val="7A332250"/>
    <w:rsid w:val="7A4D688D"/>
    <w:rsid w:val="7A996FD7"/>
    <w:rsid w:val="7AAC6D0A"/>
    <w:rsid w:val="7AB61937"/>
    <w:rsid w:val="7E994343"/>
    <w:rsid w:val="7F3C2C7B"/>
    <w:rsid w:val="7F917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16623126-76E1-5E4F-AADF-B671CC03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DengXian" w:eastAsia="DengXian" w:hAnsi="DengXian"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footer"/>
    <w:basedOn w:val="a"/>
    <w:uiPriority w:val="99"/>
    <w:unhideWhenUsed/>
    <w:qFormat/>
    <w:pPr>
      <w:tabs>
        <w:tab w:val="center" w:pos="4153"/>
        <w:tab w:val="right" w:pos="8306"/>
      </w:tabs>
      <w:snapToGrid w:val="0"/>
      <w:jc w:val="left"/>
    </w:pPr>
    <w:rPr>
      <w:sz w:val="18"/>
    </w:rPr>
  </w:style>
  <w:style w:type="paragraph" w:styleId="a6">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7">
    <w:name w:val="annotation subject"/>
    <w:basedOn w:val="a3"/>
    <w:next w:val="a3"/>
    <w:link w:val="a8"/>
    <w:uiPriority w:val="99"/>
    <w:unhideWhenUsed/>
    <w:qFormat/>
    <w:rPr>
      <w:b/>
      <w:bCs/>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rPr>
  </w:style>
  <w:style w:type="character" w:styleId="ab">
    <w:name w:val="annotation reference"/>
    <w:basedOn w:val="a0"/>
    <w:uiPriority w:val="99"/>
    <w:unhideWhenUsed/>
    <w:qFormat/>
    <w:rPr>
      <w:sz w:val="16"/>
      <w:szCs w:val="16"/>
    </w:rPr>
  </w:style>
  <w:style w:type="character" w:customStyle="1" w:styleId="a4">
    <w:name w:val="批注文字 字符"/>
    <w:basedOn w:val="a0"/>
    <w:link w:val="a3"/>
    <w:uiPriority w:val="99"/>
    <w:semiHidden/>
    <w:qFormat/>
    <w:rPr>
      <w:sz w:val="20"/>
      <w:szCs w:val="20"/>
    </w:rPr>
  </w:style>
  <w:style w:type="character" w:customStyle="1" w:styleId="a8">
    <w:name w:val="批注主题 字符"/>
    <w:basedOn w:val="a4"/>
    <w:link w:val="a7"/>
    <w:uiPriority w:val="99"/>
    <w:semiHidden/>
    <w:qFormat/>
    <w:rPr>
      <w:b/>
      <w:bCs/>
      <w:sz w:val="20"/>
      <w:szCs w:val="20"/>
    </w:rPr>
  </w:style>
  <w:style w:type="paragraph" w:customStyle="1" w:styleId="1">
    <w:name w:val="修订1"/>
    <w:uiPriority w:val="99"/>
    <w:semiHidden/>
    <w:qFormat/>
    <w:rPr>
      <w:rFonts w:ascii="DengXian" w:eastAsia="DengXian" w:hAnsi="DengXian" w:cs="Arial"/>
      <w:kern w:val="2"/>
      <w:sz w:val="21"/>
      <w:szCs w:val="24"/>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2">
    <w:name w:val="CM2"/>
    <w:basedOn w:val="Default"/>
    <w:next w:val="Default"/>
    <w:qFormat/>
    <w:pPr>
      <w:spacing w:after="373"/>
    </w:pPr>
    <w:rPr>
      <w:rFonts w:cs="Times New Roman"/>
      <w:color w:val="auto"/>
    </w:rPr>
  </w:style>
  <w:style w:type="character" w:customStyle="1" w:styleId="font151">
    <w:name w:val="font151"/>
    <w:basedOn w:val="a0"/>
    <w:qFormat/>
    <w:rPr>
      <w:rFonts w:ascii="宋体" w:eastAsia="宋体" w:hAnsi="宋体" w:cs="宋体" w:hint="eastAsia"/>
      <w:b/>
      <w:bCs/>
      <w:color w:val="000000"/>
      <w:sz w:val="18"/>
      <w:szCs w:val="18"/>
      <w:u w:val="none"/>
    </w:rPr>
  </w:style>
  <w:style w:type="character" w:customStyle="1" w:styleId="font21">
    <w:name w:val="font21"/>
    <w:basedOn w:val="a0"/>
    <w:qFormat/>
    <w:rPr>
      <w:rFonts w:ascii="Times New Roman" w:hAnsi="Times New Roman" w:cs="Times New Roman" w:hint="default"/>
      <w:b/>
      <w:bCs/>
      <w:color w:val="000000"/>
      <w:sz w:val="18"/>
      <w:szCs w:val="18"/>
      <w:u w:val="none"/>
    </w:rPr>
  </w:style>
  <w:style w:type="paragraph" w:styleId="ac">
    <w:name w:val="No Spacing"/>
    <w:uiPriority w:val="1"/>
    <w:qFormat/>
    <w:rPr>
      <w:rFonts w:asciiTheme="minorHAnsi" w:eastAsiaTheme="minorEastAsia" w:hAnsiTheme="minorHAnsi" w:cstheme="minorBidi"/>
      <w:sz w:val="22"/>
      <w:szCs w:val="22"/>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3737</Words>
  <Characters>21307</Characters>
  <Application>Microsoft Office Word</Application>
  <DocSecurity>0</DocSecurity>
  <Lines>177</Lines>
  <Paragraphs>49</Paragraphs>
  <ScaleCrop>false</ScaleCrop>
  <Company/>
  <LinksUpToDate>false</LinksUpToDate>
  <CharactersWithSpaces>24995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jiaxum@outlook.com</cp:lastModifiedBy>
  <cp:revision>2</cp:revision>
  <cp:lastPrinted>2025-03-17T13:49:00Z</cp:lastPrinted>
  <dcterms:created xsi:type="dcterms:W3CDTF">2025-03-18T02:15:00Z</dcterms:created>
  <dcterms:modified xsi:type="dcterms:W3CDTF">2025-03-18T02:15:00Z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B392722254A0410FB91ED342E083AB38_13</vt:lpwstr>
  </property>
</Properties>
</file>