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9011C20" w14:textId="77777777" w:rsidR="00211143" w:rsidRDefault="00000000">
      <w:pPr>
        <w:spacing w:line="480" w:lineRule="auto"/>
        <w:rPr>
          <w:b/>
          <w:bCs/>
        </w:rPr>
      </w:pPr>
      <w:r>
        <w:rPr>
          <w:b/>
          <w:bCs/>
        </w:rPr>
        <w:t>Supplementary Table 1</w:t>
      </w:r>
    </w:p>
    <w:tbl>
      <w:tblPr>
        <w:tblW w:w="0" w:type="auto"/>
        <w:tblBorders>
          <w:top w:val="none" w:sz="12" w:space="0" w:color="000000" w:themeColor="text1"/>
          <w:left w:val="none" w:sz="12" w:space="0" w:color="000000" w:themeColor="text1"/>
          <w:bottom w:val="none" w:sz="12" w:space="0" w:color="000000" w:themeColor="text1"/>
          <w:right w:val="none" w:sz="12" w:space="0" w:color="000000" w:themeColor="text1"/>
          <w:insideH w:val="none" w:sz="12" w:space="0" w:color="000000" w:themeColor="text1"/>
          <w:insideV w:val="none" w:sz="12" w:space="0" w:color="000000" w:themeColor="text1"/>
        </w:tblBorders>
        <w:tblLook w:val="04A0" w:firstRow="1" w:lastRow="0" w:firstColumn="1" w:lastColumn="0" w:noHBand="0" w:noVBand="1"/>
      </w:tblPr>
      <w:tblGrid>
        <w:gridCol w:w="2124"/>
        <w:gridCol w:w="3370"/>
        <w:gridCol w:w="3532"/>
      </w:tblGrid>
      <w:tr w:rsidR="00211143" w14:paraId="3B8DF6BB" w14:textId="77777777">
        <w:trPr>
          <w:trHeight w:val="576"/>
        </w:trPr>
        <w:tc>
          <w:tcPr>
            <w:tcW w:w="9026" w:type="dxa"/>
            <w:gridSpan w:val="3"/>
            <w:tcBorders>
              <w:top w:val="single" w:sz="12" w:space="0" w:color="000000" w:themeColor="text1"/>
              <w:left w:val="nil"/>
              <w:bottom w:val="single" w:sz="12" w:space="0" w:color="000000" w:themeColor="text1"/>
              <w:right w:val="nil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4AA0D549" w14:textId="77777777" w:rsidR="00211143" w:rsidRDefault="00000000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>
              <w:rPr>
                <w:b/>
                <w:bCs/>
                <w:color w:val="000000" w:themeColor="text1"/>
                <w:sz w:val="22"/>
                <w:szCs w:val="22"/>
              </w:rPr>
              <w:t>Difference in Lesion Count (</w:t>
            </w:r>
            <w:r>
              <w:rPr>
                <w:b/>
                <w:bCs/>
                <w:color w:val="000000" w:themeColor="text1"/>
                <w:sz w:val="22"/>
                <w:szCs w:val="22"/>
                <w:lang w:val="en-US"/>
              </w:rPr>
              <w:t>U</w:t>
            </w:r>
            <w:r>
              <w:rPr>
                <w:b/>
                <w:bCs/>
                <w:color w:val="000000" w:themeColor="text1"/>
                <w:sz w:val="22"/>
                <w:szCs w:val="22"/>
              </w:rPr>
              <w:t>WF OCTA vs WF CFP) - Independent Gradings</w:t>
            </w:r>
          </w:p>
          <w:p w14:paraId="17232D4F" w14:textId="77777777" w:rsidR="00211143" w:rsidRDefault="00211143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</w:tr>
      <w:tr w:rsidR="00211143" w14:paraId="4BAD74BE" w14:textId="77777777">
        <w:trPr>
          <w:trHeight w:val="260"/>
        </w:trPr>
        <w:tc>
          <w:tcPr>
            <w:tcW w:w="2124" w:type="dxa"/>
            <w:tcBorders>
              <w:top w:val="single" w:sz="12" w:space="0" w:color="000000" w:themeColor="text1"/>
              <w:left w:val="nil"/>
              <w:bottom w:val="nil"/>
              <w:right w:val="nil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03F4544" w14:textId="77777777" w:rsidR="00211143" w:rsidRDefault="00000000">
            <w:pPr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Baseline variable</w:t>
            </w:r>
          </w:p>
        </w:tc>
        <w:tc>
          <w:tcPr>
            <w:tcW w:w="3370" w:type="dxa"/>
            <w:tcBorders>
              <w:top w:val="single" w:sz="12" w:space="0" w:color="000000" w:themeColor="text1"/>
              <w:left w:val="nil"/>
              <w:bottom w:val="nil"/>
              <w:right w:val="nil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265119AC" w14:textId="77777777" w:rsidR="00211143" w:rsidRDefault="00000000">
            <w:pPr>
              <w:jc w:val="right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Coefficient (95% CI)</w:t>
            </w:r>
          </w:p>
        </w:tc>
        <w:tc>
          <w:tcPr>
            <w:tcW w:w="3532" w:type="dxa"/>
            <w:tcBorders>
              <w:top w:val="single" w:sz="12" w:space="0" w:color="000000" w:themeColor="text1"/>
              <w:left w:val="nil"/>
              <w:bottom w:val="nil"/>
              <w:right w:val="nil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10529868" w14:textId="77777777" w:rsidR="00211143" w:rsidRDefault="00000000">
            <w:pPr>
              <w:jc w:val="right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P-value</w:t>
            </w:r>
          </w:p>
        </w:tc>
      </w:tr>
      <w:tr w:rsidR="00211143" w14:paraId="23CBAFF5" w14:textId="77777777">
        <w:trPr>
          <w:trHeight w:val="576"/>
        </w:trPr>
        <w:tc>
          <w:tcPr>
            <w:tcW w:w="9026" w:type="dxa"/>
            <w:gridSpan w:val="3"/>
            <w:tcBorders>
              <w:top w:val="single" w:sz="6" w:space="0" w:color="000000" w:themeColor="text1"/>
              <w:left w:val="nil"/>
              <w:bottom w:val="single" w:sz="12" w:space="0" w:color="000000" w:themeColor="text1"/>
              <w:right w:val="nil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864883F" w14:textId="77777777" w:rsidR="00211143" w:rsidRDefault="00000000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>
              <w:rPr>
                <w:b/>
                <w:bCs/>
                <w:color w:val="000000" w:themeColor="text1"/>
                <w:sz w:val="22"/>
                <w:szCs w:val="22"/>
              </w:rPr>
              <w:t>IRMA Counts (NPDR Eyes)</w:t>
            </w:r>
          </w:p>
        </w:tc>
      </w:tr>
      <w:tr w:rsidR="00211143" w14:paraId="7D8AEDE5" w14:textId="77777777">
        <w:trPr>
          <w:trHeight w:val="576"/>
        </w:trPr>
        <w:tc>
          <w:tcPr>
            <w:tcW w:w="2124" w:type="dxa"/>
            <w:tcBorders>
              <w:top w:val="single" w:sz="12" w:space="0" w:color="000000" w:themeColor="text1"/>
              <w:left w:val="nil"/>
              <w:bottom w:val="single" w:sz="12" w:space="0" w:color="000000" w:themeColor="text1"/>
              <w:right w:val="nil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82A0007" w14:textId="77777777" w:rsidR="00211143" w:rsidRDefault="00000000">
            <w:pPr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Age</w:t>
            </w:r>
          </w:p>
        </w:tc>
        <w:tc>
          <w:tcPr>
            <w:tcW w:w="3370" w:type="dxa"/>
            <w:tcBorders>
              <w:top w:val="single" w:sz="12" w:space="0" w:color="000000" w:themeColor="text1"/>
              <w:left w:val="nil"/>
              <w:bottom w:val="single" w:sz="12" w:space="0" w:color="000000" w:themeColor="text1"/>
              <w:right w:val="nil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E4FE4F5" w14:textId="77777777" w:rsidR="00211143" w:rsidRDefault="00000000">
            <w:pPr>
              <w:jc w:val="right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-0.06 (-0.18, 0.06)</w:t>
            </w:r>
          </w:p>
        </w:tc>
        <w:tc>
          <w:tcPr>
            <w:tcW w:w="3532" w:type="dxa"/>
            <w:tcBorders>
              <w:top w:val="single" w:sz="12" w:space="0" w:color="000000" w:themeColor="text1"/>
              <w:left w:val="nil"/>
              <w:bottom w:val="single" w:sz="12" w:space="0" w:color="000000" w:themeColor="text1"/>
              <w:right w:val="nil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A0F71BB" w14:textId="77777777" w:rsidR="00211143" w:rsidRDefault="00000000">
            <w:pPr>
              <w:jc w:val="right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0.299</w:t>
            </w:r>
          </w:p>
        </w:tc>
      </w:tr>
      <w:tr w:rsidR="00211143" w14:paraId="61764EC5" w14:textId="77777777">
        <w:trPr>
          <w:trHeight w:val="576"/>
        </w:trPr>
        <w:tc>
          <w:tcPr>
            <w:tcW w:w="2124" w:type="dxa"/>
            <w:tcBorders>
              <w:top w:val="nil"/>
              <w:left w:val="nil"/>
              <w:bottom w:val="single" w:sz="12" w:space="0" w:color="000000" w:themeColor="text1"/>
              <w:right w:val="nil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5D557A9" w14:textId="77777777" w:rsidR="00211143" w:rsidRDefault="00000000">
            <w:pPr>
              <w:rPr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color w:val="000000" w:themeColor="text1"/>
                <w:sz w:val="22"/>
                <w:szCs w:val="22"/>
              </w:rPr>
              <w:t>Cataract</w:t>
            </w:r>
          </w:p>
        </w:tc>
        <w:tc>
          <w:tcPr>
            <w:tcW w:w="3370" w:type="dxa"/>
            <w:tcBorders>
              <w:top w:val="nil"/>
              <w:left w:val="nil"/>
              <w:bottom w:val="single" w:sz="12" w:space="0" w:color="000000" w:themeColor="text1"/>
              <w:right w:val="nil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490D6C4" w14:textId="77777777" w:rsidR="00211143" w:rsidRDefault="00000000">
            <w:pPr>
              <w:jc w:val="right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3.11 (-0.21, 6.43)</w:t>
            </w:r>
          </w:p>
        </w:tc>
        <w:tc>
          <w:tcPr>
            <w:tcW w:w="3532" w:type="dxa"/>
            <w:tcBorders>
              <w:top w:val="nil"/>
              <w:left w:val="nil"/>
              <w:bottom w:val="single" w:sz="12" w:space="0" w:color="000000" w:themeColor="text1"/>
              <w:right w:val="nil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38C1E60" w14:textId="77777777" w:rsidR="00211143" w:rsidRDefault="00000000">
            <w:pPr>
              <w:jc w:val="right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0.072</w:t>
            </w:r>
          </w:p>
        </w:tc>
      </w:tr>
      <w:tr w:rsidR="00211143" w14:paraId="50D94446" w14:textId="77777777">
        <w:trPr>
          <w:trHeight w:val="576"/>
        </w:trPr>
        <w:tc>
          <w:tcPr>
            <w:tcW w:w="2124" w:type="dxa"/>
            <w:tcBorders>
              <w:top w:val="single" w:sz="12" w:space="0" w:color="000000" w:themeColor="text1"/>
              <w:left w:val="nil"/>
              <w:bottom w:val="single" w:sz="12" w:space="0" w:color="000000" w:themeColor="text1"/>
              <w:right w:val="nil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2B8CC30" w14:textId="77777777" w:rsidR="00211143" w:rsidRDefault="00000000">
            <w:pPr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Pseudophakic</w:t>
            </w:r>
          </w:p>
        </w:tc>
        <w:tc>
          <w:tcPr>
            <w:tcW w:w="3370" w:type="dxa"/>
            <w:tcBorders>
              <w:top w:val="single" w:sz="12" w:space="0" w:color="000000" w:themeColor="text1"/>
              <w:left w:val="nil"/>
              <w:bottom w:val="single" w:sz="12" w:space="0" w:color="000000" w:themeColor="text1"/>
              <w:right w:val="nil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67E0123" w14:textId="77777777" w:rsidR="00211143" w:rsidRDefault="00000000">
            <w:pPr>
              <w:jc w:val="right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2.45 (-1.64, 6.54)</w:t>
            </w:r>
          </w:p>
        </w:tc>
        <w:tc>
          <w:tcPr>
            <w:tcW w:w="3532" w:type="dxa"/>
            <w:tcBorders>
              <w:top w:val="single" w:sz="12" w:space="0" w:color="000000" w:themeColor="text1"/>
              <w:left w:val="nil"/>
              <w:bottom w:val="single" w:sz="12" w:space="0" w:color="000000" w:themeColor="text1"/>
              <w:right w:val="nil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AFE824B" w14:textId="77777777" w:rsidR="00211143" w:rsidRDefault="00000000">
            <w:pPr>
              <w:jc w:val="right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0.245</w:t>
            </w:r>
          </w:p>
        </w:tc>
      </w:tr>
      <w:tr w:rsidR="00211143" w14:paraId="61AF7F8F" w14:textId="77777777">
        <w:trPr>
          <w:trHeight w:val="576"/>
        </w:trPr>
        <w:tc>
          <w:tcPr>
            <w:tcW w:w="2124" w:type="dxa"/>
            <w:tcBorders>
              <w:top w:val="single" w:sz="12" w:space="0" w:color="000000" w:themeColor="text1"/>
              <w:left w:val="nil"/>
              <w:bottom w:val="single" w:sz="12" w:space="0" w:color="000000" w:themeColor="text1"/>
              <w:right w:val="nil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A1D00C8" w14:textId="77777777" w:rsidR="00211143" w:rsidRDefault="00000000">
            <w:pPr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BCVA (</w:t>
            </w:r>
            <w:proofErr w:type="spellStart"/>
            <w:r>
              <w:rPr>
                <w:color w:val="000000" w:themeColor="text1"/>
                <w:sz w:val="22"/>
                <w:szCs w:val="22"/>
              </w:rPr>
              <w:t>logMAR</w:t>
            </w:r>
            <w:proofErr w:type="spellEnd"/>
            <w:r>
              <w:rPr>
                <w:color w:val="000000" w:themeColor="text1"/>
                <w:sz w:val="22"/>
                <w:szCs w:val="22"/>
              </w:rPr>
              <w:t>)</w:t>
            </w:r>
          </w:p>
        </w:tc>
        <w:tc>
          <w:tcPr>
            <w:tcW w:w="3370" w:type="dxa"/>
            <w:tcBorders>
              <w:top w:val="single" w:sz="12" w:space="0" w:color="000000" w:themeColor="text1"/>
              <w:left w:val="nil"/>
              <w:bottom w:val="single" w:sz="12" w:space="0" w:color="000000" w:themeColor="text1"/>
              <w:right w:val="nil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5B3B9D9" w14:textId="77777777" w:rsidR="00211143" w:rsidRDefault="00000000">
            <w:pPr>
              <w:jc w:val="right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0.63 (-2.22, 3.49)</w:t>
            </w:r>
          </w:p>
        </w:tc>
        <w:tc>
          <w:tcPr>
            <w:tcW w:w="3532" w:type="dxa"/>
            <w:tcBorders>
              <w:top w:val="single" w:sz="12" w:space="0" w:color="000000" w:themeColor="text1"/>
              <w:left w:val="nil"/>
              <w:bottom w:val="single" w:sz="12" w:space="0" w:color="000000" w:themeColor="text1"/>
              <w:right w:val="nil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AED6E5B" w14:textId="77777777" w:rsidR="00211143" w:rsidRDefault="00000000">
            <w:pPr>
              <w:jc w:val="right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0.664</w:t>
            </w:r>
          </w:p>
        </w:tc>
      </w:tr>
      <w:tr w:rsidR="00211143" w14:paraId="147F78FC" w14:textId="77777777">
        <w:trPr>
          <w:trHeight w:val="576"/>
        </w:trPr>
        <w:tc>
          <w:tcPr>
            <w:tcW w:w="9026" w:type="dxa"/>
            <w:gridSpan w:val="3"/>
            <w:tcBorders>
              <w:top w:val="single" w:sz="6" w:space="0" w:color="000000" w:themeColor="text1"/>
              <w:left w:val="nil"/>
              <w:bottom w:val="single" w:sz="12" w:space="0" w:color="000000" w:themeColor="text1"/>
              <w:right w:val="nil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4BD7D5F" w14:textId="77777777" w:rsidR="00211143" w:rsidRDefault="00000000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>
              <w:rPr>
                <w:b/>
                <w:bCs/>
                <w:color w:val="000000" w:themeColor="text1"/>
                <w:sz w:val="22"/>
                <w:szCs w:val="22"/>
              </w:rPr>
              <w:t>NV Counts (PDR Eyes)</w:t>
            </w:r>
          </w:p>
        </w:tc>
      </w:tr>
      <w:tr w:rsidR="00211143" w14:paraId="7D80FACE" w14:textId="77777777">
        <w:trPr>
          <w:trHeight w:val="576"/>
        </w:trPr>
        <w:tc>
          <w:tcPr>
            <w:tcW w:w="2124" w:type="dxa"/>
            <w:tcBorders>
              <w:top w:val="single" w:sz="12" w:space="0" w:color="000000" w:themeColor="text1"/>
              <w:left w:val="nil"/>
              <w:bottom w:val="single" w:sz="4" w:space="0" w:color="auto"/>
              <w:right w:val="nil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9511C5B" w14:textId="77777777" w:rsidR="00211143" w:rsidRDefault="00000000">
            <w:pPr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Age </w:t>
            </w:r>
          </w:p>
        </w:tc>
        <w:tc>
          <w:tcPr>
            <w:tcW w:w="3370" w:type="dxa"/>
            <w:tcBorders>
              <w:top w:val="single" w:sz="12" w:space="0" w:color="000000" w:themeColor="text1"/>
              <w:left w:val="nil"/>
              <w:bottom w:val="single" w:sz="4" w:space="0" w:color="auto"/>
              <w:right w:val="nil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7B9D3D5" w14:textId="77777777" w:rsidR="00211143" w:rsidRDefault="00000000">
            <w:pPr>
              <w:jc w:val="right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-0.01 (-0.24, 0.22)</w:t>
            </w:r>
          </w:p>
        </w:tc>
        <w:tc>
          <w:tcPr>
            <w:tcW w:w="3532" w:type="dxa"/>
            <w:tcBorders>
              <w:top w:val="single" w:sz="12" w:space="0" w:color="000000" w:themeColor="text1"/>
              <w:left w:val="nil"/>
              <w:bottom w:val="single" w:sz="4" w:space="0" w:color="auto"/>
              <w:right w:val="nil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F00671F" w14:textId="77777777" w:rsidR="00211143" w:rsidRDefault="00000000">
            <w:pPr>
              <w:jc w:val="right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0.933</w:t>
            </w:r>
          </w:p>
        </w:tc>
      </w:tr>
      <w:tr w:rsidR="00211143" w14:paraId="6FFE8981" w14:textId="77777777">
        <w:trPr>
          <w:trHeight w:val="576"/>
        </w:trPr>
        <w:tc>
          <w:tcPr>
            <w:tcW w:w="212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822BC6D" w14:textId="77777777" w:rsidR="00211143" w:rsidRDefault="00000000">
            <w:pPr>
              <w:rPr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color w:val="000000" w:themeColor="text1"/>
                <w:sz w:val="22"/>
                <w:szCs w:val="22"/>
              </w:rPr>
              <w:t>Cataract</w:t>
            </w:r>
          </w:p>
        </w:tc>
        <w:tc>
          <w:tcPr>
            <w:tcW w:w="33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7A38AB9" w14:textId="77777777" w:rsidR="00211143" w:rsidRDefault="00000000">
            <w:pPr>
              <w:jc w:val="right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0.37 (-5.59, 6.33)</w:t>
            </w:r>
          </w:p>
        </w:tc>
        <w:tc>
          <w:tcPr>
            <w:tcW w:w="353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80DAEFA" w14:textId="77777777" w:rsidR="00211143" w:rsidRDefault="00000000">
            <w:pPr>
              <w:jc w:val="right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0.904</w:t>
            </w:r>
          </w:p>
        </w:tc>
      </w:tr>
      <w:tr w:rsidR="00211143" w14:paraId="74CE35B0" w14:textId="77777777">
        <w:trPr>
          <w:trHeight w:val="576"/>
        </w:trPr>
        <w:tc>
          <w:tcPr>
            <w:tcW w:w="212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2EE0E28" w14:textId="77777777" w:rsidR="00211143" w:rsidRDefault="00000000">
            <w:pPr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Pseudophakic</w:t>
            </w:r>
          </w:p>
        </w:tc>
        <w:tc>
          <w:tcPr>
            <w:tcW w:w="33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1A1C469" w14:textId="77777777" w:rsidR="00211143" w:rsidRDefault="00000000">
            <w:pPr>
              <w:jc w:val="right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-0.58 (-9.51, 8.34)</w:t>
            </w:r>
          </w:p>
        </w:tc>
        <w:tc>
          <w:tcPr>
            <w:tcW w:w="353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5F8CC9B" w14:textId="77777777" w:rsidR="00211143" w:rsidRDefault="00000000">
            <w:pPr>
              <w:jc w:val="right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0.899</w:t>
            </w:r>
          </w:p>
        </w:tc>
      </w:tr>
      <w:tr w:rsidR="00211143" w14:paraId="04472908" w14:textId="77777777">
        <w:trPr>
          <w:trHeight w:val="576"/>
        </w:trPr>
        <w:tc>
          <w:tcPr>
            <w:tcW w:w="212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5EEA9E9" w14:textId="77777777" w:rsidR="00211143" w:rsidRDefault="00000000">
            <w:pPr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BCVA (</w:t>
            </w:r>
            <w:proofErr w:type="spellStart"/>
            <w:r>
              <w:rPr>
                <w:color w:val="000000" w:themeColor="text1"/>
                <w:sz w:val="22"/>
                <w:szCs w:val="22"/>
              </w:rPr>
              <w:t>logMAR</w:t>
            </w:r>
            <w:proofErr w:type="spellEnd"/>
            <w:r>
              <w:rPr>
                <w:color w:val="000000" w:themeColor="text1"/>
                <w:sz w:val="22"/>
                <w:szCs w:val="22"/>
              </w:rPr>
              <w:t>)</w:t>
            </w:r>
          </w:p>
        </w:tc>
        <w:tc>
          <w:tcPr>
            <w:tcW w:w="33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FF9049E" w14:textId="77777777" w:rsidR="00211143" w:rsidRDefault="00000000">
            <w:pPr>
              <w:jc w:val="right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-0.67 (-3.79, 2.45)</w:t>
            </w:r>
          </w:p>
        </w:tc>
        <w:tc>
          <w:tcPr>
            <w:tcW w:w="353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F330B59" w14:textId="77777777" w:rsidR="00211143" w:rsidRDefault="00000000">
            <w:pPr>
              <w:jc w:val="right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0.680</w:t>
            </w:r>
          </w:p>
        </w:tc>
      </w:tr>
    </w:tbl>
    <w:p w14:paraId="38FDC743" w14:textId="25D48142" w:rsidR="00211143" w:rsidRDefault="00000000" w:rsidP="007B5055">
      <w:pPr>
        <w:spacing w:before="240"/>
        <w:rPr>
          <w:color w:val="000000" w:themeColor="text1"/>
        </w:rPr>
      </w:pPr>
      <w:r>
        <w:rPr>
          <w:color w:val="000000" w:themeColor="text1"/>
        </w:rPr>
        <w:t xml:space="preserve">Supplementary Table 1: Multivariate Regression Analysis used to analyse the effect of baseline variables on IRMA counts among NPDR eyes and NV counts among PDR eyes when graded independently on WF CFP and </w:t>
      </w:r>
      <w:r>
        <w:rPr>
          <w:color w:val="000000" w:themeColor="text1"/>
          <w:lang w:val="en-US"/>
        </w:rPr>
        <w:t>U</w:t>
      </w:r>
      <w:r>
        <w:rPr>
          <w:color w:val="000000" w:themeColor="text1"/>
        </w:rPr>
        <w:t xml:space="preserve">WF OCTA. Reference category for Lens Status: Phakic. </w:t>
      </w:r>
      <w:r>
        <w:t xml:space="preserve">WF: Widefield, CFP: Colour Fundus Photography, </w:t>
      </w:r>
      <w:r>
        <w:rPr>
          <w:lang w:val="en-US"/>
        </w:rPr>
        <w:t xml:space="preserve">UWF </w:t>
      </w:r>
      <w:r>
        <w:t xml:space="preserve">OCTA: </w:t>
      </w:r>
      <w:r>
        <w:rPr>
          <w:lang w:val="en-US"/>
        </w:rPr>
        <w:t>Ultrawide</w:t>
      </w:r>
      <w:r w:rsidR="00AA40D0">
        <w:rPr>
          <w:lang w:val="en-US"/>
        </w:rPr>
        <w:t>-</w:t>
      </w:r>
      <w:r>
        <w:rPr>
          <w:lang w:val="en-US"/>
        </w:rPr>
        <w:t xml:space="preserve">field </w:t>
      </w:r>
      <w:r>
        <w:t>Optical Coherence Tomography Angiography, IRMA: Intraretinal microvascular abnormality, NV: Neovascularization NPDR: Non-proliferative Diabetic Retinopathy, PDR: Proliferative Diabetic Retinopathy, BCVA: Best Corrected Visual Acuity.</w:t>
      </w:r>
    </w:p>
    <w:p w14:paraId="7AD22762" w14:textId="77777777" w:rsidR="00211143" w:rsidRDefault="00211143" w:rsidP="007B5055"/>
    <w:sectPr w:rsidR="0021114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A33191D" w14:textId="77777777" w:rsidR="002E4F08" w:rsidRDefault="002E4F08">
      <w:r>
        <w:separator/>
      </w:r>
    </w:p>
  </w:endnote>
  <w:endnote w:type="continuationSeparator" w:id="0">
    <w:p w14:paraId="5AED9E03" w14:textId="77777777" w:rsidR="002E4F08" w:rsidRDefault="002E4F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D575A08" w14:textId="77777777" w:rsidR="002E4F08" w:rsidRDefault="002E4F08">
      <w:r>
        <w:separator/>
      </w:r>
    </w:p>
  </w:footnote>
  <w:footnote w:type="continuationSeparator" w:id="0">
    <w:p w14:paraId="539D4557" w14:textId="77777777" w:rsidR="002E4F08" w:rsidRDefault="002E4F08">
      <w:r>
        <w:continuationSeparator/>
      </w:r>
    </w:p>
  </w:footnote>
</w:footnote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91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5615"/>
    <w:rsid w:val="00125615"/>
    <w:rsid w:val="001A54B9"/>
    <w:rsid w:val="00211143"/>
    <w:rsid w:val="002C4C4D"/>
    <w:rsid w:val="002E4F08"/>
    <w:rsid w:val="003B08FC"/>
    <w:rsid w:val="00440E55"/>
    <w:rsid w:val="005E60B8"/>
    <w:rsid w:val="007B5055"/>
    <w:rsid w:val="007C2F5D"/>
    <w:rsid w:val="009538EB"/>
    <w:rsid w:val="00A12668"/>
    <w:rsid w:val="00A94B5F"/>
    <w:rsid w:val="00AA40D0"/>
    <w:rsid w:val="00D1079D"/>
    <w:rsid w:val="0C5F8006"/>
    <w:rsid w:val="FED8D6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3B005F4"/>
  <w15:docId w15:val="{7FAF6218-C4B0-9743-9020-9764D1ECA1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lang w:val="en-SG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62626" w:themeColor="text1" w:themeTint="D9"/>
      <w:kern w:val="2"/>
      <w:lang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62626" w:themeColor="text1" w:themeTint="D9"/>
      <w:kern w:val="2"/>
      <w:lang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Subtitle">
    <w:name w:val="Subtitle"/>
    <w:basedOn w:val="Normal"/>
    <w:next w:val="Normal"/>
    <w:link w:val="SubtitleChar"/>
    <w:uiPriority w:val="11"/>
    <w:qFormat/>
    <w:p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Pr>
      <w:rFonts w:eastAsiaTheme="majorEastAsia" w:cstheme="majorBidi"/>
      <w:i/>
      <w:iCs/>
      <w:color w:val="262626" w:themeColor="text1" w:themeTint="D9"/>
    </w:rPr>
  </w:style>
  <w:style w:type="character" w:customStyle="1" w:styleId="Heading9Char">
    <w:name w:val="Heading 9 Char"/>
    <w:basedOn w:val="DefaultParagraphFont"/>
    <w:link w:val="Heading9"/>
    <w:uiPriority w:val="9"/>
    <w:semiHidden/>
    <w:rPr>
      <w:rFonts w:eastAsiaTheme="majorEastAsia" w:cstheme="majorBidi"/>
      <w:color w:val="262626" w:themeColor="text1" w:themeTint="D9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itleChar">
    <w:name w:val="Subtitle Char"/>
    <w:basedOn w:val="DefaultParagraphFont"/>
    <w:link w:val="Subtitle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customStyle="1" w:styleId="IntenseEmphasis1">
    <w:name w:val="Intense Emphasis1"/>
    <w:basedOn w:val="DefaultParagraphFont"/>
    <w:uiPriority w:val="21"/>
    <w:qFormat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i/>
      <w:iCs/>
      <w:color w:val="0F4761" w:themeColor="accent1" w:themeShade="BF"/>
    </w:rPr>
  </w:style>
  <w:style w:type="character" w:customStyle="1" w:styleId="IntenseReference1">
    <w:name w:val="Intense Reference1"/>
    <w:basedOn w:val="DefaultParagraphFont"/>
    <w:uiPriority w:val="32"/>
    <w:qFormat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156</Words>
  <Characters>894</Characters>
  <Application>Microsoft Office Word</Application>
  <DocSecurity>0</DocSecurity>
  <Lines>7</Lines>
  <Paragraphs>2</Paragraphs>
  <ScaleCrop>false</ScaleCrop>
  <Company/>
  <LinksUpToDate>false</LinksUpToDate>
  <CharactersWithSpaces>1048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#PANIHARAM VENKATA PAVAN SAI RANGANATH#</dc:creator>
  <cp:lastModifiedBy>Yusra Asad</cp:lastModifiedBy>
  <cp:revision>3</cp:revision>
  <dcterms:created xsi:type="dcterms:W3CDTF">2026-07-17T16:26:00Z</dcterms:created>
  <dcterms:modified xsi:type="dcterms:W3CDTF">2026-07-17T16:27:00Z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1033-12.1.25880.25880</vt:lpwstr>
  </property>
  <property fmtid="{D5CDD505-2E9C-101B-9397-08002B2CF9AE}" pid="3" name="ICV">
    <vt:lpwstr>9E0E83470492C0E52C51536ACD55F93B_42</vt:lpwstr>
  </property>
</Properties>
</file>