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090E46" w14:textId="77777777" w:rsidR="007C3D5C" w:rsidRDefault="007C3D5C">
      <w:pPr>
        <w:spacing w:before="240" w:line="480" w:lineRule="auto"/>
        <w:rPr>
          <w:color w:val="000000" w:themeColor="text1"/>
        </w:rPr>
      </w:pPr>
    </w:p>
    <w:p w14:paraId="7F756207" w14:textId="77777777" w:rsidR="007C3D5C" w:rsidRDefault="00000000">
      <w:pPr>
        <w:spacing w:line="480" w:lineRule="auto"/>
        <w:rPr>
          <w:b/>
          <w:bCs/>
        </w:rPr>
      </w:pPr>
      <w:r>
        <w:rPr>
          <w:b/>
          <w:bCs/>
        </w:rPr>
        <w:t>Supplementary Table 2</w:t>
      </w:r>
    </w:p>
    <w:tbl>
      <w:tblP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124"/>
        <w:gridCol w:w="3370"/>
        <w:gridCol w:w="3532"/>
      </w:tblGrid>
      <w:tr w:rsidR="007C3D5C" w14:paraId="6DFE4788" w14:textId="77777777">
        <w:trPr>
          <w:trHeight w:val="576"/>
        </w:trPr>
        <w:tc>
          <w:tcPr>
            <w:tcW w:w="9026" w:type="dxa"/>
            <w:gridSpan w:val="3"/>
            <w:tcBorders>
              <w:top w:val="single" w:sz="12" w:space="0" w:color="000000" w:themeColor="text1"/>
              <w:left w:val="nil"/>
              <w:bottom w:val="single" w:sz="12" w:space="0" w:color="000000" w:themeColor="text1"/>
              <w:right w:val="nil"/>
            </w:tcBorders>
            <w:tcMar>
              <w:top w:w="90" w:type="dxa"/>
              <w:left w:w="90" w:type="dxa"/>
              <w:bottom w:w="90" w:type="dxa"/>
              <w:right w:w="90" w:type="dxa"/>
            </w:tcMar>
          </w:tcPr>
          <w:p w14:paraId="553E9523" w14:textId="77777777" w:rsidR="007C3D5C" w:rsidRDefault="00000000">
            <w:pPr>
              <w:jc w:val="center"/>
              <w:rPr>
                <w:b/>
                <w:bCs/>
                <w:color w:val="000000" w:themeColor="text1"/>
                <w:sz w:val="22"/>
                <w:szCs w:val="22"/>
              </w:rPr>
            </w:pPr>
            <w:r>
              <w:rPr>
                <w:b/>
                <w:bCs/>
                <w:color w:val="000000" w:themeColor="text1"/>
                <w:sz w:val="22"/>
                <w:szCs w:val="22"/>
              </w:rPr>
              <w:t>Difference in Lesion Count (</w:t>
            </w:r>
            <w:r>
              <w:rPr>
                <w:b/>
                <w:bCs/>
                <w:color w:val="000000" w:themeColor="text1"/>
                <w:sz w:val="22"/>
                <w:szCs w:val="22"/>
                <w:lang w:val="en-US"/>
              </w:rPr>
              <w:t>U</w:t>
            </w:r>
            <w:r>
              <w:rPr>
                <w:b/>
                <w:bCs/>
                <w:color w:val="000000" w:themeColor="text1"/>
                <w:sz w:val="22"/>
                <w:szCs w:val="22"/>
              </w:rPr>
              <w:t>WF OCTA vs WF CFP) - Paired Multimodal Review</w:t>
            </w:r>
          </w:p>
          <w:p w14:paraId="5CEC3D73" w14:textId="77777777" w:rsidR="007C3D5C" w:rsidRDefault="007C3D5C">
            <w:pPr>
              <w:jc w:val="center"/>
              <w:rPr>
                <w:color w:val="000000" w:themeColor="text1"/>
                <w:sz w:val="22"/>
                <w:szCs w:val="22"/>
              </w:rPr>
            </w:pPr>
          </w:p>
        </w:tc>
      </w:tr>
      <w:tr w:rsidR="007C3D5C" w14:paraId="2DE1867E" w14:textId="77777777">
        <w:trPr>
          <w:trHeight w:val="315"/>
        </w:trPr>
        <w:tc>
          <w:tcPr>
            <w:tcW w:w="2124" w:type="dxa"/>
            <w:tcBorders>
              <w:top w:val="single" w:sz="12" w:space="0" w:color="000000" w:themeColor="text1"/>
              <w:left w:val="nil"/>
              <w:bottom w:val="nil"/>
              <w:right w:val="nil"/>
            </w:tcBorders>
            <w:tcMar>
              <w:top w:w="90" w:type="dxa"/>
              <w:left w:w="90" w:type="dxa"/>
              <w:bottom w:w="90" w:type="dxa"/>
              <w:right w:w="90" w:type="dxa"/>
            </w:tcMar>
            <w:vAlign w:val="center"/>
          </w:tcPr>
          <w:p w14:paraId="4F0B15AE" w14:textId="77777777" w:rsidR="007C3D5C" w:rsidRDefault="00000000">
            <w:pPr>
              <w:rPr>
                <w:color w:val="000000" w:themeColor="text1"/>
                <w:sz w:val="22"/>
                <w:szCs w:val="22"/>
              </w:rPr>
            </w:pPr>
            <w:r>
              <w:rPr>
                <w:color w:val="000000" w:themeColor="text1"/>
                <w:sz w:val="22"/>
                <w:szCs w:val="22"/>
              </w:rPr>
              <w:t>Baseline variable</w:t>
            </w:r>
          </w:p>
        </w:tc>
        <w:tc>
          <w:tcPr>
            <w:tcW w:w="3370" w:type="dxa"/>
            <w:tcBorders>
              <w:top w:val="single" w:sz="12" w:space="0" w:color="000000" w:themeColor="text1"/>
              <w:left w:val="nil"/>
              <w:bottom w:val="nil"/>
              <w:right w:val="nil"/>
            </w:tcBorders>
            <w:tcMar>
              <w:top w:w="90" w:type="dxa"/>
              <w:left w:w="90" w:type="dxa"/>
              <w:bottom w:w="90" w:type="dxa"/>
              <w:right w:w="90" w:type="dxa"/>
            </w:tcMar>
          </w:tcPr>
          <w:p w14:paraId="774B95FD" w14:textId="77777777" w:rsidR="007C3D5C" w:rsidRDefault="00000000">
            <w:pPr>
              <w:jc w:val="right"/>
              <w:rPr>
                <w:color w:val="000000" w:themeColor="text1"/>
                <w:sz w:val="22"/>
                <w:szCs w:val="22"/>
              </w:rPr>
            </w:pPr>
            <w:r>
              <w:rPr>
                <w:color w:val="000000" w:themeColor="text1"/>
                <w:sz w:val="22"/>
                <w:szCs w:val="22"/>
              </w:rPr>
              <w:t>Coefficient (95% CI)</w:t>
            </w:r>
          </w:p>
        </w:tc>
        <w:tc>
          <w:tcPr>
            <w:tcW w:w="3532" w:type="dxa"/>
            <w:tcBorders>
              <w:top w:val="single" w:sz="12" w:space="0" w:color="000000" w:themeColor="text1"/>
              <w:left w:val="nil"/>
              <w:bottom w:val="nil"/>
              <w:right w:val="nil"/>
            </w:tcBorders>
            <w:tcMar>
              <w:top w:w="90" w:type="dxa"/>
              <w:left w:w="90" w:type="dxa"/>
              <w:bottom w:w="90" w:type="dxa"/>
              <w:right w:w="90" w:type="dxa"/>
            </w:tcMar>
          </w:tcPr>
          <w:p w14:paraId="29C60CB0" w14:textId="77777777" w:rsidR="007C3D5C" w:rsidRDefault="00000000">
            <w:pPr>
              <w:jc w:val="right"/>
              <w:rPr>
                <w:color w:val="000000" w:themeColor="text1"/>
                <w:sz w:val="22"/>
                <w:szCs w:val="22"/>
              </w:rPr>
            </w:pPr>
            <w:r>
              <w:rPr>
                <w:color w:val="000000" w:themeColor="text1"/>
                <w:sz w:val="22"/>
                <w:szCs w:val="22"/>
              </w:rPr>
              <w:t>P-value</w:t>
            </w:r>
          </w:p>
        </w:tc>
      </w:tr>
      <w:tr w:rsidR="007C3D5C" w14:paraId="29E3AF6D" w14:textId="77777777">
        <w:trPr>
          <w:trHeight w:val="576"/>
        </w:trPr>
        <w:tc>
          <w:tcPr>
            <w:tcW w:w="9026" w:type="dxa"/>
            <w:gridSpan w:val="3"/>
            <w:tcBorders>
              <w:top w:val="single" w:sz="6" w:space="0" w:color="000000" w:themeColor="text1"/>
              <w:left w:val="nil"/>
              <w:bottom w:val="single" w:sz="12" w:space="0" w:color="000000" w:themeColor="text1"/>
              <w:right w:val="nil"/>
            </w:tcBorders>
            <w:tcMar>
              <w:top w:w="90" w:type="dxa"/>
              <w:left w:w="90" w:type="dxa"/>
              <w:bottom w:w="90" w:type="dxa"/>
              <w:right w:w="90" w:type="dxa"/>
            </w:tcMar>
            <w:vAlign w:val="center"/>
          </w:tcPr>
          <w:p w14:paraId="3FF15F59" w14:textId="77777777" w:rsidR="007C3D5C" w:rsidRDefault="00000000">
            <w:pPr>
              <w:jc w:val="center"/>
              <w:rPr>
                <w:b/>
                <w:bCs/>
                <w:color w:val="000000" w:themeColor="text1"/>
                <w:sz w:val="22"/>
                <w:szCs w:val="22"/>
              </w:rPr>
            </w:pPr>
            <w:r>
              <w:rPr>
                <w:b/>
                <w:bCs/>
                <w:color w:val="000000" w:themeColor="text1"/>
                <w:sz w:val="22"/>
                <w:szCs w:val="22"/>
              </w:rPr>
              <w:t>IRMA Counts (NPDR Eyes)</w:t>
            </w:r>
          </w:p>
        </w:tc>
      </w:tr>
      <w:tr w:rsidR="007C3D5C" w14:paraId="4066392C" w14:textId="77777777">
        <w:trPr>
          <w:trHeight w:val="576"/>
        </w:trPr>
        <w:tc>
          <w:tcPr>
            <w:tcW w:w="2124" w:type="dxa"/>
            <w:tcBorders>
              <w:top w:val="single" w:sz="12" w:space="0" w:color="000000" w:themeColor="text1"/>
              <w:left w:val="nil"/>
              <w:bottom w:val="single" w:sz="12" w:space="0" w:color="000000" w:themeColor="text1"/>
              <w:right w:val="nil"/>
            </w:tcBorders>
            <w:tcMar>
              <w:top w:w="90" w:type="dxa"/>
              <w:left w:w="90" w:type="dxa"/>
              <w:bottom w:w="90" w:type="dxa"/>
              <w:right w:w="90" w:type="dxa"/>
            </w:tcMar>
            <w:vAlign w:val="center"/>
          </w:tcPr>
          <w:p w14:paraId="1ECDB720" w14:textId="77777777" w:rsidR="007C3D5C" w:rsidRDefault="00000000">
            <w:pPr>
              <w:rPr>
                <w:color w:val="000000" w:themeColor="text1"/>
                <w:sz w:val="22"/>
                <w:szCs w:val="22"/>
              </w:rPr>
            </w:pPr>
            <w:r>
              <w:rPr>
                <w:color w:val="000000" w:themeColor="text1"/>
                <w:sz w:val="22"/>
                <w:szCs w:val="22"/>
              </w:rPr>
              <w:t>Age</w:t>
            </w:r>
          </w:p>
        </w:tc>
        <w:tc>
          <w:tcPr>
            <w:tcW w:w="3370" w:type="dxa"/>
            <w:tcBorders>
              <w:top w:val="single" w:sz="12" w:space="0" w:color="000000" w:themeColor="text1"/>
              <w:left w:val="nil"/>
              <w:bottom w:val="single" w:sz="12" w:space="0" w:color="000000" w:themeColor="text1"/>
              <w:right w:val="nil"/>
            </w:tcBorders>
            <w:tcMar>
              <w:top w:w="90" w:type="dxa"/>
              <w:left w:w="90" w:type="dxa"/>
              <w:bottom w:w="90" w:type="dxa"/>
              <w:right w:w="90" w:type="dxa"/>
            </w:tcMar>
            <w:vAlign w:val="center"/>
          </w:tcPr>
          <w:p w14:paraId="54F707E3" w14:textId="77777777" w:rsidR="007C3D5C" w:rsidRDefault="00000000">
            <w:pPr>
              <w:jc w:val="right"/>
              <w:rPr>
                <w:color w:val="000000" w:themeColor="text1"/>
                <w:sz w:val="22"/>
                <w:szCs w:val="22"/>
              </w:rPr>
            </w:pPr>
            <w:r>
              <w:rPr>
                <w:color w:val="000000" w:themeColor="text1"/>
                <w:sz w:val="22"/>
                <w:szCs w:val="22"/>
              </w:rPr>
              <w:t>-0.04 (-0.16, 0.08)</w:t>
            </w:r>
          </w:p>
        </w:tc>
        <w:tc>
          <w:tcPr>
            <w:tcW w:w="3532" w:type="dxa"/>
            <w:tcBorders>
              <w:top w:val="single" w:sz="12" w:space="0" w:color="000000" w:themeColor="text1"/>
              <w:left w:val="nil"/>
              <w:bottom w:val="single" w:sz="12" w:space="0" w:color="000000" w:themeColor="text1"/>
              <w:right w:val="nil"/>
            </w:tcBorders>
            <w:tcMar>
              <w:top w:w="90" w:type="dxa"/>
              <w:left w:w="90" w:type="dxa"/>
              <w:bottom w:w="90" w:type="dxa"/>
              <w:right w:w="90" w:type="dxa"/>
            </w:tcMar>
            <w:vAlign w:val="center"/>
          </w:tcPr>
          <w:p w14:paraId="23F67153" w14:textId="77777777" w:rsidR="007C3D5C" w:rsidRDefault="00000000">
            <w:pPr>
              <w:jc w:val="right"/>
              <w:rPr>
                <w:color w:val="000000" w:themeColor="text1"/>
                <w:sz w:val="22"/>
                <w:szCs w:val="22"/>
              </w:rPr>
            </w:pPr>
            <w:r>
              <w:rPr>
                <w:color w:val="000000" w:themeColor="text1"/>
                <w:sz w:val="22"/>
                <w:szCs w:val="22"/>
              </w:rPr>
              <w:t>0.529</w:t>
            </w:r>
          </w:p>
        </w:tc>
      </w:tr>
      <w:tr w:rsidR="007C3D5C" w14:paraId="4192B134" w14:textId="77777777">
        <w:trPr>
          <w:trHeight w:val="576"/>
        </w:trPr>
        <w:tc>
          <w:tcPr>
            <w:tcW w:w="2124" w:type="dxa"/>
            <w:tcBorders>
              <w:top w:val="nil"/>
              <w:left w:val="nil"/>
              <w:bottom w:val="single" w:sz="12" w:space="0" w:color="000000" w:themeColor="text1"/>
              <w:right w:val="nil"/>
            </w:tcBorders>
            <w:tcMar>
              <w:top w:w="90" w:type="dxa"/>
              <w:left w:w="90" w:type="dxa"/>
              <w:bottom w:w="90" w:type="dxa"/>
              <w:right w:w="90" w:type="dxa"/>
            </w:tcMar>
            <w:vAlign w:val="center"/>
          </w:tcPr>
          <w:p w14:paraId="2CAC136B" w14:textId="77777777" w:rsidR="007C3D5C" w:rsidRDefault="00000000">
            <w:pPr>
              <w:rPr>
                <w:color w:val="000000" w:themeColor="text1"/>
                <w:sz w:val="22"/>
                <w:szCs w:val="22"/>
                <w:lang w:val="en-US"/>
              </w:rPr>
            </w:pPr>
            <w:r>
              <w:rPr>
                <w:color w:val="000000" w:themeColor="text1"/>
                <w:sz w:val="22"/>
                <w:szCs w:val="22"/>
              </w:rPr>
              <w:t>Cataract</w:t>
            </w:r>
          </w:p>
        </w:tc>
        <w:tc>
          <w:tcPr>
            <w:tcW w:w="3370" w:type="dxa"/>
            <w:tcBorders>
              <w:top w:val="nil"/>
              <w:left w:val="nil"/>
              <w:bottom w:val="single" w:sz="12" w:space="0" w:color="000000" w:themeColor="text1"/>
              <w:right w:val="nil"/>
            </w:tcBorders>
            <w:tcMar>
              <w:top w:w="90" w:type="dxa"/>
              <w:left w:w="90" w:type="dxa"/>
              <w:bottom w:w="90" w:type="dxa"/>
              <w:right w:w="90" w:type="dxa"/>
            </w:tcMar>
            <w:vAlign w:val="center"/>
          </w:tcPr>
          <w:p w14:paraId="6071BFD1" w14:textId="77777777" w:rsidR="007C3D5C" w:rsidRDefault="00000000">
            <w:pPr>
              <w:jc w:val="right"/>
              <w:rPr>
                <w:color w:val="000000" w:themeColor="text1"/>
                <w:sz w:val="22"/>
                <w:szCs w:val="22"/>
              </w:rPr>
            </w:pPr>
            <w:r>
              <w:rPr>
                <w:color w:val="000000" w:themeColor="text1"/>
                <w:sz w:val="22"/>
                <w:szCs w:val="22"/>
              </w:rPr>
              <w:t>2.68 (-0.68, 6.04)</w:t>
            </w:r>
          </w:p>
        </w:tc>
        <w:tc>
          <w:tcPr>
            <w:tcW w:w="3532" w:type="dxa"/>
            <w:tcBorders>
              <w:top w:val="nil"/>
              <w:left w:val="nil"/>
              <w:bottom w:val="single" w:sz="12" w:space="0" w:color="000000" w:themeColor="text1"/>
              <w:right w:val="nil"/>
            </w:tcBorders>
            <w:tcMar>
              <w:top w:w="90" w:type="dxa"/>
              <w:left w:w="90" w:type="dxa"/>
              <w:bottom w:w="90" w:type="dxa"/>
              <w:right w:w="90" w:type="dxa"/>
            </w:tcMar>
            <w:vAlign w:val="center"/>
          </w:tcPr>
          <w:p w14:paraId="06D8ADDD" w14:textId="77777777" w:rsidR="007C3D5C" w:rsidRDefault="00000000">
            <w:pPr>
              <w:jc w:val="right"/>
              <w:rPr>
                <w:color w:val="000000" w:themeColor="text1"/>
                <w:sz w:val="22"/>
                <w:szCs w:val="22"/>
              </w:rPr>
            </w:pPr>
            <w:r>
              <w:rPr>
                <w:color w:val="000000" w:themeColor="text1"/>
                <w:sz w:val="22"/>
                <w:szCs w:val="22"/>
              </w:rPr>
              <w:t>0.124</w:t>
            </w:r>
          </w:p>
        </w:tc>
      </w:tr>
      <w:tr w:rsidR="007C3D5C" w14:paraId="67AE86A1" w14:textId="77777777">
        <w:trPr>
          <w:trHeight w:val="576"/>
        </w:trPr>
        <w:tc>
          <w:tcPr>
            <w:tcW w:w="2124" w:type="dxa"/>
            <w:tcBorders>
              <w:top w:val="single" w:sz="12" w:space="0" w:color="000000" w:themeColor="text1"/>
              <w:left w:val="nil"/>
              <w:bottom w:val="single" w:sz="12" w:space="0" w:color="000000" w:themeColor="text1"/>
              <w:right w:val="nil"/>
            </w:tcBorders>
            <w:tcMar>
              <w:top w:w="90" w:type="dxa"/>
              <w:left w:w="90" w:type="dxa"/>
              <w:bottom w:w="90" w:type="dxa"/>
              <w:right w:w="90" w:type="dxa"/>
            </w:tcMar>
            <w:vAlign w:val="center"/>
          </w:tcPr>
          <w:p w14:paraId="33A50164" w14:textId="77777777" w:rsidR="007C3D5C" w:rsidRDefault="00000000">
            <w:pPr>
              <w:rPr>
                <w:color w:val="000000" w:themeColor="text1"/>
                <w:sz w:val="22"/>
                <w:szCs w:val="22"/>
              </w:rPr>
            </w:pPr>
            <w:r>
              <w:rPr>
                <w:color w:val="000000" w:themeColor="text1"/>
                <w:sz w:val="22"/>
                <w:szCs w:val="22"/>
              </w:rPr>
              <w:t>Pseudophakic</w:t>
            </w:r>
          </w:p>
        </w:tc>
        <w:tc>
          <w:tcPr>
            <w:tcW w:w="3370" w:type="dxa"/>
            <w:tcBorders>
              <w:top w:val="single" w:sz="12" w:space="0" w:color="000000" w:themeColor="text1"/>
              <w:left w:val="nil"/>
              <w:bottom w:val="single" w:sz="12" w:space="0" w:color="000000" w:themeColor="text1"/>
              <w:right w:val="nil"/>
            </w:tcBorders>
            <w:tcMar>
              <w:top w:w="90" w:type="dxa"/>
              <w:left w:w="90" w:type="dxa"/>
              <w:bottom w:w="90" w:type="dxa"/>
              <w:right w:w="90" w:type="dxa"/>
            </w:tcMar>
            <w:vAlign w:val="center"/>
          </w:tcPr>
          <w:p w14:paraId="5C332993" w14:textId="77777777" w:rsidR="007C3D5C" w:rsidRDefault="00000000">
            <w:pPr>
              <w:jc w:val="right"/>
              <w:rPr>
                <w:color w:val="000000" w:themeColor="text1"/>
                <w:sz w:val="22"/>
                <w:szCs w:val="22"/>
              </w:rPr>
            </w:pPr>
            <w:r>
              <w:rPr>
                <w:color w:val="000000" w:themeColor="text1"/>
                <w:sz w:val="22"/>
                <w:szCs w:val="22"/>
              </w:rPr>
              <w:t>1.79 (-2.39, 5.96)</w:t>
            </w:r>
          </w:p>
        </w:tc>
        <w:tc>
          <w:tcPr>
            <w:tcW w:w="3532" w:type="dxa"/>
            <w:tcBorders>
              <w:top w:val="single" w:sz="12" w:space="0" w:color="000000" w:themeColor="text1"/>
              <w:left w:val="nil"/>
              <w:bottom w:val="single" w:sz="12" w:space="0" w:color="000000" w:themeColor="text1"/>
              <w:right w:val="nil"/>
            </w:tcBorders>
            <w:tcMar>
              <w:top w:w="90" w:type="dxa"/>
              <w:left w:w="90" w:type="dxa"/>
              <w:bottom w:w="90" w:type="dxa"/>
              <w:right w:w="90" w:type="dxa"/>
            </w:tcMar>
            <w:vAlign w:val="center"/>
          </w:tcPr>
          <w:p w14:paraId="31CEDAD9" w14:textId="77777777" w:rsidR="007C3D5C" w:rsidRDefault="00000000">
            <w:pPr>
              <w:jc w:val="right"/>
              <w:rPr>
                <w:color w:val="000000" w:themeColor="text1"/>
                <w:sz w:val="22"/>
                <w:szCs w:val="22"/>
              </w:rPr>
            </w:pPr>
            <w:r>
              <w:rPr>
                <w:color w:val="000000" w:themeColor="text1"/>
                <w:sz w:val="22"/>
                <w:szCs w:val="22"/>
              </w:rPr>
              <w:t>0.405</w:t>
            </w:r>
          </w:p>
        </w:tc>
      </w:tr>
      <w:tr w:rsidR="007C3D5C" w14:paraId="155CE3AD" w14:textId="77777777">
        <w:trPr>
          <w:trHeight w:val="576"/>
        </w:trPr>
        <w:tc>
          <w:tcPr>
            <w:tcW w:w="2124" w:type="dxa"/>
            <w:tcBorders>
              <w:top w:val="single" w:sz="12" w:space="0" w:color="000000" w:themeColor="text1"/>
              <w:left w:val="nil"/>
              <w:bottom w:val="single" w:sz="12" w:space="0" w:color="000000" w:themeColor="text1"/>
              <w:right w:val="nil"/>
            </w:tcBorders>
            <w:tcMar>
              <w:top w:w="90" w:type="dxa"/>
              <w:left w:w="90" w:type="dxa"/>
              <w:bottom w:w="90" w:type="dxa"/>
              <w:right w:w="90" w:type="dxa"/>
            </w:tcMar>
            <w:vAlign w:val="center"/>
          </w:tcPr>
          <w:p w14:paraId="2D6FB97D" w14:textId="77777777" w:rsidR="007C3D5C" w:rsidRDefault="00000000">
            <w:pPr>
              <w:rPr>
                <w:color w:val="000000" w:themeColor="text1"/>
                <w:sz w:val="22"/>
                <w:szCs w:val="22"/>
              </w:rPr>
            </w:pPr>
            <w:r>
              <w:rPr>
                <w:color w:val="000000" w:themeColor="text1"/>
                <w:sz w:val="22"/>
                <w:szCs w:val="22"/>
              </w:rPr>
              <w:t>BCVA (</w:t>
            </w:r>
            <w:proofErr w:type="spellStart"/>
            <w:r>
              <w:rPr>
                <w:color w:val="000000" w:themeColor="text1"/>
                <w:sz w:val="22"/>
                <w:szCs w:val="22"/>
              </w:rPr>
              <w:t>logMAR</w:t>
            </w:r>
            <w:proofErr w:type="spellEnd"/>
            <w:r>
              <w:rPr>
                <w:color w:val="000000" w:themeColor="text1"/>
                <w:sz w:val="22"/>
                <w:szCs w:val="22"/>
              </w:rPr>
              <w:t>)</w:t>
            </w:r>
          </w:p>
        </w:tc>
        <w:tc>
          <w:tcPr>
            <w:tcW w:w="3370" w:type="dxa"/>
            <w:tcBorders>
              <w:top w:val="single" w:sz="12" w:space="0" w:color="000000" w:themeColor="text1"/>
              <w:left w:val="nil"/>
              <w:bottom w:val="single" w:sz="12" w:space="0" w:color="000000" w:themeColor="text1"/>
              <w:right w:val="nil"/>
            </w:tcBorders>
            <w:tcMar>
              <w:top w:w="90" w:type="dxa"/>
              <w:left w:w="90" w:type="dxa"/>
              <w:bottom w:w="90" w:type="dxa"/>
              <w:right w:w="90" w:type="dxa"/>
            </w:tcMar>
            <w:vAlign w:val="center"/>
          </w:tcPr>
          <w:p w14:paraId="322BB293" w14:textId="77777777" w:rsidR="007C3D5C" w:rsidRDefault="00000000">
            <w:pPr>
              <w:jc w:val="right"/>
              <w:rPr>
                <w:color w:val="000000" w:themeColor="text1"/>
                <w:sz w:val="22"/>
                <w:szCs w:val="22"/>
              </w:rPr>
            </w:pPr>
            <w:r>
              <w:rPr>
                <w:color w:val="000000" w:themeColor="text1"/>
                <w:sz w:val="22"/>
                <w:szCs w:val="22"/>
              </w:rPr>
              <w:t>0.70 (-2.26, 3.66)</w:t>
            </w:r>
          </w:p>
        </w:tc>
        <w:tc>
          <w:tcPr>
            <w:tcW w:w="3532" w:type="dxa"/>
            <w:tcBorders>
              <w:top w:val="single" w:sz="12" w:space="0" w:color="000000" w:themeColor="text1"/>
              <w:left w:val="nil"/>
              <w:bottom w:val="single" w:sz="12" w:space="0" w:color="000000" w:themeColor="text1"/>
              <w:right w:val="nil"/>
            </w:tcBorders>
            <w:tcMar>
              <w:top w:w="90" w:type="dxa"/>
              <w:left w:w="90" w:type="dxa"/>
              <w:bottom w:w="90" w:type="dxa"/>
              <w:right w:w="90" w:type="dxa"/>
            </w:tcMar>
            <w:vAlign w:val="center"/>
          </w:tcPr>
          <w:p w14:paraId="516E73CA" w14:textId="77777777" w:rsidR="007C3D5C" w:rsidRDefault="00000000">
            <w:pPr>
              <w:jc w:val="right"/>
              <w:rPr>
                <w:color w:val="000000" w:themeColor="text1"/>
                <w:sz w:val="22"/>
                <w:szCs w:val="22"/>
              </w:rPr>
            </w:pPr>
            <w:r>
              <w:rPr>
                <w:color w:val="000000" w:themeColor="text1"/>
                <w:sz w:val="22"/>
                <w:szCs w:val="22"/>
              </w:rPr>
              <w:t>0.644</w:t>
            </w:r>
          </w:p>
        </w:tc>
      </w:tr>
      <w:tr w:rsidR="007C3D5C" w14:paraId="6DEA5458" w14:textId="77777777">
        <w:trPr>
          <w:trHeight w:val="576"/>
        </w:trPr>
        <w:tc>
          <w:tcPr>
            <w:tcW w:w="9026" w:type="dxa"/>
            <w:gridSpan w:val="3"/>
            <w:tcBorders>
              <w:top w:val="single" w:sz="6" w:space="0" w:color="000000" w:themeColor="text1"/>
              <w:left w:val="nil"/>
              <w:bottom w:val="single" w:sz="12" w:space="0" w:color="000000" w:themeColor="text1"/>
              <w:right w:val="nil"/>
            </w:tcBorders>
            <w:tcMar>
              <w:top w:w="90" w:type="dxa"/>
              <w:left w:w="90" w:type="dxa"/>
              <w:bottom w:w="90" w:type="dxa"/>
              <w:right w:w="90" w:type="dxa"/>
            </w:tcMar>
            <w:vAlign w:val="center"/>
          </w:tcPr>
          <w:p w14:paraId="27972EC7" w14:textId="77777777" w:rsidR="007C3D5C" w:rsidRDefault="00000000">
            <w:pPr>
              <w:jc w:val="center"/>
              <w:rPr>
                <w:b/>
                <w:bCs/>
                <w:color w:val="000000" w:themeColor="text1"/>
                <w:sz w:val="22"/>
                <w:szCs w:val="22"/>
              </w:rPr>
            </w:pPr>
            <w:r>
              <w:rPr>
                <w:b/>
                <w:bCs/>
                <w:color w:val="000000" w:themeColor="text1"/>
                <w:sz w:val="22"/>
                <w:szCs w:val="22"/>
              </w:rPr>
              <w:t>NV Counts (PDR Eyes)</w:t>
            </w:r>
          </w:p>
        </w:tc>
      </w:tr>
      <w:tr w:rsidR="007C3D5C" w14:paraId="485C2257" w14:textId="77777777">
        <w:trPr>
          <w:trHeight w:val="576"/>
        </w:trPr>
        <w:tc>
          <w:tcPr>
            <w:tcW w:w="2124" w:type="dxa"/>
            <w:tcBorders>
              <w:top w:val="single" w:sz="12" w:space="0" w:color="000000" w:themeColor="text1"/>
              <w:left w:val="nil"/>
              <w:bottom w:val="single" w:sz="4" w:space="0" w:color="auto"/>
              <w:right w:val="nil"/>
            </w:tcBorders>
            <w:tcMar>
              <w:top w:w="90" w:type="dxa"/>
              <w:left w:w="90" w:type="dxa"/>
              <w:bottom w:w="90" w:type="dxa"/>
              <w:right w:w="90" w:type="dxa"/>
            </w:tcMar>
            <w:vAlign w:val="center"/>
          </w:tcPr>
          <w:p w14:paraId="51B29BD2" w14:textId="77777777" w:rsidR="007C3D5C" w:rsidRDefault="00000000">
            <w:pPr>
              <w:rPr>
                <w:color w:val="000000" w:themeColor="text1"/>
                <w:sz w:val="22"/>
                <w:szCs w:val="22"/>
              </w:rPr>
            </w:pPr>
            <w:r>
              <w:rPr>
                <w:color w:val="000000" w:themeColor="text1"/>
                <w:sz w:val="22"/>
                <w:szCs w:val="22"/>
              </w:rPr>
              <w:t>Age </w:t>
            </w:r>
          </w:p>
        </w:tc>
        <w:tc>
          <w:tcPr>
            <w:tcW w:w="3370" w:type="dxa"/>
            <w:tcBorders>
              <w:top w:val="single" w:sz="12" w:space="0" w:color="000000" w:themeColor="text1"/>
              <w:left w:val="nil"/>
              <w:bottom w:val="single" w:sz="4" w:space="0" w:color="auto"/>
              <w:right w:val="nil"/>
            </w:tcBorders>
            <w:tcMar>
              <w:top w:w="90" w:type="dxa"/>
              <w:left w:w="90" w:type="dxa"/>
              <w:bottom w:w="90" w:type="dxa"/>
              <w:right w:w="90" w:type="dxa"/>
            </w:tcMar>
            <w:vAlign w:val="center"/>
          </w:tcPr>
          <w:p w14:paraId="4C1097D6" w14:textId="77777777" w:rsidR="007C3D5C" w:rsidRDefault="00000000">
            <w:pPr>
              <w:jc w:val="right"/>
              <w:rPr>
                <w:color w:val="000000" w:themeColor="text1"/>
                <w:sz w:val="22"/>
                <w:szCs w:val="22"/>
              </w:rPr>
            </w:pPr>
            <w:r>
              <w:rPr>
                <w:color w:val="000000" w:themeColor="text1"/>
                <w:sz w:val="22"/>
                <w:szCs w:val="22"/>
              </w:rPr>
              <w:t>-0.05 (-0.15, 0.25)</w:t>
            </w:r>
          </w:p>
        </w:tc>
        <w:tc>
          <w:tcPr>
            <w:tcW w:w="3532" w:type="dxa"/>
            <w:tcBorders>
              <w:top w:val="single" w:sz="12" w:space="0" w:color="000000" w:themeColor="text1"/>
              <w:left w:val="nil"/>
              <w:bottom w:val="single" w:sz="4" w:space="0" w:color="auto"/>
              <w:right w:val="nil"/>
            </w:tcBorders>
            <w:tcMar>
              <w:top w:w="90" w:type="dxa"/>
              <w:left w:w="90" w:type="dxa"/>
              <w:bottom w:w="90" w:type="dxa"/>
              <w:right w:w="90" w:type="dxa"/>
            </w:tcMar>
            <w:vAlign w:val="center"/>
          </w:tcPr>
          <w:p w14:paraId="339DD0B3" w14:textId="77777777" w:rsidR="007C3D5C" w:rsidRDefault="00000000">
            <w:pPr>
              <w:jc w:val="right"/>
              <w:rPr>
                <w:color w:val="000000" w:themeColor="text1"/>
                <w:sz w:val="22"/>
                <w:szCs w:val="22"/>
              </w:rPr>
            </w:pPr>
            <w:r>
              <w:rPr>
                <w:color w:val="000000" w:themeColor="text1"/>
                <w:sz w:val="22"/>
                <w:szCs w:val="22"/>
              </w:rPr>
              <w:t>0.617</w:t>
            </w:r>
          </w:p>
        </w:tc>
      </w:tr>
      <w:tr w:rsidR="007C3D5C" w14:paraId="00758152" w14:textId="77777777">
        <w:trPr>
          <w:trHeight w:val="576"/>
        </w:trPr>
        <w:tc>
          <w:tcPr>
            <w:tcW w:w="2124" w:type="dxa"/>
            <w:tcBorders>
              <w:top w:val="single" w:sz="4" w:space="0" w:color="auto"/>
              <w:left w:val="nil"/>
              <w:bottom w:val="single" w:sz="4" w:space="0" w:color="auto"/>
              <w:right w:val="nil"/>
            </w:tcBorders>
            <w:tcMar>
              <w:top w:w="90" w:type="dxa"/>
              <w:left w:w="90" w:type="dxa"/>
              <w:bottom w:w="90" w:type="dxa"/>
              <w:right w:w="90" w:type="dxa"/>
            </w:tcMar>
            <w:vAlign w:val="center"/>
          </w:tcPr>
          <w:p w14:paraId="119E501B" w14:textId="77777777" w:rsidR="007C3D5C" w:rsidRDefault="00000000">
            <w:pPr>
              <w:rPr>
                <w:color w:val="000000" w:themeColor="text1"/>
                <w:sz w:val="22"/>
                <w:szCs w:val="22"/>
                <w:lang w:val="en-US"/>
              </w:rPr>
            </w:pPr>
            <w:r>
              <w:rPr>
                <w:color w:val="000000" w:themeColor="text1"/>
                <w:sz w:val="22"/>
                <w:szCs w:val="22"/>
              </w:rPr>
              <w:t>Cataract</w:t>
            </w:r>
          </w:p>
        </w:tc>
        <w:tc>
          <w:tcPr>
            <w:tcW w:w="3370" w:type="dxa"/>
            <w:tcBorders>
              <w:top w:val="single" w:sz="4" w:space="0" w:color="auto"/>
              <w:left w:val="nil"/>
              <w:bottom w:val="single" w:sz="4" w:space="0" w:color="auto"/>
              <w:right w:val="nil"/>
            </w:tcBorders>
            <w:tcMar>
              <w:top w:w="90" w:type="dxa"/>
              <w:left w:w="90" w:type="dxa"/>
              <w:bottom w:w="90" w:type="dxa"/>
              <w:right w:w="90" w:type="dxa"/>
            </w:tcMar>
            <w:vAlign w:val="center"/>
          </w:tcPr>
          <w:p w14:paraId="0173CFE3" w14:textId="77777777" w:rsidR="007C3D5C" w:rsidRDefault="00000000">
            <w:pPr>
              <w:jc w:val="right"/>
              <w:rPr>
                <w:color w:val="000000" w:themeColor="text1"/>
                <w:sz w:val="22"/>
                <w:szCs w:val="22"/>
              </w:rPr>
            </w:pPr>
            <w:r>
              <w:rPr>
                <w:color w:val="000000" w:themeColor="text1"/>
                <w:sz w:val="22"/>
                <w:szCs w:val="22"/>
              </w:rPr>
              <w:t>0.33 (-4.72, 5.38)</w:t>
            </w:r>
          </w:p>
        </w:tc>
        <w:tc>
          <w:tcPr>
            <w:tcW w:w="3532" w:type="dxa"/>
            <w:tcBorders>
              <w:top w:val="single" w:sz="4" w:space="0" w:color="auto"/>
              <w:left w:val="nil"/>
              <w:bottom w:val="single" w:sz="4" w:space="0" w:color="auto"/>
              <w:right w:val="nil"/>
            </w:tcBorders>
            <w:tcMar>
              <w:top w:w="90" w:type="dxa"/>
              <w:left w:w="90" w:type="dxa"/>
              <w:bottom w:w="90" w:type="dxa"/>
              <w:right w:w="90" w:type="dxa"/>
            </w:tcMar>
            <w:vAlign w:val="center"/>
          </w:tcPr>
          <w:p w14:paraId="52FAF428" w14:textId="77777777" w:rsidR="007C3D5C" w:rsidRDefault="00000000">
            <w:pPr>
              <w:jc w:val="right"/>
              <w:rPr>
                <w:color w:val="000000" w:themeColor="text1"/>
                <w:sz w:val="22"/>
                <w:szCs w:val="22"/>
              </w:rPr>
            </w:pPr>
            <w:r>
              <w:rPr>
                <w:color w:val="000000" w:themeColor="text1"/>
                <w:sz w:val="22"/>
                <w:szCs w:val="22"/>
              </w:rPr>
              <w:t>0.898</w:t>
            </w:r>
          </w:p>
        </w:tc>
      </w:tr>
      <w:tr w:rsidR="007C3D5C" w14:paraId="187452D9" w14:textId="77777777">
        <w:trPr>
          <w:trHeight w:val="576"/>
        </w:trPr>
        <w:tc>
          <w:tcPr>
            <w:tcW w:w="2124" w:type="dxa"/>
            <w:tcBorders>
              <w:top w:val="single" w:sz="4" w:space="0" w:color="auto"/>
              <w:left w:val="nil"/>
              <w:bottom w:val="single" w:sz="4" w:space="0" w:color="auto"/>
              <w:right w:val="nil"/>
            </w:tcBorders>
            <w:tcMar>
              <w:top w:w="90" w:type="dxa"/>
              <w:left w:w="90" w:type="dxa"/>
              <w:bottom w:w="90" w:type="dxa"/>
              <w:right w:w="90" w:type="dxa"/>
            </w:tcMar>
            <w:vAlign w:val="center"/>
          </w:tcPr>
          <w:p w14:paraId="36EEDD1D" w14:textId="77777777" w:rsidR="007C3D5C" w:rsidRDefault="00000000">
            <w:pPr>
              <w:rPr>
                <w:color w:val="000000" w:themeColor="text1"/>
                <w:sz w:val="22"/>
                <w:szCs w:val="22"/>
              </w:rPr>
            </w:pPr>
            <w:proofErr w:type="spellStart"/>
            <w:r>
              <w:rPr>
                <w:color w:val="000000" w:themeColor="text1"/>
                <w:sz w:val="22"/>
                <w:szCs w:val="22"/>
              </w:rPr>
              <w:t>Psuedophakic</w:t>
            </w:r>
            <w:proofErr w:type="spellEnd"/>
          </w:p>
        </w:tc>
        <w:tc>
          <w:tcPr>
            <w:tcW w:w="3370" w:type="dxa"/>
            <w:tcBorders>
              <w:top w:val="single" w:sz="4" w:space="0" w:color="auto"/>
              <w:left w:val="nil"/>
              <w:bottom w:val="single" w:sz="4" w:space="0" w:color="auto"/>
              <w:right w:val="nil"/>
            </w:tcBorders>
            <w:tcMar>
              <w:top w:w="90" w:type="dxa"/>
              <w:left w:w="90" w:type="dxa"/>
              <w:bottom w:w="90" w:type="dxa"/>
              <w:right w:w="90" w:type="dxa"/>
            </w:tcMar>
            <w:vAlign w:val="center"/>
          </w:tcPr>
          <w:p w14:paraId="04A56F77" w14:textId="77777777" w:rsidR="007C3D5C" w:rsidRDefault="00000000">
            <w:pPr>
              <w:jc w:val="right"/>
              <w:rPr>
                <w:color w:val="000000" w:themeColor="text1"/>
                <w:sz w:val="22"/>
                <w:szCs w:val="22"/>
              </w:rPr>
            </w:pPr>
            <w:r>
              <w:rPr>
                <w:color w:val="000000" w:themeColor="text1"/>
                <w:sz w:val="22"/>
                <w:szCs w:val="22"/>
              </w:rPr>
              <w:t>0.22 (-7.40, 7.84)</w:t>
            </w:r>
          </w:p>
        </w:tc>
        <w:tc>
          <w:tcPr>
            <w:tcW w:w="3532" w:type="dxa"/>
            <w:tcBorders>
              <w:top w:val="single" w:sz="4" w:space="0" w:color="auto"/>
              <w:left w:val="nil"/>
              <w:bottom w:val="single" w:sz="4" w:space="0" w:color="auto"/>
              <w:right w:val="nil"/>
            </w:tcBorders>
            <w:tcMar>
              <w:top w:w="90" w:type="dxa"/>
              <w:left w:w="90" w:type="dxa"/>
              <w:bottom w:w="90" w:type="dxa"/>
              <w:right w:w="90" w:type="dxa"/>
            </w:tcMar>
            <w:vAlign w:val="center"/>
          </w:tcPr>
          <w:p w14:paraId="59B1E393" w14:textId="77777777" w:rsidR="007C3D5C" w:rsidRDefault="00000000">
            <w:pPr>
              <w:jc w:val="right"/>
              <w:rPr>
                <w:color w:val="000000" w:themeColor="text1"/>
                <w:sz w:val="22"/>
                <w:szCs w:val="22"/>
              </w:rPr>
            </w:pPr>
            <w:r>
              <w:rPr>
                <w:color w:val="000000" w:themeColor="text1"/>
                <w:sz w:val="22"/>
                <w:szCs w:val="22"/>
              </w:rPr>
              <w:t>0.955</w:t>
            </w:r>
          </w:p>
        </w:tc>
      </w:tr>
      <w:tr w:rsidR="007C3D5C" w14:paraId="0054B8C0" w14:textId="77777777">
        <w:trPr>
          <w:trHeight w:val="576"/>
        </w:trPr>
        <w:tc>
          <w:tcPr>
            <w:tcW w:w="2124" w:type="dxa"/>
            <w:tcBorders>
              <w:top w:val="single" w:sz="4" w:space="0" w:color="auto"/>
              <w:left w:val="nil"/>
              <w:bottom w:val="single" w:sz="4" w:space="0" w:color="auto"/>
              <w:right w:val="nil"/>
            </w:tcBorders>
            <w:tcMar>
              <w:top w:w="90" w:type="dxa"/>
              <w:left w:w="90" w:type="dxa"/>
              <w:bottom w:w="90" w:type="dxa"/>
              <w:right w:w="90" w:type="dxa"/>
            </w:tcMar>
            <w:vAlign w:val="center"/>
          </w:tcPr>
          <w:p w14:paraId="419B1D82" w14:textId="77777777" w:rsidR="007C3D5C" w:rsidRDefault="00000000">
            <w:pPr>
              <w:rPr>
                <w:color w:val="000000" w:themeColor="text1"/>
                <w:sz w:val="22"/>
                <w:szCs w:val="22"/>
              </w:rPr>
            </w:pPr>
            <w:r>
              <w:rPr>
                <w:color w:val="000000" w:themeColor="text1"/>
                <w:sz w:val="22"/>
                <w:szCs w:val="22"/>
              </w:rPr>
              <w:t>BCVA (</w:t>
            </w:r>
            <w:proofErr w:type="spellStart"/>
            <w:r>
              <w:rPr>
                <w:color w:val="000000" w:themeColor="text1"/>
                <w:sz w:val="22"/>
                <w:szCs w:val="22"/>
              </w:rPr>
              <w:t>logMAR</w:t>
            </w:r>
            <w:proofErr w:type="spellEnd"/>
            <w:r>
              <w:rPr>
                <w:color w:val="000000" w:themeColor="text1"/>
                <w:sz w:val="22"/>
                <w:szCs w:val="22"/>
              </w:rPr>
              <w:t>)</w:t>
            </w:r>
          </w:p>
        </w:tc>
        <w:tc>
          <w:tcPr>
            <w:tcW w:w="3370" w:type="dxa"/>
            <w:tcBorders>
              <w:top w:val="single" w:sz="4" w:space="0" w:color="auto"/>
              <w:left w:val="nil"/>
              <w:bottom w:val="single" w:sz="4" w:space="0" w:color="auto"/>
              <w:right w:val="nil"/>
            </w:tcBorders>
            <w:tcMar>
              <w:top w:w="90" w:type="dxa"/>
              <w:left w:w="90" w:type="dxa"/>
              <w:bottom w:w="90" w:type="dxa"/>
              <w:right w:w="90" w:type="dxa"/>
            </w:tcMar>
            <w:vAlign w:val="center"/>
          </w:tcPr>
          <w:p w14:paraId="76C7D36C" w14:textId="77777777" w:rsidR="007C3D5C" w:rsidRDefault="00000000">
            <w:pPr>
              <w:jc w:val="right"/>
              <w:rPr>
                <w:color w:val="000000" w:themeColor="text1"/>
                <w:sz w:val="22"/>
                <w:szCs w:val="22"/>
              </w:rPr>
            </w:pPr>
            <w:r>
              <w:rPr>
                <w:color w:val="000000" w:themeColor="text1"/>
                <w:sz w:val="22"/>
                <w:szCs w:val="22"/>
              </w:rPr>
              <w:t>-3.03 (-6.76, 0.71)</w:t>
            </w:r>
          </w:p>
        </w:tc>
        <w:tc>
          <w:tcPr>
            <w:tcW w:w="3532" w:type="dxa"/>
            <w:tcBorders>
              <w:top w:val="single" w:sz="4" w:space="0" w:color="auto"/>
              <w:left w:val="nil"/>
              <w:bottom w:val="single" w:sz="4" w:space="0" w:color="auto"/>
              <w:right w:val="nil"/>
            </w:tcBorders>
            <w:tcMar>
              <w:top w:w="90" w:type="dxa"/>
              <w:left w:w="90" w:type="dxa"/>
              <w:bottom w:w="90" w:type="dxa"/>
              <w:right w:w="90" w:type="dxa"/>
            </w:tcMar>
            <w:vAlign w:val="center"/>
          </w:tcPr>
          <w:p w14:paraId="6B06D636" w14:textId="77777777" w:rsidR="007C3D5C" w:rsidRDefault="00000000">
            <w:pPr>
              <w:jc w:val="right"/>
              <w:rPr>
                <w:color w:val="000000" w:themeColor="text1"/>
                <w:sz w:val="22"/>
                <w:szCs w:val="22"/>
              </w:rPr>
            </w:pPr>
            <w:r>
              <w:rPr>
                <w:color w:val="000000" w:themeColor="text1"/>
                <w:sz w:val="22"/>
                <w:szCs w:val="22"/>
              </w:rPr>
              <w:t>0.129</w:t>
            </w:r>
          </w:p>
        </w:tc>
      </w:tr>
    </w:tbl>
    <w:p w14:paraId="4D405D37" w14:textId="4929358E" w:rsidR="007C3D5C" w:rsidRDefault="00000000" w:rsidP="005E4E8C">
      <w:pPr>
        <w:spacing w:before="240"/>
        <w:rPr>
          <w:color w:val="000000" w:themeColor="text1"/>
        </w:rPr>
      </w:pPr>
      <w:r>
        <w:rPr>
          <w:color w:val="000000" w:themeColor="text1"/>
        </w:rPr>
        <w:t xml:space="preserve">Supplementary Table 2: Multivariate Regression Analysis used to analyse the effect of baseline variables on IRMA counts among NPDR eyes, as well as NV counts among PDR eyes in paired multimodal review of WF CFP and </w:t>
      </w:r>
      <w:r>
        <w:rPr>
          <w:color w:val="000000" w:themeColor="text1"/>
          <w:lang w:val="en-US"/>
        </w:rPr>
        <w:t>U</w:t>
      </w:r>
      <w:r>
        <w:rPr>
          <w:color w:val="000000" w:themeColor="text1"/>
        </w:rPr>
        <w:t xml:space="preserve">WF OCTA grading. Reference category for Lens Status: Phakic. </w:t>
      </w:r>
      <w:r>
        <w:t xml:space="preserve">WF: Widefield, CFP: Colour Fundus Photography, </w:t>
      </w:r>
      <w:r>
        <w:rPr>
          <w:lang w:val="en-US"/>
        </w:rPr>
        <w:t xml:space="preserve">UWF </w:t>
      </w:r>
      <w:r>
        <w:t xml:space="preserve">OCTA: </w:t>
      </w:r>
      <w:r>
        <w:rPr>
          <w:lang w:val="en-US"/>
        </w:rPr>
        <w:t>Ultrawide</w:t>
      </w:r>
      <w:r w:rsidR="005E4E8C">
        <w:rPr>
          <w:lang w:val="en-US"/>
        </w:rPr>
        <w:t>-</w:t>
      </w:r>
      <w:r>
        <w:rPr>
          <w:lang w:val="en-US"/>
        </w:rPr>
        <w:t xml:space="preserve">field </w:t>
      </w:r>
      <w:r>
        <w:t>Optical Coherence Tomography Angiography, IRMA: Intraretinal microvascular abnormality, NV: Neovascularization</w:t>
      </w:r>
      <w:r>
        <w:rPr>
          <w:lang w:val="en-US"/>
        </w:rPr>
        <w:t>,</w:t>
      </w:r>
      <w:r>
        <w:t xml:space="preserve"> NPDR: Non-proliferative Diabetic Retinopathy, PDR: Proliferative Diabetic Retinopathy, BCVA: Best Corrected Visual Acuity.</w:t>
      </w:r>
    </w:p>
    <w:p w14:paraId="3944DB0D" w14:textId="77777777" w:rsidR="007C3D5C" w:rsidRDefault="007C3D5C"/>
    <w:sectPr w:rsidR="007C3D5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7AD11B" w14:textId="77777777" w:rsidR="00E33E6D" w:rsidRDefault="00E33E6D">
      <w:r>
        <w:separator/>
      </w:r>
    </w:p>
  </w:endnote>
  <w:endnote w:type="continuationSeparator" w:id="0">
    <w:p w14:paraId="0485DF16" w14:textId="77777777" w:rsidR="00E33E6D" w:rsidRDefault="00E33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56D443" w14:textId="77777777" w:rsidR="00E33E6D" w:rsidRDefault="00E33E6D">
      <w:r>
        <w:separator/>
      </w:r>
    </w:p>
  </w:footnote>
  <w:footnote w:type="continuationSeparator" w:id="0">
    <w:p w14:paraId="6E4F9389" w14:textId="77777777" w:rsidR="00E33E6D" w:rsidRDefault="00E33E6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BA1"/>
    <w:rsid w:val="00545A84"/>
    <w:rsid w:val="005C4D0F"/>
    <w:rsid w:val="005E4E8C"/>
    <w:rsid w:val="007C2F5D"/>
    <w:rsid w:val="007C3D5C"/>
    <w:rsid w:val="00A12668"/>
    <w:rsid w:val="00B60BA1"/>
    <w:rsid w:val="00C2529E"/>
    <w:rsid w:val="00CC2704"/>
    <w:rsid w:val="00D1079D"/>
    <w:rsid w:val="00DA5B2A"/>
    <w:rsid w:val="00E33E6D"/>
    <w:rsid w:val="00F76295"/>
    <w:rsid w:val="00FF2727"/>
    <w:rsid w:val="D53FFA11"/>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703D5CB"/>
  <w15:docId w15:val="{7FAF6218-C4B0-9743-9020-9764D1ECA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S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pPr>
      <w:keepNext/>
      <w:keepLines/>
      <w:spacing w:line="278" w:lineRule="auto"/>
      <w:outlineLvl w:val="7"/>
    </w:pPr>
    <w:rPr>
      <w:rFonts w:asciiTheme="minorHAnsi" w:eastAsiaTheme="majorEastAsia" w:hAnsiTheme="minorHAnsi" w:cstheme="majorBidi"/>
      <w:i/>
      <w:iCs/>
      <w:color w:val="262626" w:themeColor="text1" w:themeTint="D9"/>
      <w:kern w:val="2"/>
      <w:lang w:eastAsia="en-US"/>
      <w14:ligatures w14:val="standardContextual"/>
    </w:rPr>
  </w:style>
  <w:style w:type="paragraph" w:styleId="Heading9">
    <w:name w:val="heading 9"/>
    <w:basedOn w:val="Normal"/>
    <w:next w:val="Normal"/>
    <w:link w:val="Heading9Char"/>
    <w:uiPriority w:val="9"/>
    <w:semiHidden/>
    <w:unhideWhenUsed/>
    <w:qFormat/>
    <w:pPr>
      <w:keepNext/>
      <w:keepLines/>
      <w:spacing w:line="278" w:lineRule="auto"/>
      <w:outlineLvl w:val="8"/>
    </w:pPr>
    <w:rPr>
      <w:rFonts w:asciiTheme="minorHAnsi" w:eastAsiaTheme="majorEastAsia" w:hAnsiTheme="minorHAnsi" w:cstheme="majorBidi"/>
      <w:color w:val="262626" w:themeColor="text1" w:themeTint="D9"/>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p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913</Characters>
  <Application>Microsoft Office Word</Application>
  <DocSecurity>0</DocSecurity>
  <Lines>7</Lines>
  <Paragraphs>2</Paragraphs>
  <ScaleCrop>false</ScaleCrop>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#PANIHARAM VENKATA PAVAN SAI RANGANATH#</dc:creator>
  <cp:lastModifiedBy>Yusra Asad</cp:lastModifiedBy>
  <cp:revision>2</cp:revision>
  <dcterms:created xsi:type="dcterms:W3CDTF">2026-07-17T16:27:00Z</dcterms:created>
  <dcterms:modified xsi:type="dcterms:W3CDTF">2026-07-17T16:27:00Z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1033-12.1.25880.25880</vt:lpwstr>
  </property>
  <property fmtid="{D5CDD505-2E9C-101B-9397-08002B2CF9AE}" pid="3" name="ICV">
    <vt:lpwstr>B2D90B3E6F78E7156062566A097B244F_42</vt:lpwstr>
  </property>
</Properties>
</file>