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3DC4" w14:textId="0E976B5C" w:rsidR="00AF4D18" w:rsidRDefault="00AF4D18" w:rsidP="005C7D6C">
      <w:pPr>
        <w:spacing w:line="480" w:lineRule="auto"/>
        <w:rPr>
          <w:rFonts w:ascii="Arial" w:hAnsi="Arial" w:cs="Arial"/>
          <w:bCs/>
          <w:lang w:val="en-US"/>
        </w:rPr>
      </w:pPr>
      <w:r w:rsidRPr="008217C0">
        <w:rPr>
          <w:rFonts w:ascii="Arial" w:hAnsi="Arial" w:cs="Arial"/>
          <w:b/>
          <w:lang w:val="en-US"/>
        </w:rPr>
        <w:t xml:space="preserve">FIGURE </w:t>
      </w:r>
      <w:r>
        <w:rPr>
          <w:rFonts w:ascii="Arial" w:hAnsi="Arial" w:cs="Arial"/>
          <w:b/>
          <w:lang w:val="en-US"/>
        </w:rPr>
        <w:t>S</w:t>
      </w:r>
      <w:r>
        <w:rPr>
          <w:rFonts w:ascii="Arial" w:hAnsi="Arial" w:cs="Arial"/>
          <w:b/>
          <w:lang w:val="en-US"/>
        </w:rPr>
        <w:t xml:space="preserve">1. </w:t>
      </w:r>
      <w:r>
        <w:rPr>
          <w:rFonts w:ascii="Arial" w:hAnsi="Arial" w:cs="Arial"/>
          <w:bCs/>
          <w:lang w:val="en-US"/>
        </w:rPr>
        <w:t>Patient flow diagram.</w:t>
      </w:r>
    </w:p>
    <w:p w14:paraId="75F2F9E8" w14:textId="44BBB299" w:rsidR="00AF4D18" w:rsidRDefault="00AF4D18" w:rsidP="005C7D6C">
      <w:pPr>
        <w:spacing w:line="480" w:lineRule="auto"/>
        <w:rPr>
          <w:rFonts w:ascii="Arial" w:hAnsi="Arial" w:cs="Arial"/>
          <w:bCs/>
          <w:lang w:val="en-US"/>
        </w:rPr>
      </w:pPr>
      <w:r w:rsidRPr="00AF4D18">
        <w:rPr>
          <w:rFonts w:ascii="Arial" w:hAnsi="Arial" w:cs="Arial"/>
          <w:bCs/>
          <w:lang w:val="en-US"/>
        </w:rPr>
        <w:drawing>
          <wp:inline distT="0" distB="0" distL="0" distR="0" wp14:anchorId="6FBF7DB5" wp14:editId="5466C30D">
            <wp:extent cx="5760720" cy="3943985"/>
            <wp:effectExtent l="0" t="0" r="0" b="0"/>
            <wp:docPr id="90640376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03769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E8DA2" w14:textId="6D2DF898" w:rsidR="00AF4D18" w:rsidRPr="005B7DFC" w:rsidRDefault="00AF4D18" w:rsidP="005B7DFC">
      <w:pPr>
        <w:spacing w:line="48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 xml:space="preserve">MIBS, minimally invasive bleb surgery; </w:t>
      </w:r>
      <w:r w:rsidR="005B7DFC" w:rsidRPr="005B7DFC">
        <w:rPr>
          <w:rFonts w:ascii="Arial" w:hAnsi="Arial" w:cs="Arial"/>
          <w:bCs/>
          <w:lang w:val="en-US"/>
        </w:rPr>
        <w:t>NTG, normal-tension glaucoma;</w:t>
      </w:r>
      <w:r w:rsidR="005B7DFC">
        <w:rPr>
          <w:rFonts w:ascii="Arial" w:hAnsi="Arial" w:cs="Arial"/>
          <w:bCs/>
          <w:lang w:val="en-US"/>
        </w:rPr>
        <w:t xml:space="preserve"> </w:t>
      </w:r>
      <w:r>
        <w:rPr>
          <w:rFonts w:ascii="Arial" w:hAnsi="Arial" w:cs="Arial"/>
          <w:bCs/>
          <w:lang w:val="en-US"/>
        </w:rPr>
        <w:t>PMS, PRESERFLO MicroShunt</w:t>
      </w:r>
      <w:r w:rsidR="005B7DFC">
        <w:rPr>
          <w:rFonts w:ascii="Arial" w:hAnsi="Arial" w:cs="Arial"/>
          <w:bCs/>
          <w:lang w:val="en-US"/>
        </w:rPr>
        <w:t>;</w:t>
      </w:r>
      <w:r>
        <w:rPr>
          <w:rFonts w:ascii="Arial" w:hAnsi="Arial" w:cs="Arial"/>
          <w:bCs/>
          <w:lang w:val="en-US"/>
        </w:rPr>
        <w:t xml:space="preserve"> </w:t>
      </w:r>
      <w:r w:rsidR="005B7DFC" w:rsidRPr="005B7DFC">
        <w:rPr>
          <w:rFonts w:ascii="Arial" w:hAnsi="Arial" w:cs="Arial"/>
          <w:bCs/>
          <w:lang w:val="en-US"/>
        </w:rPr>
        <w:t>POAG, primary open-angle glaucoma;</w:t>
      </w:r>
      <w:r w:rsidR="005B7DFC">
        <w:rPr>
          <w:rFonts w:ascii="Arial" w:hAnsi="Arial" w:cs="Arial"/>
          <w:bCs/>
          <w:lang w:val="en-US"/>
        </w:rPr>
        <w:t xml:space="preserve"> PSM, </w:t>
      </w:r>
      <w:r w:rsidR="005B7DFC" w:rsidRPr="005B7DFC">
        <w:rPr>
          <w:rFonts w:ascii="Arial" w:hAnsi="Arial" w:cs="Arial"/>
          <w:bCs/>
          <w:lang w:val="en-US"/>
        </w:rPr>
        <w:t>propensity score matching</w:t>
      </w:r>
      <w:r w:rsidR="005B7DFC">
        <w:rPr>
          <w:rFonts w:ascii="Arial" w:hAnsi="Arial" w:cs="Arial"/>
          <w:bCs/>
          <w:lang w:val="en-US"/>
        </w:rPr>
        <w:t>.</w:t>
      </w:r>
      <w:r w:rsidR="005B7DFC" w:rsidRPr="005B7DFC">
        <w:rPr>
          <w:lang w:val="en-US"/>
        </w:rPr>
        <w:t xml:space="preserve"> </w:t>
      </w:r>
    </w:p>
    <w:p w14:paraId="04AB6F07" w14:textId="68DC2DAA" w:rsidR="00E33E9A" w:rsidRDefault="00E33E9A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2955087A" w14:textId="4ABE7B41" w:rsidR="005C7D6C" w:rsidRPr="003360BA" w:rsidRDefault="005C7D6C" w:rsidP="005C7D6C">
      <w:pPr>
        <w:spacing w:line="480" w:lineRule="auto"/>
        <w:rPr>
          <w:rFonts w:ascii="Arial" w:hAnsi="Arial" w:cs="Arial"/>
          <w:b/>
          <w:highlight w:val="yellow"/>
          <w:lang w:val="en-US"/>
        </w:rPr>
      </w:pPr>
      <w:r w:rsidRPr="008217C0">
        <w:rPr>
          <w:rFonts w:ascii="Arial" w:hAnsi="Arial" w:cs="Arial"/>
          <w:b/>
          <w:lang w:val="en-US"/>
        </w:rPr>
        <w:lastRenderedPageBreak/>
        <w:t xml:space="preserve">FIGURE </w:t>
      </w:r>
      <w:r w:rsidR="007415FA">
        <w:rPr>
          <w:rFonts w:ascii="Arial" w:hAnsi="Arial" w:cs="Arial"/>
          <w:b/>
          <w:lang w:val="en-US"/>
        </w:rPr>
        <w:t>S</w:t>
      </w:r>
      <w:r w:rsidR="00AF4D18">
        <w:rPr>
          <w:rFonts w:ascii="Arial" w:hAnsi="Arial" w:cs="Arial"/>
          <w:b/>
          <w:lang w:val="en-US"/>
        </w:rPr>
        <w:t>2</w:t>
      </w:r>
      <w:r w:rsidR="003360BA">
        <w:rPr>
          <w:rFonts w:ascii="Arial" w:hAnsi="Arial" w:cs="Arial"/>
          <w:b/>
          <w:lang w:val="en-US"/>
        </w:rPr>
        <w:t>.</w:t>
      </w:r>
      <w:r w:rsidRPr="005C7D6C">
        <w:rPr>
          <w:rFonts w:ascii="Arial" w:hAnsi="Arial" w:cs="Arial"/>
          <w:b/>
          <w:lang w:val="en-US"/>
        </w:rPr>
        <w:t xml:space="preserve"> </w:t>
      </w:r>
      <w:r w:rsidR="003360BA" w:rsidRPr="003360BA">
        <w:rPr>
          <w:rFonts w:ascii="Arial" w:hAnsi="Arial" w:cs="Arial"/>
          <w:bCs/>
          <w:lang w:val="en-US"/>
        </w:rPr>
        <w:t>Kaplan–Meier survival curves for surgical success</w:t>
      </w:r>
      <w:r w:rsidR="00B158BA">
        <w:rPr>
          <w:rFonts w:ascii="Arial" w:hAnsi="Arial" w:cs="Arial"/>
          <w:bCs/>
          <w:lang w:val="en-US"/>
        </w:rPr>
        <w:t xml:space="preserve"> of the PMS</w:t>
      </w:r>
      <w:r w:rsidR="003360BA" w:rsidRPr="003360BA">
        <w:rPr>
          <w:rFonts w:ascii="Arial" w:hAnsi="Arial" w:cs="Arial"/>
          <w:bCs/>
          <w:lang w:val="en-US"/>
        </w:rPr>
        <w:t xml:space="preserve"> in NTG versus POAG </w:t>
      </w:r>
      <w:r w:rsidR="005644F8" w:rsidRPr="003360BA">
        <w:rPr>
          <w:rFonts w:ascii="Arial" w:hAnsi="Arial" w:cs="Arial"/>
          <w:bCs/>
          <w:lang w:val="en-US"/>
        </w:rPr>
        <w:t>–</w:t>
      </w:r>
      <w:r w:rsidR="003360BA" w:rsidRPr="003360BA">
        <w:rPr>
          <w:rFonts w:ascii="Arial" w:hAnsi="Arial" w:cs="Arial"/>
          <w:bCs/>
          <w:lang w:val="en-US"/>
        </w:rPr>
        <w:t xml:space="preserve"> sensitivity analysis 1: incisional bleb revisions not considered failure.</w:t>
      </w:r>
    </w:p>
    <w:p w14:paraId="70A21070" w14:textId="7456E79D" w:rsidR="005C7D6C" w:rsidRDefault="003360BA" w:rsidP="00D749F5">
      <w:pPr>
        <w:spacing w:line="480" w:lineRule="auto"/>
        <w:ind w:hanging="1134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noProof/>
          <w:lang w:val="en-US"/>
        </w:rPr>
        <w:drawing>
          <wp:inline distT="0" distB="0" distL="0" distR="0" wp14:anchorId="2D3B8012" wp14:editId="1FE432D3">
            <wp:extent cx="7080511" cy="4860000"/>
            <wp:effectExtent l="0" t="0" r="6350" b="0"/>
            <wp:docPr id="21961086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511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5A24C" w14:textId="44F81EAE" w:rsidR="005C5D37" w:rsidRPr="005C5D37" w:rsidRDefault="003360BA" w:rsidP="005C5D37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Same as Figure 2: </w:t>
      </w:r>
      <w:r w:rsidR="005C5D37" w:rsidRPr="005C5D37">
        <w:rPr>
          <w:rFonts w:ascii="Arial" w:hAnsi="Arial" w:cs="Arial"/>
          <w:lang w:val="en-US"/>
        </w:rPr>
        <w:t>Kaplan–Meier estimates were used to compare complete and qualified surgical success for category 1 (</w:t>
      </w:r>
      <w:r w:rsidR="005C5D37" w:rsidRPr="005C5D37">
        <w:rPr>
          <w:rFonts w:ascii="Arial" w:hAnsi="Arial" w:cs="Arial"/>
          <w:b/>
          <w:lang w:val="en-US"/>
        </w:rPr>
        <w:t xml:space="preserve">A </w:t>
      </w:r>
      <w:r w:rsidR="005C5D37" w:rsidRPr="005C5D37">
        <w:rPr>
          <w:rFonts w:ascii="Arial" w:hAnsi="Arial" w:cs="Arial"/>
          <w:bCs/>
          <w:lang w:val="en-GB"/>
        </w:rPr>
        <w:t>and</w:t>
      </w:r>
      <w:r w:rsidR="005C5D37" w:rsidRPr="005C5D37">
        <w:rPr>
          <w:rFonts w:ascii="Arial" w:hAnsi="Arial" w:cs="Arial"/>
          <w:b/>
          <w:lang w:val="en-GB"/>
        </w:rPr>
        <w:t xml:space="preserve"> D</w:t>
      </w:r>
      <w:r w:rsidR="005C5D37" w:rsidRPr="005C5D37">
        <w:rPr>
          <w:rFonts w:ascii="Arial" w:hAnsi="Arial" w:cs="Arial"/>
          <w:lang w:val="en-GB"/>
        </w:rPr>
        <w:t>), category 2 (</w:t>
      </w:r>
      <w:r w:rsidR="005C5D37" w:rsidRPr="005C5D37">
        <w:rPr>
          <w:rFonts w:ascii="Arial" w:hAnsi="Arial" w:cs="Arial"/>
          <w:b/>
          <w:lang w:val="en-GB"/>
        </w:rPr>
        <w:t xml:space="preserve">B </w:t>
      </w:r>
      <w:r w:rsidR="005C5D37" w:rsidRPr="005C5D37">
        <w:rPr>
          <w:rFonts w:ascii="Arial" w:hAnsi="Arial" w:cs="Arial"/>
          <w:bCs/>
          <w:lang w:val="en-GB"/>
        </w:rPr>
        <w:t>and</w:t>
      </w:r>
      <w:r w:rsidR="005C5D37" w:rsidRPr="005C5D37">
        <w:rPr>
          <w:rFonts w:ascii="Arial" w:hAnsi="Arial" w:cs="Arial"/>
          <w:b/>
          <w:lang w:val="en-GB"/>
        </w:rPr>
        <w:t xml:space="preserve"> E</w:t>
      </w:r>
      <w:r w:rsidR="005C5D37" w:rsidRPr="005C5D37">
        <w:rPr>
          <w:rFonts w:ascii="Arial" w:hAnsi="Arial" w:cs="Arial"/>
          <w:lang w:val="en-GB"/>
        </w:rPr>
        <w:t>), and category 3 (</w:t>
      </w:r>
      <w:r w:rsidR="005C5D37" w:rsidRPr="005C5D37">
        <w:rPr>
          <w:rFonts w:ascii="Arial" w:hAnsi="Arial" w:cs="Arial"/>
          <w:b/>
          <w:lang w:val="en-GB"/>
        </w:rPr>
        <w:t xml:space="preserve">C </w:t>
      </w:r>
      <w:r w:rsidR="005C5D37" w:rsidRPr="005C5D37">
        <w:rPr>
          <w:rFonts w:ascii="Arial" w:hAnsi="Arial" w:cs="Arial"/>
          <w:bCs/>
          <w:lang w:val="en-GB"/>
        </w:rPr>
        <w:t>and</w:t>
      </w:r>
      <w:r w:rsidR="005C5D37" w:rsidRPr="005C5D37">
        <w:rPr>
          <w:rFonts w:ascii="Arial" w:hAnsi="Arial" w:cs="Arial"/>
          <w:b/>
          <w:lang w:val="en-GB"/>
        </w:rPr>
        <w:t xml:space="preserve"> F</w:t>
      </w:r>
      <w:r w:rsidR="005C5D37" w:rsidRPr="005C5D37">
        <w:rPr>
          <w:rFonts w:ascii="Arial" w:hAnsi="Arial" w:cs="Arial"/>
          <w:lang w:val="en-GB"/>
        </w:rPr>
        <w:t>) between patients with NTG (orange) and POAG (blue)</w:t>
      </w:r>
      <w:r>
        <w:rPr>
          <w:rFonts w:ascii="Arial" w:hAnsi="Arial" w:cs="Arial"/>
          <w:lang w:val="en-GB"/>
        </w:rPr>
        <w:t xml:space="preserve"> using the log-rank test</w:t>
      </w:r>
      <w:r w:rsidR="005C5D37" w:rsidRPr="005C5D37">
        <w:rPr>
          <w:rFonts w:ascii="Arial" w:hAnsi="Arial" w:cs="Arial"/>
          <w:lang w:val="en-GB"/>
        </w:rPr>
        <w:t>. The 95% confidence intervals are represented in lighter orange and blue colours, respectively.</w:t>
      </w:r>
      <w:r w:rsidR="005C5D37" w:rsidRPr="005C5D37">
        <w:rPr>
          <w:rFonts w:ascii="Arial" w:hAnsi="Arial" w:cs="Arial"/>
          <w:lang w:val="en-US"/>
        </w:rPr>
        <w:t xml:space="preserve"> </w:t>
      </w:r>
    </w:p>
    <w:p w14:paraId="68A698ED" w14:textId="77777777" w:rsidR="005C5D37" w:rsidRDefault="005C5D37" w:rsidP="00D749F5">
      <w:pPr>
        <w:spacing w:line="480" w:lineRule="auto"/>
        <w:ind w:hanging="1134"/>
        <w:rPr>
          <w:rFonts w:ascii="Arial" w:hAnsi="Arial" w:cs="Arial"/>
          <w:bCs/>
          <w:lang w:val="en-US"/>
        </w:rPr>
      </w:pPr>
    </w:p>
    <w:p w14:paraId="48D84F3F" w14:textId="77777777" w:rsidR="008217C0" w:rsidRDefault="008217C0" w:rsidP="00D749F5">
      <w:pPr>
        <w:spacing w:line="480" w:lineRule="auto"/>
        <w:ind w:hanging="1134"/>
        <w:rPr>
          <w:rFonts w:ascii="Arial" w:hAnsi="Arial" w:cs="Arial"/>
          <w:bCs/>
          <w:lang w:val="en-US"/>
        </w:rPr>
      </w:pPr>
    </w:p>
    <w:p w14:paraId="16E0D971" w14:textId="77777777" w:rsidR="00AF4D18" w:rsidRDefault="00AF4D18" w:rsidP="008217C0">
      <w:pPr>
        <w:spacing w:line="480" w:lineRule="auto"/>
        <w:rPr>
          <w:rFonts w:ascii="Arial" w:hAnsi="Arial" w:cs="Arial"/>
          <w:b/>
          <w:lang w:val="en-US"/>
        </w:rPr>
      </w:pPr>
    </w:p>
    <w:p w14:paraId="14B25A8F" w14:textId="625FFABD" w:rsidR="008217C0" w:rsidRPr="003360BA" w:rsidRDefault="008217C0" w:rsidP="008217C0">
      <w:pPr>
        <w:spacing w:line="480" w:lineRule="auto"/>
        <w:rPr>
          <w:rFonts w:ascii="Arial" w:hAnsi="Arial" w:cs="Arial"/>
          <w:b/>
          <w:highlight w:val="yellow"/>
          <w:lang w:val="en-US"/>
        </w:rPr>
      </w:pPr>
      <w:r w:rsidRPr="008217C0">
        <w:rPr>
          <w:rFonts w:ascii="Arial" w:hAnsi="Arial" w:cs="Arial"/>
          <w:b/>
          <w:lang w:val="en-US"/>
        </w:rPr>
        <w:lastRenderedPageBreak/>
        <w:t xml:space="preserve">FIGURE </w:t>
      </w:r>
      <w:r w:rsidR="007415FA">
        <w:rPr>
          <w:rFonts w:ascii="Arial" w:hAnsi="Arial" w:cs="Arial"/>
          <w:b/>
          <w:lang w:val="en-US"/>
        </w:rPr>
        <w:t>S</w:t>
      </w:r>
      <w:r w:rsidR="00AF4D18">
        <w:rPr>
          <w:rFonts w:ascii="Arial" w:hAnsi="Arial" w:cs="Arial"/>
          <w:b/>
          <w:lang w:val="en-US"/>
        </w:rPr>
        <w:t>3</w:t>
      </w:r>
      <w:r w:rsidR="003360BA">
        <w:rPr>
          <w:rFonts w:ascii="Arial" w:hAnsi="Arial" w:cs="Arial"/>
          <w:b/>
          <w:lang w:val="en-US"/>
        </w:rPr>
        <w:t>.</w:t>
      </w:r>
      <w:r w:rsidRPr="005C7D6C">
        <w:rPr>
          <w:rFonts w:ascii="Arial" w:hAnsi="Arial" w:cs="Arial"/>
          <w:b/>
          <w:lang w:val="en-US"/>
        </w:rPr>
        <w:t xml:space="preserve"> </w:t>
      </w:r>
      <w:r w:rsidR="003360BA" w:rsidRPr="003360BA">
        <w:rPr>
          <w:rFonts w:ascii="Arial" w:hAnsi="Arial" w:cs="Arial"/>
          <w:bCs/>
          <w:lang w:val="en-US"/>
        </w:rPr>
        <w:t xml:space="preserve">Kaplan–Meier survival curves for surgical success </w:t>
      </w:r>
      <w:r w:rsidR="00B158BA">
        <w:rPr>
          <w:rFonts w:ascii="Arial" w:hAnsi="Arial" w:cs="Arial"/>
          <w:bCs/>
          <w:lang w:val="en-US"/>
        </w:rPr>
        <w:t xml:space="preserve">of the PMS </w:t>
      </w:r>
      <w:r w:rsidR="003360BA" w:rsidRPr="003360BA">
        <w:rPr>
          <w:rFonts w:ascii="Arial" w:hAnsi="Arial" w:cs="Arial"/>
          <w:bCs/>
          <w:lang w:val="en-US"/>
        </w:rPr>
        <w:t xml:space="preserve">in NTG versus POAG </w:t>
      </w:r>
      <w:r w:rsidR="005644F8" w:rsidRPr="003360BA">
        <w:rPr>
          <w:rFonts w:ascii="Arial" w:hAnsi="Arial" w:cs="Arial"/>
          <w:bCs/>
          <w:lang w:val="en-US"/>
        </w:rPr>
        <w:t>–</w:t>
      </w:r>
      <w:r w:rsidR="003360BA" w:rsidRPr="003360BA">
        <w:rPr>
          <w:rFonts w:ascii="Arial" w:hAnsi="Arial" w:cs="Arial"/>
          <w:bCs/>
          <w:lang w:val="en-US"/>
        </w:rPr>
        <w:t xml:space="preserve"> sensitivity analysis 2: percentage IOP reduction only.</w:t>
      </w:r>
    </w:p>
    <w:p w14:paraId="16F373E8" w14:textId="7EA2752D" w:rsidR="008217C0" w:rsidRDefault="003360BA" w:rsidP="00D749F5">
      <w:pPr>
        <w:spacing w:line="480" w:lineRule="auto"/>
        <w:ind w:hanging="1134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noProof/>
          <w:lang w:val="en-US"/>
        </w:rPr>
        <w:drawing>
          <wp:inline distT="0" distB="0" distL="0" distR="0" wp14:anchorId="1D59F601" wp14:editId="0FA0CEDD">
            <wp:extent cx="7177299" cy="4860000"/>
            <wp:effectExtent l="0" t="0" r="5080" b="0"/>
            <wp:docPr id="24744369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7299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D23C2" w14:textId="466ED41D" w:rsidR="005C5D37" w:rsidRPr="005C5D37" w:rsidRDefault="003360BA" w:rsidP="005C5D37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Same as Figure 2: </w:t>
      </w:r>
      <w:r w:rsidR="005C5D37" w:rsidRPr="005C5D37">
        <w:rPr>
          <w:rFonts w:ascii="Arial" w:hAnsi="Arial" w:cs="Arial"/>
          <w:lang w:val="en-US"/>
        </w:rPr>
        <w:t>Kaplan–Meier estimates were used to compare complete and qualified surgical success for category 1 (</w:t>
      </w:r>
      <w:r w:rsidR="005C5D37" w:rsidRPr="005C5D37">
        <w:rPr>
          <w:rFonts w:ascii="Arial" w:hAnsi="Arial" w:cs="Arial"/>
          <w:b/>
          <w:lang w:val="en-US"/>
        </w:rPr>
        <w:t xml:space="preserve">A </w:t>
      </w:r>
      <w:r w:rsidR="005C5D37" w:rsidRPr="005C5D37">
        <w:rPr>
          <w:rFonts w:ascii="Arial" w:hAnsi="Arial" w:cs="Arial"/>
          <w:bCs/>
          <w:lang w:val="en-US"/>
        </w:rPr>
        <w:t>and</w:t>
      </w:r>
      <w:r w:rsidR="005C5D37" w:rsidRPr="005C5D37">
        <w:rPr>
          <w:rFonts w:ascii="Arial" w:hAnsi="Arial" w:cs="Arial"/>
          <w:b/>
          <w:lang w:val="en-US"/>
        </w:rPr>
        <w:t xml:space="preserve"> D</w:t>
      </w:r>
      <w:r w:rsidR="005C5D37" w:rsidRPr="005C5D37">
        <w:rPr>
          <w:rFonts w:ascii="Arial" w:hAnsi="Arial" w:cs="Arial"/>
          <w:lang w:val="en-US"/>
        </w:rPr>
        <w:t>), category 2 (</w:t>
      </w:r>
      <w:r w:rsidR="005C5D37" w:rsidRPr="005C5D37">
        <w:rPr>
          <w:rFonts w:ascii="Arial" w:hAnsi="Arial" w:cs="Arial"/>
          <w:b/>
          <w:lang w:val="en-US"/>
        </w:rPr>
        <w:t xml:space="preserve">B </w:t>
      </w:r>
      <w:r w:rsidR="005C5D37" w:rsidRPr="005C5D37">
        <w:rPr>
          <w:rFonts w:ascii="Arial" w:hAnsi="Arial" w:cs="Arial"/>
          <w:bCs/>
          <w:lang w:val="en-US"/>
        </w:rPr>
        <w:t>and</w:t>
      </w:r>
      <w:r w:rsidR="005C5D37" w:rsidRPr="005C5D37">
        <w:rPr>
          <w:rFonts w:ascii="Arial" w:hAnsi="Arial" w:cs="Arial"/>
          <w:b/>
          <w:lang w:val="en-US"/>
        </w:rPr>
        <w:t xml:space="preserve"> E</w:t>
      </w:r>
      <w:r w:rsidR="005C5D37" w:rsidRPr="005C5D37">
        <w:rPr>
          <w:rFonts w:ascii="Arial" w:hAnsi="Arial" w:cs="Arial"/>
          <w:lang w:val="en-US"/>
        </w:rPr>
        <w:t>), and category 3 (</w:t>
      </w:r>
      <w:r w:rsidR="005C5D37" w:rsidRPr="005C5D37">
        <w:rPr>
          <w:rFonts w:ascii="Arial" w:hAnsi="Arial" w:cs="Arial"/>
          <w:b/>
          <w:lang w:val="en-US"/>
        </w:rPr>
        <w:t xml:space="preserve">C </w:t>
      </w:r>
      <w:r w:rsidR="005C5D37" w:rsidRPr="005C5D37">
        <w:rPr>
          <w:rFonts w:ascii="Arial" w:hAnsi="Arial" w:cs="Arial"/>
          <w:bCs/>
          <w:lang w:val="en-US"/>
        </w:rPr>
        <w:t>and</w:t>
      </w:r>
      <w:r w:rsidR="005C5D37" w:rsidRPr="005C5D37">
        <w:rPr>
          <w:rFonts w:ascii="Arial" w:hAnsi="Arial" w:cs="Arial"/>
          <w:b/>
          <w:lang w:val="en-US"/>
        </w:rPr>
        <w:t xml:space="preserve"> F</w:t>
      </w:r>
      <w:r w:rsidR="005C5D37" w:rsidRPr="005C5D37">
        <w:rPr>
          <w:rFonts w:ascii="Arial" w:hAnsi="Arial" w:cs="Arial"/>
          <w:lang w:val="en-US"/>
        </w:rPr>
        <w:t>) between patients with NTG (orange) and POAG (blue</w:t>
      </w:r>
      <w:r w:rsidRPr="005C5D37">
        <w:rPr>
          <w:rFonts w:ascii="Arial" w:hAnsi="Arial" w:cs="Arial"/>
          <w:lang w:val="en-GB"/>
        </w:rPr>
        <w:t>)</w:t>
      </w:r>
      <w:r>
        <w:rPr>
          <w:rFonts w:ascii="Arial" w:hAnsi="Arial" w:cs="Arial"/>
          <w:lang w:val="en-GB"/>
        </w:rPr>
        <w:t xml:space="preserve"> using the log-rank test</w:t>
      </w:r>
      <w:r w:rsidR="005C5D37" w:rsidRPr="005C5D37">
        <w:rPr>
          <w:rFonts w:ascii="Arial" w:hAnsi="Arial" w:cs="Arial"/>
          <w:lang w:val="en-US"/>
        </w:rPr>
        <w:t xml:space="preserve">. The 95% confidence intervals are represented in lighter orange and blue </w:t>
      </w:r>
      <w:proofErr w:type="spellStart"/>
      <w:r w:rsidR="005C5D37" w:rsidRPr="005C5D37">
        <w:rPr>
          <w:rFonts w:ascii="Arial" w:hAnsi="Arial" w:cs="Arial"/>
          <w:lang w:val="en-US"/>
        </w:rPr>
        <w:t>colours</w:t>
      </w:r>
      <w:proofErr w:type="spellEnd"/>
      <w:r w:rsidR="005C5D37" w:rsidRPr="005C5D37">
        <w:rPr>
          <w:rFonts w:ascii="Arial" w:hAnsi="Arial" w:cs="Arial"/>
          <w:lang w:val="en-US"/>
        </w:rPr>
        <w:t xml:space="preserve">, respectively. </w:t>
      </w:r>
    </w:p>
    <w:p w14:paraId="34F179FC" w14:textId="0081862C" w:rsidR="0079022D" w:rsidRDefault="0079022D" w:rsidP="005C7D6C">
      <w:pPr>
        <w:spacing w:line="480" w:lineRule="auto"/>
        <w:rPr>
          <w:rFonts w:ascii="Arial" w:hAnsi="Arial" w:cs="Arial"/>
          <w:bCs/>
          <w:highlight w:val="yellow"/>
          <w:lang w:val="en-US"/>
        </w:rPr>
      </w:pPr>
    </w:p>
    <w:p w14:paraId="383F6277" w14:textId="77777777" w:rsidR="003360BA" w:rsidRDefault="003360BA" w:rsidP="003360BA">
      <w:pPr>
        <w:spacing w:line="480" w:lineRule="auto"/>
        <w:rPr>
          <w:rFonts w:ascii="Arial" w:hAnsi="Arial" w:cs="Arial"/>
          <w:b/>
          <w:lang w:val="en-US"/>
        </w:rPr>
      </w:pPr>
    </w:p>
    <w:p w14:paraId="2DCED3E7" w14:textId="34C0E3B7" w:rsidR="003360BA" w:rsidRPr="003360BA" w:rsidRDefault="003360BA" w:rsidP="003360BA">
      <w:pPr>
        <w:spacing w:line="480" w:lineRule="auto"/>
        <w:rPr>
          <w:rFonts w:ascii="Arial" w:hAnsi="Arial" w:cs="Arial"/>
          <w:b/>
          <w:highlight w:val="yellow"/>
          <w:lang w:val="en-US"/>
        </w:rPr>
      </w:pPr>
      <w:r w:rsidRPr="008217C0">
        <w:rPr>
          <w:rFonts w:ascii="Arial" w:hAnsi="Arial" w:cs="Arial"/>
          <w:b/>
          <w:lang w:val="en-US"/>
        </w:rPr>
        <w:lastRenderedPageBreak/>
        <w:t xml:space="preserve">FIGURE </w:t>
      </w:r>
      <w:r>
        <w:rPr>
          <w:rFonts w:ascii="Arial" w:hAnsi="Arial" w:cs="Arial"/>
          <w:b/>
          <w:lang w:val="en-US"/>
        </w:rPr>
        <w:t>S</w:t>
      </w:r>
      <w:r w:rsidR="00AF4D18">
        <w:rPr>
          <w:rFonts w:ascii="Arial" w:hAnsi="Arial" w:cs="Arial"/>
          <w:b/>
          <w:lang w:val="en-US"/>
        </w:rPr>
        <w:t>4</w:t>
      </w:r>
      <w:r>
        <w:rPr>
          <w:rFonts w:ascii="Arial" w:hAnsi="Arial" w:cs="Arial"/>
          <w:b/>
          <w:lang w:val="en-US"/>
        </w:rPr>
        <w:t>.</w:t>
      </w:r>
      <w:r w:rsidRPr="005C7D6C">
        <w:rPr>
          <w:rFonts w:ascii="Arial" w:hAnsi="Arial" w:cs="Arial"/>
          <w:b/>
          <w:lang w:val="en-US"/>
        </w:rPr>
        <w:t xml:space="preserve"> </w:t>
      </w:r>
      <w:r w:rsidRPr="003360BA">
        <w:rPr>
          <w:rFonts w:ascii="Arial" w:hAnsi="Arial" w:cs="Arial"/>
          <w:bCs/>
          <w:lang w:val="en-US"/>
        </w:rPr>
        <w:t xml:space="preserve">Kaplan–Meier survival curves for surgical success in </w:t>
      </w:r>
      <w:r w:rsidR="00B158BA">
        <w:rPr>
          <w:rFonts w:ascii="Arial" w:hAnsi="Arial" w:cs="Arial"/>
          <w:bCs/>
          <w:lang w:val="en-US"/>
        </w:rPr>
        <w:t xml:space="preserve">of the PMS </w:t>
      </w:r>
      <w:r w:rsidRPr="003360BA">
        <w:rPr>
          <w:rFonts w:ascii="Arial" w:hAnsi="Arial" w:cs="Arial"/>
          <w:bCs/>
          <w:lang w:val="en-US"/>
        </w:rPr>
        <w:t xml:space="preserve">NTG versus POAG </w:t>
      </w:r>
      <w:r w:rsidR="005644F8" w:rsidRPr="003360BA">
        <w:rPr>
          <w:rFonts w:ascii="Arial" w:hAnsi="Arial" w:cs="Arial"/>
          <w:bCs/>
          <w:lang w:val="en-US"/>
        </w:rPr>
        <w:t>–</w:t>
      </w:r>
      <w:r w:rsidRPr="003360BA">
        <w:rPr>
          <w:rFonts w:ascii="Arial" w:hAnsi="Arial" w:cs="Arial"/>
          <w:bCs/>
          <w:lang w:val="en-US"/>
        </w:rPr>
        <w:t xml:space="preserve"> sensitivity analysis 3: percentage IOP reduction only and incisional bleb revisions not considered failure.</w:t>
      </w:r>
    </w:p>
    <w:p w14:paraId="72A41E3B" w14:textId="7BCABF29" w:rsidR="003360BA" w:rsidRDefault="003360BA" w:rsidP="003360BA">
      <w:pPr>
        <w:spacing w:line="480" w:lineRule="auto"/>
        <w:ind w:hanging="1134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noProof/>
          <w:lang w:val="en-US"/>
        </w:rPr>
        <w:drawing>
          <wp:inline distT="0" distB="0" distL="0" distR="0" wp14:anchorId="68674F7F" wp14:editId="06D8D314">
            <wp:extent cx="7061239" cy="4860000"/>
            <wp:effectExtent l="0" t="0" r="6350" b="0"/>
            <wp:docPr id="123294838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39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8AB0E" w14:textId="77777777" w:rsidR="003360BA" w:rsidRPr="005C5D37" w:rsidRDefault="003360BA" w:rsidP="003360BA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Same as Figure 2: </w:t>
      </w:r>
      <w:r w:rsidRPr="005C5D37">
        <w:rPr>
          <w:rFonts w:ascii="Arial" w:hAnsi="Arial" w:cs="Arial"/>
          <w:lang w:val="en-US"/>
        </w:rPr>
        <w:t>Kaplan–Meier estimates were used to compare complete and qualified surgical success for category 1 (</w:t>
      </w:r>
      <w:r w:rsidRPr="005C5D37">
        <w:rPr>
          <w:rFonts w:ascii="Arial" w:hAnsi="Arial" w:cs="Arial"/>
          <w:b/>
          <w:lang w:val="en-US"/>
        </w:rPr>
        <w:t xml:space="preserve">A </w:t>
      </w:r>
      <w:r w:rsidRPr="005C5D37">
        <w:rPr>
          <w:rFonts w:ascii="Arial" w:hAnsi="Arial" w:cs="Arial"/>
          <w:bCs/>
          <w:lang w:val="en-US"/>
        </w:rPr>
        <w:t>and</w:t>
      </w:r>
      <w:r w:rsidRPr="005C5D37">
        <w:rPr>
          <w:rFonts w:ascii="Arial" w:hAnsi="Arial" w:cs="Arial"/>
          <w:b/>
          <w:lang w:val="en-US"/>
        </w:rPr>
        <w:t xml:space="preserve"> D</w:t>
      </w:r>
      <w:r w:rsidRPr="005C5D37">
        <w:rPr>
          <w:rFonts w:ascii="Arial" w:hAnsi="Arial" w:cs="Arial"/>
          <w:lang w:val="en-US"/>
        </w:rPr>
        <w:t>), category 2 (</w:t>
      </w:r>
      <w:r w:rsidRPr="005C5D37">
        <w:rPr>
          <w:rFonts w:ascii="Arial" w:hAnsi="Arial" w:cs="Arial"/>
          <w:b/>
          <w:lang w:val="en-US"/>
        </w:rPr>
        <w:t xml:space="preserve">B </w:t>
      </w:r>
      <w:r w:rsidRPr="005C5D37">
        <w:rPr>
          <w:rFonts w:ascii="Arial" w:hAnsi="Arial" w:cs="Arial"/>
          <w:bCs/>
          <w:lang w:val="en-US"/>
        </w:rPr>
        <w:t>and</w:t>
      </w:r>
      <w:r w:rsidRPr="005C5D37">
        <w:rPr>
          <w:rFonts w:ascii="Arial" w:hAnsi="Arial" w:cs="Arial"/>
          <w:b/>
          <w:lang w:val="en-US"/>
        </w:rPr>
        <w:t xml:space="preserve"> E</w:t>
      </w:r>
      <w:r w:rsidRPr="005C5D37">
        <w:rPr>
          <w:rFonts w:ascii="Arial" w:hAnsi="Arial" w:cs="Arial"/>
          <w:lang w:val="en-US"/>
        </w:rPr>
        <w:t>), and category 3 (</w:t>
      </w:r>
      <w:r w:rsidRPr="005C5D37">
        <w:rPr>
          <w:rFonts w:ascii="Arial" w:hAnsi="Arial" w:cs="Arial"/>
          <w:b/>
          <w:lang w:val="en-US"/>
        </w:rPr>
        <w:t xml:space="preserve">C </w:t>
      </w:r>
      <w:r w:rsidRPr="005C5D37">
        <w:rPr>
          <w:rFonts w:ascii="Arial" w:hAnsi="Arial" w:cs="Arial"/>
          <w:bCs/>
          <w:lang w:val="en-US"/>
        </w:rPr>
        <w:t>and</w:t>
      </w:r>
      <w:r w:rsidRPr="005C5D37">
        <w:rPr>
          <w:rFonts w:ascii="Arial" w:hAnsi="Arial" w:cs="Arial"/>
          <w:b/>
          <w:lang w:val="en-US"/>
        </w:rPr>
        <w:t xml:space="preserve"> F</w:t>
      </w:r>
      <w:r w:rsidRPr="005C5D37">
        <w:rPr>
          <w:rFonts w:ascii="Arial" w:hAnsi="Arial" w:cs="Arial"/>
          <w:lang w:val="en-US"/>
        </w:rPr>
        <w:t>) between patients with NTG (orange) and POAG (blue</w:t>
      </w:r>
      <w:r w:rsidRPr="005C5D37">
        <w:rPr>
          <w:rFonts w:ascii="Arial" w:hAnsi="Arial" w:cs="Arial"/>
          <w:lang w:val="en-GB"/>
        </w:rPr>
        <w:t>)</w:t>
      </w:r>
      <w:r>
        <w:rPr>
          <w:rFonts w:ascii="Arial" w:hAnsi="Arial" w:cs="Arial"/>
          <w:lang w:val="en-GB"/>
        </w:rPr>
        <w:t xml:space="preserve"> using the log-rank test</w:t>
      </w:r>
      <w:r w:rsidRPr="005C5D37">
        <w:rPr>
          <w:rFonts w:ascii="Arial" w:hAnsi="Arial" w:cs="Arial"/>
          <w:lang w:val="en-US"/>
        </w:rPr>
        <w:t xml:space="preserve">. The 95% confidence intervals are represented in lighter orange and blue </w:t>
      </w:r>
      <w:proofErr w:type="spellStart"/>
      <w:r w:rsidRPr="005C5D37">
        <w:rPr>
          <w:rFonts w:ascii="Arial" w:hAnsi="Arial" w:cs="Arial"/>
          <w:lang w:val="en-US"/>
        </w:rPr>
        <w:t>colours</w:t>
      </w:r>
      <w:proofErr w:type="spellEnd"/>
      <w:r w:rsidRPr="005C5D37">
        <w:rPr>
          <w:rFonts w:ascii="Arial" w:hAnsi="Arial" w:cs="Arial"/>
          <w:lang w:val="en-US"/>
        </w:rPr>
        <w:t xml:space="preserve">, respectively. </w:t>
      </w:r>
    </w:p>
    <w:p w14:paraId="634A2087" w14:textId="77777777" w:rsidR="003360BA" w:rsidRPr="005C7D6C" w:rsidRDefault="003360BA" w:rsidP="005C7D6C">
      <w:pPr>
        <w:spacing w:line="480" w:lineRule="auto"/>
        <w:rPr>
          <w:rFonts w:ascii="Arial" w:hAnsi="Arial" w:cs="Arial"/>
          <w:bCs/>
          <w:highlight w:val="yellow"/>
          <w:lang w:val="en-US"/>
        </w:rPr>
      </w:pPr>
    </w:p>
    <w:p w14:paraId="4AB5BDB5" w14:textId="77777777" w:rsidR="005C5D37" w:rsidRDefault="005C5D37" w:rsidP="005C7D6C">
      <w:pPr>
        <w:spacing w:line="480" w:lineRule="auto"/>
        <w:rPr>
          <w:rFonts w:ascii="Arial" w:hAnsi="Arial" w:cs="Arial"/>
          <w:b/>
          <w:lang w:val="en-US"/>
        </w:rPr>
      </w:pPr>
    </w:p>
    <w:p w14:paraId="0BDA99C1" w14:textId="22DA27F4" w:rsidR="005C7D6C" w:rsidRPr="003360BA" w:rsidRDefault="005C7D6C" w:rsidP="005C7D6C">
      <w:pPr>
        <w:spacing w:line="480" w:lineRule="auto"/>
        <w:rPr>
          <w:rFonts w:ascii="Arial" w:hAnsi="Arial" w:cs="Arial"/>
          <w:b/>
          <w:highlight w:val="yellow"/>
          <w:lang w:val="en-US"/>
        </w:rPr>
      </w:pPr>
      <w:r w:rsidRPr="008217C0">
        <w:rPr>
          <w:rFonts w:ascii="Arial" w:hAnsi="Arial" w:cs="Arial"/>
          <w:b/>
          <w:lang w:val="en-US"/>
        </w:rPr>
        <w:lastRenderedPageBreak/>
        <w:t xml:space="preserve">FIGURE </w:t>
      </w:r>
      <w:r w:rsidR="007415FA">
        <w:rPr>
          <w:rFonts w:ascii="Arial" w:hAnsi="Arial" w:cs="Arial"/>
          <w:b/>
          <w:lang w:val="en-US"/>
        </w:rPr>
        <w:t>S</w:t>
      </w:r>
      <w:r w:rsidR="00AF4D18">
        <w:rPr>
          <w:rFonts w:ascii="Arial" w:hAnsi="Arial" w:cs="Arial"/>
          <w:b/>
          <w:lang w:val="en-US"/>
        </w:rPr>
        <w:t>5</w:t>
      </w:r>
      <w:r w:rsidR="003360BA">
        <w:rPr>
          <w:rFonts w:ascii="Arial" w:hAnsi="Arial" w:cs="Arial"/>
          <w:b/>
          <w:lang w:val="en-US"/>
        </w:rPr>
        <w:t>.</w:t>
      </w:r>
      <w:r w:rsidR="003360BA" w:rsidRPr="003360BA">
        <w:rPr>
          <w:lang w:val="en-US"/>
        </w:rPr>
        <w:t xml:space="preserve"> </w:t>
      </w:r>
      <w:r w:rsidR="003360BA" w:rsidRPr="003360BA">
        <w:rPr>
          <w:rFonts w:ascii="Arial" w:hAnsi="Arial" w:cs="Arial"/>
          <w:bCs/>
          <w:lang w:val="en-US"/>
        </w:rPr>
        <w:t xml:space="preserve">Kaplan–Meier survival curves for surgical success in NTG following </w:t>
      </w:r>
      <w:r w:rsidR="005644F8">
        <w:rPr>
          <w:rFonts w:ascii="Arial" w:hAnsi="Arial" w:cs="Arial"/>
          <w:bCs/>
          <w:lang w:val="en-US"/>
        </w:rPr>
        <w:t>PMS</w:t>
      </w:r>
      <w:r w:rsidR="003360BA" w:rsidRPr="003360BA">
        <w:rPr>
          <w:rFonts w:ascii="Arial" w:hAnsi="Arial" w:cs="Arial"/>
          <w:bCs/>
          <w:lang w:val="en-US"/>
        </w:rPr>
        <w:t xml:space="preserve"> versus XEN-45 implantation </w:t>
      </w:r>
      <w:r w:rsidR="005644F8" w:rsidRPr="003360BA">
        <w:rPr>
          <w:rFonts w:ascii="Arial" w:hAnsi="Arial" w:cs="Arial"/>
          <w:bCs/>
          <w:lang w:val="en-US"/>
        </w:rPr>
        <w:t>–</w:t>
      </w:r>
      <w:r w:rsidR="003360BA" w:rsidRPr="003360BA">
        <w:rPr>
          <w:rFonts w:ascii="Arial" w:hAnsi="Arial" w:cs="Arial"/>
          <w:bCs/>
          <w:lang w:val="en-US"/>
        </w:rPr>
        <w:t xml:space="preserve"> sensitivity analysis: administrative right truncation at </w:t>
      </w:r>
      <w:r w:rsidR="003360BA">
        <w:rPr>
          <w:rFonts w:ascii="Arial" w:hAnsi="Arial" w:cs="Arial"/>
          <w:bCs/>
          <w:lang w:val="en-US"/>
        </w:rPr>
        <w:t>24</w:t>
      </w:r>
      <w:r w:rsidR="003360BA" w:rsidRPr="003360BA">
        <w:rPr>
          <w:rFonts w:ascii="Arial" w:hAnsi="Arial" w:cs="Arial"/>
          <w:bCs/>
          <w:lang w:val="en-US"/>
        </w:rPr>
        <w:t xml:space="preserve"> months.</w:t>
      </w:r>
    </w:p>
    <w:p w14:paraId="15F322BF" w14:textId="182227B6" w:rsidR="0079022D" w:rsidRDefault="003360BA" w:rsidP="00052145">
      <w:pPr>
        <w:ind w:left="-567" w:hanging="567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84FE9EB" wp14:editId="3BC71780">
            <wp:extent cx="7216050" cy="4860000"/>
            <wp:effectExtent l="0" t="0" r="4445" b="0"/>
            <wp:docPr id="146207732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6050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DC9C7" w14:textId="7E77E3FF" w:rsidR="005C5D37" w:rsidRPr="005C5D37" w:rsidRDefault="003360BA" w:rsidP="005C5D37">
      <w:pPr>
        <w:spacing w:line="480" w:lineRule="auto"/>
        <w:jc w:val="both"/>
        <w:outlineLvl w:val="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Same as Figure 4: </w:t>
      </w:r>
      <w:r w:rsidR="005C5D37" w:rsidRPr="005C5D37">
        <w:rPr>
          <w:rFonts w:ascii="Arial" w:hAnsi="Arial" w:cs="Arial"/>
          <w:lang w:val="en-US"/>
        </w:rPr>
        <w:t>Kaplan</w:t>
      </w:r>
      <w:r w:rsidR="00487C55" w:rsidRPr="003360BA">
        <w:rPr>
          <w:rFonts w:ascii="Arial" w:hAnsi="Arial" w:cs="Arial"/>
          <w:bCs/>
          <w:lang w:val="en-US"/>
        </w:rPr>
        <w:t>–</w:t>
      </w:r>
      <w:r w:rsidR="005C5D37" w:rsidRPr="005C5D37">
        <w:rPr>
          <w:rFonts w:ascii="Arial" w:hAnsi="Arial" w:cs="Arial"/>
          <w:lang w:val="en-US"/>
        </w:rPr>
        <w:t>Meier estimates were used to compare complete and qualified surgical success for category 1 (</w:t>
      </w:r>
      <w:r w:rsidR="005C5D37" w:rsidRPr="005C5D37">
        <w:rPr>
          <w:rFonts w:ascii="Arial" w:hAnsi="Arial" w:cs="Arial"/>
          <w:b/>
          <w:lang w:val="en-US"/>
        </w:rPr>
        <w:t xml:space="preserve">A </w:t>
      </w:r>
      <w:r w:rsidR="005C5D37" w:rsidRPr="005C5D37">
        <w:rPr>
          <w:rFonts w:ascii="Arial" w:hAnsi="Arial" w:cs="Arial"/>
          <w:bCs/>
          <w:lang w:val="en-US"/>
        </w:rPr>
        <w:t>and</w:t>
      </w:r>
      <w:r w:rsidR="005C5D37" w:rsidRPr="005C5D37">
        <w:rPr>
          <w:rFonts w:ascii="Arial" w:hAnsi="Arial" w:cs="Arial"/>
          <w:b/>
          <w:lang w:val="en-US"/>
        </w:rPr>
        <w:t xml:space="preserve"> D</w:t>
      </w:r>
      <w:r w:rsidR="005C5D37" w:rsidRPr="005C5D37">
        <w:rPr>
          <w:rFonts w:ascii="Arial" w:hAnsi="Arial" w:cs="Arial"/>
          <w:lang w:val="en-US"/>
        </w:rPr>
        <w:t>), category 2 (</w:t>
      </w:r>
      <w:r w:rsidR="005C5D37" w:rsidRPr="005C5D37">
        <w:rPr>
          <w:rFonts w:ascii="Arial" w:hAnsi="Arial" w:cs="Arial"/>
          <w:b/>
          <w:lang w:val="en-US"/>
        </w:rPr>
        <w:t xml:space="preserve">B </w:t>
      </w:r>
      <w:r w:rsidR="005C5D37" w:rsidRPr="005C5D37">
        <w:rPr>
          <w:rFonts w:ascii="Arial" w:hAnsi="Arial" w:cs="Arial"/>
          <w:bCs/>
          <w:lang w:val="en-US"/>
        </w:rPr>
        <w:t>and</w:t>
      </w:r>
      <w:r w:rsidR="005C5D37" w:rsidRPr="005C5D37">
        <w:rPr>
          <w:rFonts w:ascii="Arial" w:hAnsi="Arial" w:cs="Arial"/>
          <w:b/>
          <w:lang w:val="en-US"/>
        </w:rPr>
        <w:t xml:space="preserve"> E</w:t>
      </w:r>
      <w:r w:rsidR="005C5D37" w:rsidRPr="005C5D37">
        <w:rPr>
          <w:rFonts w:ascii="Arial" w:hAnsi="Arial" w:cs="Arial"/>
          <w:lang w:val="en-US"/>
        </w:rPr>
        <w:t>), and category 3 (</w:t>
      </w:r>
      <w:r w:rsidR="005C5D37" w:rsidRPr="005C5D37">
        <w:rPr>
          <w:rFonts w:ascii="Arial" w:hAnsi="Arial" w:cs="Arial"/>
          <w:b/>
          <w:lang w:val="en-US"/>
        </w:rPr>
        <w:t xml:space="preserve">C </w:t>
      </w:r>
      <w:r w:rsidR="005C5D37" w:rsidRPr="005C5D37">
        <w:rPr>
          <w:rFonts w:ascii="Arial" w:hAnsi="Arial" w:cs="Arial"/>
          <w:bCs/>
          <w:lang w:val="en-US"/>
        </w:rPr>
        <w:t>and</w:t>
      </w:r>
      <w:r w:rsidR="005C5D37" w:rsidRPr="005C5D37">
        <w:rPr>
          <w:rFonts w:ascii="Arial" w:hAnsi="Arial" w:cs="Arial"/>
          <w:b/>
          <w:lang w:val="en-US"/>
        </w:rPr>
        <w:t xml:space="preserve"> F</w:t>
      </w:r>
      <w:r w:rsidR="005C5D37" w:rsidRPr="005C5D37">
        <w:rPr>
          <w:rFonts w:ascii="Arial" w:hAnsi="Arial" w:cs="Arial"/>
          <w:lang w:val="en-US"/>
        </w:rPr>
        <w:t>) between NTG eyes that received the PMS (orange) and XEN-45 implant (blue)</w:t>
      </w:r>
      <w:r>
        <w:rPr>
          <w:rFonts w:ascii="Arial" w:hAnsi="Arial" w:cs="Arial"/>
          <w:lang w:val="en-US"/>
        </w:rPr>
        <w:t xml:space="preserve"> using the log-rank test</w:t>
      </w:r>
      <w:r w:rsidR="005C5D37" w:rsidRPr="005C5D37">
        <w:rPr>
          <w:rFonts w:ascii="Arial" w:hAnsi="Arial" w:cs="Arial"/>
          <w:lang w:val="en-US"/>
        </w:rPr>
        <w:t xml:space="preserve">. The 95% confidence intervals are represented in lighter orange and blue </w:t>
      </w:r>
      <w:proofErr w:type="spellStart"/>
      <w:r w:rsidR="005C5D37" w:rsidRPr="005C5D37">
        <w:rPr>
          <w:rFonts w:ascii="Arial" w:hAnsi="Arial" w:cs="Arial"/>
          <w:lang w:val="en-US"/>
        </w:rPr>
        <w:t>colours</w:t>
      </w:r>
      <w:proofErr w:type="spellEnd"/>
      <w:r w:rsidR="005C5D37" w:rsidRPr="005C5D37">
        <w:rPr>
          <w:rFonts w:ascii="Arial" w:hAnsi="Arial" w:cs="Arial"/>
          <w:lang w:val="en-US"/>
        </w:rPr>
        <w:t>, respectively.</w:t>
      </w:r>
    </w:p>
    <w:p w14:paraId="2A229729" w14:textId="77777777" w:rsidR="005C5D37" w:rsidRPr="005C7D6C" w:rsidRDefault="005C5D37" w:rsidP="00052145">
      <w:pPr>
        <w:ind w:left="-567" w:hanging="567"/>
        <w:rPr>
          <w:lang w:val="en-US"/>
        </w:rPr>
      </w:pPr>
    </w:p>
    <w:sectPr w:rsidR="005C5D37" w:rsidRPr="005C7D6C"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34A1B" w14:textId="77777777" w:rsidR="00957D6A" w:rsidRDefault="00957D6A">
      <w:pPr>
        <w:spacing w:after="0" w:line="240" w:lineRule="auto"/>
      </w:pPr>
      <w:r>
        <w:separator/>
      </w:r>
    </w:p>
  </w:endnote>
  <w:endnote w:type="continuationSeparator" w:id="0">
    <w:p w14:paraId="5204A0AB" w14:textId="77777777" w:rsidR="00957D6A" w:rsidRDefault="00957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7797173"/>
      <w:docPartObj>
        <w:docPartGallery w:val="Page Numbers (Bottom of Page)"/>
        <w:docPartUnique/>
      </w:docPartObj>
    </w:sdtPr>
    <w:sdtContent>
      <w:p w14:paraId="06AD592D" w14:textId="77777777" w:rsidR="0079022D" w:rsidRDefault="000667F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5B2">
          <w:rPr>
            <w:noProof/>
          </w:rPr>
          <w:t>1</w:t>
        </w:r>
        <w:r>
          <w:fldChar w:fldCharType="end"/>
        </w:r>
      </w:p>
    </w:sdtContent>
  </w:sdt>
  <w:p w14:paraId="4342BB96" w14:textId="77777777" w:rsidR="0079022D" w:rsidRDefault="0079022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3EFFA" w14:textId="77777777" w:rsidR="00957D6A" w:rsidRDefault="00957D6A">
      <w:pPr>
        <w:spacing w:after="0" w:line="240" w:lineRule="auto"/>
      </w:pPr>
      <w:r>
        <w:separator/>
      </w:r>
    </w:p>
  </w:footnote>
  <w:footnote w:type="continuationSeparator" w:id="0">
    <w:p w14:paraId="4F19F800" w14:textId="77777777" w:rsidR="00957D6A" w:rsidRDefault="00957D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22D"/>
    <w:rsid w:val="000205B2"/>
    <w:rsid w:val="00023C26"/>
    <w:rsid w:val="0003162C"/>
    <w:rsid w:val="00052145"/>
    <w:rsid w:val="000667FB"/>
    <w:rsid w:val="000E4179"/>
    <w:rsid w:val="001463E5"/>
    <w:rsid w:val="001565EA"/>
    <w:rsid w:val="00165202"/>
    <w:rsid w:val="0019384E"/>
    <w:rsid w:val="00227F70"/>
    <w:rsid w:val="002F082D"/>
    <w:rsid w:val="003059A5"/>
    <w:rsid w:val="00313777"/>
    <w:rsid w:val="00321CB3"/>
    <w:rsid w:val="003360BA"/>
    <w:rsid w:val="003F70C0"/>
    <w:rsid w:val="0042587A"/>
    <w:rsid w:val="00487C55"/>
    <w:rsid w:val="00493AE6"/>
    <w:rsid w:val="004D2896"/>
    <w:rsid w:val="005644F8"/>
    <w:rsid w:val="00587175"/>
    <w:rsid w:val="005B7DFC"/>
    <w:rsid w:val="005C5D37"/>
    <w:rsid w:val="005C7D6C"/>
    <w:rsid w:val="006105A1"/>
    <w:rsid w:val="00700548"/>
    <w:rsid w:val="007415FA"/>
    <w:rsid w:val="0076173E"/>
    <w:rsid w:val="0079022D"/>
    <w:rsid w:val="007B62D6"/>
    <w:rsid w:val="007D7121"/>
    <w:rsid w:val="00815475"/>
    <w:rsid w:val="008217C0"/>
    <w:rsid w:val="009002A2"/>
    <w:rsid w:val="00920202"/>
    <w:rsid w:val="00957D6A"/>
    <w:rsid w:val="00957D97"/>
    <w:rsid w:val="00976362"/>
    <w:rsid w:val="009A4D13"/>
    <w:rsid w:val="009B65DD"/>
    <w:rsid w:val="009E38F1"/>
    <w:rsid w:val="00A0584B"/>
    <w:rsid w:val="00AF4D18"/>
    <w:rsid w:val="00B158BA"/>
    <w:rsid w:val="00C024CA"/>
    <w:rsid w:val="00C60DF8"/>
    <w:rsid w:val="00CA0273"/>
    <w:rsid w:val="00CF746B"/>
    <w:rsid w:val="00D53D46"/>
    <w:rsid w:val="00D749F5"/>
    <w:rsid w:val="00DB7F2E"/>
    <w:rsid w:val="00E33E9A"/>
    <w:rsid w:val="00E34ADB"/>
    <w:rsid w:val="00E5594E"/>
    <w:rsid w:val="00F3615E"/>
    <w:rsid w:val="00FD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17C347C"/>
  <w15:docId w15:val="{42AD75E3-B54A-45D3-83E4-EDAF2001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60BA"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67F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67F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6A66B-3696-4046-9326-C352F0746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318</Words>
  <Characters>2004</Characters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2026-07-19T09:07:00Z</dcterms:created>
  <dcterms:modified xsi:type="dcterms:W3CDTF">2026-07-19T09:12:00Z</dcterms:modified>
</cp:coreProperties>
</file>