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2F5D" w14:textId="5878F1F7" w:rsidR="0080737F" w:rsidRDefault="0080737F" w:rsidP="0080737F">
      <w:pPr>
        <w:spacing w:line="480" w:lineRule="auto"/>
        <w:rPr>
          <w:rFonts w:cs="Arial"/>
          <w:b/>
          <w:color w:val="000000"/>
          <w:szCs w:val="24"/>
        </w:rPr>
      </w:pPr>
      <w:r w:rsidRPr="0080737F">
        <w:rPr>
          <w:rFonts w:cs="Arial"/>
          <w:b/>
          <w:color w:val="000000"/>
          <w:szCs w:val="24"/>
        </w:rPr>
        <w:t xml:space="preserve">Table S1. </w:t>
      </w:r>
      <w:r w:rsidRPr="0080737F">
        <w:rPr>
          <w:rFonts w:cs="Arial"/>
          <w:bCs/>
          <w:color w:val="000000"/>
          <w:szCs w:val="24"/>
        </w:rPr>
        <w:t xml:space="preserve">Stratified univariate Cox regression </w:t>
      </w:r>
      <w:r w:rsidR="00A823CC" w:rsidRPr="00A823CC">
        <w:rPr>
          <w:rFonts w:cs="Arial"/>
          <w:bCs/>
          <w:color w:val="000000"/>
          <w:szCs w:val="24"/>
          <w:lang w:val="en-US"/>
        </w:rPr>
        <w:t>–</w:t>
      </w:r>
      <w:r w:rsidRPr="0080737F">
        <w:rPr>
          <w:rFonts w:cs="Arial"/>
          <w:bCs/>
          <w:color w:val="000000"/>
          <w:szCs w:val="24"/>
        </w:rPr>
        <w:t xml:space="preserve"> incisional revisions not considered failure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1985"/>
        <w:gridCol w:w="1701"/>
      </w:tblGrid>
      <w:tr w:rsidR="0080737F" w14:paraId="5E49A9EA" w14:textId="77777777" w:rsidTr="003002EE">
        <w:tc>
          <w:tcPr>
            <w:tcW w:w="3544" w:type="dxa"/>
          </w:tcPr>
          <w:p w14:paraId="1D73F2E1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/>
                <w:color w:val="000000"/>
                <w:szCs w:val="24"/>
              </w:rPr>
              <w:t>Success category</w:t>
            </w:r>
          </w:p>
        </w:tc>
        <w:tc>
          <w:tcPr>
            <w:tcW w:w="1559" w:type="dxa"/>
          </w:tcPr>
          <w:p w14:paraId="04397164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/>
                <w:color w:val="000000"/>
                <w:szCs w:val="24"/>
              </w:rPr>
              <w:t>Events</w:t>
            </w:r>
            <w:r>
              <w:rPr>
                <w:rFonts w:cs="Arial"/>
                <w:b/>
                <w:color w:val="000000"/>
                <w:szCs w:val="24"/>
              </w:rPr>
              <w:t xml:space="preserve"> (n/N)</w:t>
            </w:r>
          </w:p>
        </w:tc>
        <w:tc>
          <w:tcPr>
            <w:tcW w:w="1985" w:type="dxa"/>
          </w:tcPr>
          <w:p w14:paraId="2ABFC007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/>
                <w:color w:val="000000"/>
                <w:szCs w:val="24"/>
              </w:rPr>
              <w:t>HR (95% CI)</w:t>
            </w:r>
          </w:p>
        </w:tc>
        <w:tc>
          <w:tcPr>
            <w:tcW w:w="1701" w:type="dxa"/>
          </w:tcPr>
          <w:p w14:paraId="193696F3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rPr>
                <w:rFonts w:cs="Arial"/>
                <w:b/>
                <w:color w:val="000000"/>
                <w:szCs w:val="24"/>
              </w:rPr>
              <w:t>P-Value</w:t>
            </w:r>
            <w:r w:rsidRPr="00406EBD">
              <w:rPr>
                <w:rFonts w:cs="Arial"/>
                <w:b/>
                <w:color w:val="000000"/>
                <w:szCs w:val="24"/>
              </w:rPr>
              <w:t xml:space="preserve"> (Cox)</w:t>
            </w:r>
          </w:p>
        </w:tc>
      </w:tr>
      <w:tr w:rsidR="00BC6F5D" w14:paraId="07904800" w14:textId="77777777" w:rsidTr="003002EE">
        <w:tc>
          <w:tcPr>
            <w:tcW w:w="3544" w:type="dxa"/>
          </w:tcPr>
          <w:p w14:paraId="4B085458" w14:textId="77777777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Cs/>
                <w:color w:val="000000"/>
                <w:szCs w:val="24"/>
              </w:rPr>
              <w:t>≤9 mmHg, ≥40% (complete)</w:t>
            </w:r>
          </w:p>
        </w:tc>
        <w:tc>
          <w:tcPr>
            <w:tcW w:w="1559" w:type="dxa"/>
          </w:tcPr>
          <w:p w14:paraId="199881BF" w14:textId="40C0D9C5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874394">
              <w:t>68</w:t>
            </w:r>
            <w:r>
              <w:t>/100</w:t>
            </w:r>
          </w:p>
        </w:tc>
        <w:tc>
          <w:tcPr>
            <w:tcW w:w="1985" w:type="dxa"/>
          </w:tcPr>
          <w:p w14:paraId="0AB644B2" w14:textId="416F2AB4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BA12C2">
              <w:t>0.66 (0.4-1.11)</w:t>
            </w:r>
          </w:p>
        </w:tc>
        <w:tc>
          <w:tcPr>
            <w:tcW w:w="1701" w:type="dxa"/>
          </w:tcPr>
          <w:p w14:paraId="0D761F02" w14:textId="60C60C29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250F15">
              <w:t>0.1169</w:t>
            </w:r>
          </w:p>
        </w:tc>
      </w:tr>
      <w:tr w:rsidR="00BC6F5D" w14:paraId="4A2D219F" w14:textId="77777777" w:rsidTr="003002EE">
        <w:tc>
          <w:tcPr>
            <w:tcW w:w="3544" w:type="dxa"/>
          </w:tcPr>
          <w:p w14:paraId="4526EB49" w14:textId="77777777" w:rsidR="00BC6F5D" w:rsidRPr="00406EBD" w:rsidRDefault="00BC6F5D" w:rsidP="00BC6F5D">
            <w:pPr>
              <w:spacing w:line="480" w:lineRule="auto"/>
              <w:rPr>
                <w:rFonts w:cs="Arial"/>
                <w:bCs/>
                <w:color w:val="000000"/>
                <w:szCs w:val="24"/>
              </w:rPr>
            </w:pPr>
            <w:r w:rsidRPr="00406EBD">
              <w:rPr>
                <w:rFonts w:cs="Arial"/>
                <w:bCs/>
                <w:color w:val="000000"/>
                <w:szCs w:val="24"/>
              </w:rPr>
              <w:t>≤9 mmHg, ≥40% (</w:t>
            </w:r>
            <w:r>
              <w:rPr>
                <w:rFonts w:cs="Arial"/>
                <w:bCs/>
                <w:color w:val="000000"/>
                <w:szCs w:val="24"/>
              </w:rPr>
              <w:t>qualified</w:t>
            </w:r>
            <w:r w:rsidRPr="00406EBD">
              <w:rPr>
                <w:rFonts w:cs="Arial"/>
                <w:bCs/>
                <w:color w:val="000000"/>
                <w:szCs w:val="24"/>
              </w:rPr>
              <w:t>)</w:t>
            </w:r>
          </w:p>
        </w:tc>
        <w:tc>
          <w:tcPr>
            <w:tcW w:w="1559" w:type="dxa"/>
          </w:tcPr>
          <w:p w14:paraId="011D2DB5" w14:textId="28CD79C1" w:rsidR="00BC6F5D" w:rsidRPr="00406EBD" w:rsidRDefault="00BC6F5D" w:rsidP="00BC6F5D">
            <w:pPr>
              <w:spacing w:line="480" w:lineRule="auto"/>
              <w:rPr>
                <w:rFonts w:cs="Arial"/>
                <w:bCs/>
                <w:color w:val="000000"/>
                <w:szCs w:val="24"/>
              </w:rPr>
            </w:pPr>
            <w:r w:rsidRPr="00874394">
              <w:t>68</w:t>
            </w:r>
            <w:r>
              <w:t>/100</w:t>
            </w:r>
          </w:p>
        </w:tc>
        <w:tc>
          <w:tcPr>
            <w:tcW w:w="1985" w:type="dxa"/>
          </w:tcPr>
          <w:p w14:paraId="576F3897" w14:textId="6DC4BA6D" w:rsidR="00BC6F5D" w:rsidRPr="00406EBD" w:rsidRDefault="00BC6F5D" w:rsidP="00BC6F5D">
            <w:pPr>
              <w:spacing w:line="480" w:lineRule="auto"/>
              <w:rPr>
                <w:rFonts w:cs="Arial"/>
                <w:bCs/>
                <w:color w:val="000000"/>
                <w:szCs w:val="24"/>
              </w:rPr>
            </w:pPr>
            <w:r w:rsidRPr="00BA12C2">
              <w:t>0.66 (0.4-1.11)</w:t>
            </w:r>
          </w:p>
        </w:tc>
        <w:tc>
          <w:tcPr>
            <w:tcW w:w="1701" w:type="dxa"/>
          </w:tcPr>
          <w:p w14:paraId="60DAEFC4" w14:textId="2F30D538" w:rsidR="00BC6F5D" w:rsidRPr="00406EBD" w:rsidRDefault="00BC6F5D" w:rsidP="00BC6F5D">
            <w:pPr>
              <w:spacing w:line="480" w:lineRule="auto"/>
              <w:rPr>
                <w:rFonts w:cs="Arial"/>
                <w:bCs/>
                <w:color w:val="000000"/>
                <w:szCs w:val="24"/>
              </w:rPr>
            </w:pPr>
            <w:r w:rsidRPr="00250F15">
              <w:t>0.1169</w:t>
            </w:r>
          </w:p>
        </w:tc>
      </w:tr>
      <w:tr w:rsidR="00BC6F5D" w14:paraId="0B6D743F" w14:textId="77777777" w:rsidTr="003002EE">
        <w:tc>
          <w:tcPr>
            <w:tcW w:w="3544" w:type="dxa"/>
          </w:tcPr>
          <w:p w14:paraId="406FAE6C" w14:textId="77777777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Cs/>
                <w:color w:val="000000"/>
                <w:szCs w:val="24"/>
              </w:rPr>
              <w:t>≤12 mmHg, ≥30% (complete)</w:t>
            </w:r>
          </w:p>
        </w:tc>
        <w:tc>
          <w:tcPr>
            <w:tcW w:w="1559" w:type="dxa"/>
          </w:tcPr>
          <w:p w14:paraId="17834106" w14:textId="7F70954A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874394">
              <w:t>36</w:t>
            </w:r>
            <w:r>
              <w:t>/100</w:t>
            </w:r>
          </w:p>
        </w:tc>
        <w:tc>
          <w:tcPr>
            <w:tcW w:w="1985" w:type="dxa"/>
          </w:tcPr>
          <w:p w14:paraId="21624A37" w14:textId="1D1C30D2" w:rsidR="00BC6F5D" w:rsidRPr="00BC3C84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0.48 (0.23-0.99)</w:t>
            </w:r>
          </w:p>
        </w:tc>
        <w:tc>
          <w:tcPr>
            <w:tcW w:w="1701" w:type="dxa"/>
          </w:tcPr>
          <w:p w14:paraId="52C5DAF3" w14:textId="5D89A25B" w:rsidR="00BC6F5D" w:rsidRPr="00BC3C84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0.0476</w:t>
            </w:r>
          </w:p>
        </w:tc>
      </w:tr>
      <w:tr w:rsidR="00BC6F5D" w14:paraId="2A910A44" w14:textId="77777777" w:rsidTr="003002EE">
        <w:tc>
          <w:tcPr>
            <w:tcW w:w="3544" w:type="dxa"/>
          </w:tcPr>
          <w:p w14:paraId="011151CF" w14:textId="77777777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Cs/>
                <w:color w:val="000000"/>
                <w:szCs w:val="24"/>
              </w:rPr>
              <w:t>≤12 mmHg, ≥30% (qualified)</w:t>
            </w:r>
          </w:p>
        </w:tc>
        <w:tc>
          <w:tcPr>
            <w:tcW w:w="1559" w:type="dxa"/>
          </w:tcPr>
          <w:p w14:paraId="107C192A" w14:textId="04267480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874394">
              <w:t>35</w:t>
            </w:r>
            <w:r>
              <w:t>/100</w:t>
            </w:r>
          </w:p>
        </w:tc>
        <w:tc>
          <w:tcPr>
            <w:tcW w:w="1985" w:type="dxa"/>
          </w:tcPr>
          <w:p w14:paraId="03DE251F" w14:textId="524FF424" w:rsidR="00BC6F5D" w:rsidRPr="00BC3C84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0.44 (0.21-0.91)</w:t>
            </w:r>
          </w:p>
        </w:tc>
        <w:tc>
          <w:tcPr>
            <w:tcW w:w="1701" w:type="dxa"/>
          </w:tcPr>
          <w:p w14:paraId="7C42D277" w14:textId="6055F845" w:rsidR="00BC6F5D" w:rsidRPr="00BC3C84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0.0277</w:t>
            </w:r>
          </w:p>
        </w:tc>
      </w:tr>
      <w:tr w:rsidR="00BC6F5D" w14:paraId="0A5600C1" w14:textId="77777777" w:rsidTr="003002EE">
        <w:tc>
          <w:tcPr>
            <w:tcW w:w="3544" w:type="dxa"/>
          </w:tcPr>
          <w:p w14:paraId="1943ABA5" w14:textId="77777777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Cs/>
                <w:color w:val="000000"/>
                <w:szCs w:val="24"/>
              </w:rPr>
              <w:t>≤15 mmHg, ≥25% (complete)</w:t>
            </w:r>
          </w:p>
        </w:tc>
        <w:tc>
          <w:tcPr>
            <w:tcW w:w="1559" w:type="dxa"/>
          </w:tcPr>
          <w:p w14:paraId="541CA3B8" w14:textId="5D225E2F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874394">
              <w:t>19</w:t>
            </w:r>
            <w:r>
              <w:t>/100</w:t>
            </w:r>
          </w:p>
        </w:tc>
        <w:tc>
          <w:tcPr>
            <w:tcW w:w="1985" w:type="dxa"/>
          </w:tcPr>
          <w:p w14:paraId="69C1AE52" w14:textId="0A84193A" w:rsidR="00BC6F5D" w:rsidRPr="00BC3C84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0.29 (0.1-0.82)</w:t>
            </w:r>
          </w:p>
        </w:tc>
        <w:tc>
          <w:tcPr>
            <w:tcW w:w="1701" w:type="dxa"/>
          </w:tcPr>
          <w:p w14:paraId="46496FE2" w14:textId="08C88BFB" w:rsidR="00BC6F5D" w:rsidRPr="00BC3C84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0.0197</w:t>
            </w:r>
          </w:p>
        </w:tc>
      </w:tr>
      <w:tr w:rsidR="00BC6F5D" w14:paraId="498786D7" w14:textId="77777777" w:rsidTr="003002EE">
        <w:tc>
          <w:tcPr>
            <w:tcW w:w="3544" w:type="dxa"/>
          </w:tcPr>
          <w:p w14:paraId="2067A2D0" w14:textId="77777777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Cs/>
                <w:color w:val="000000"/>
                <w:szCs w:val="24"/>
              </w:rPr>
              <w:t>≤15 mmHg, ≥25% (qualified)</w:t>
            </w:r>
          </w:p>
        </w:tc>
        <w:tc>
          <w:tcPr>
            <w:tcW w:w="1559" w:type="dxa"/>
          </w:tcPr>
          <w:p w14:paraId="42DDCFF7" w14:textId="10AEE1B8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874394">
              <w:t>16</w:t>
            </w:r>
            <w:r>
              <w:t>/100</w:t>
            </w:r>
          </w:p>
        </w:tc>
        <w:tc>
          <w:tcPr>
            <w:tcW w:w="1985" w:type="dxa"/>
          </w:tcPr>
          <w:p w14:paraId="52801EBB" w14:textId="201618E7" w:rsidR="00BC6F5D" w:rsidRPr="00BC3C84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0.28 (0.1-0.84)</w:t>
            </w:r>
          </w:p>
        </w:tc>
        <w:tc>
          <w:tcPr>
            <w:tcW w:w="1701" w:type="dxa"/>
          </w:tcPr>
          <w:p w14:paraId="1827CA45" w14:textId="0AC60D38" w:rsidR="00BC6F5D" w:rsidRPr="00BC3C84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0.0227</w:t>
            </w:r>
          </w:p>
        </w:tc>
      </w:tr>
    </w:tbl>
    <w:p w14:paraId="6F4CD4C6" w14:textId="77777777" w:rsidR="0080737F" w:rsidRDefault="0080737F" w:rsidP="0080737F">
      <w:pPr>
        <w:spacing w:line="480" w:lineRule="auto"/>
        <w:rPr>
          <w:rFonts w:cs="Arial"/>
          <w:b/>
          <w:color w:val="000000"/>
          <w:szCs w:val="24"/>
        </w:rPr>
      </w:pPr>
    </w:p>
    <w:p w14:paraId="718B94A1" w14:textId="5F3B908F" w:rsidR="0080737F" w:rsidRDefault="0080737F" w:rsidP="0080737F">
      <w:pPr>
        <w:spacing w:line="480" w:lineRule="auto"/>
        <w:jc w:val="both"/>
        <w:rPr>
          <w:rFonts w:cs="Arial"/>
          <w:bCs/>
          <w:color w:val="000000"/>
          <w:szCs w:val="24"/>
        </w:rPr>
      </w:pPr>
      <w:r w:rsidRPr="0080737F">
        <w:rPr>
          <w:rFonts w:cs="Arial"/>
          <w:bCs/>
          <w:color w:val="000000"/>
          <w:szCs w:val="24"/>
        </w:rPr>
        <w:t>Same as Table 3, plus: In this sensitivity analysis, incisional bleb revisions were not considered surgical failure</w:t>
      </w:r>
      <w:r w:rsidRPr="00BC3C84">
        <w:rPr>
          <w:rFonts w:cs="Arial"/>
          <w:bCs/>
          <w:color w:val="000000"/>
          <w:szCs w:val="24"/>
        </w:rPr>
        <w:t>. Statistically significant results (p &lt; 0.05) are shown in bold.</w:t>
      </w:r>
    </w:p>
    <w:p w14:paraId="74A86657" w14:textId="77777777" w:rsidR="00E50E5D" w:rsidRPr="00BC3C84" w:rsidRDefault="00E50E5D" w:rsidP="0080737F">
      <w:pPr>
        <w:spacing w:line="480" w:lineRule="auto"/>
        <w:jc w:val="both"/>
        <w:rPr>
          <w:rFonts w:cs="Arial"/>
          <w:bCs/>
          <w:color w:val="000000"/>
          <w:szCs w:val="24"/>
        </w:rPr>
      </w:pPr>
    </w:p>
    <w:p w14:paraId="3EA10335" w14:textId="77777777" w:rsidR="005571C4" w:rsidRDefault="005571C4"/>
    <w:p w14:paraId="2E4B0253" w14:textId="76FB0627" w:rsidR="0080737F" w:rsidRDefault="0080737F" w:rsidP="0080737F">
      <w:pPr>
        <w:spacing w:line="480" w:lineRule="auto"/>
        <w:rPr>
          <w:rFonts w:cs="Arial"/>
          <w:b/>
          <w:color w:val="000000"/>
          <w:szCs w:val="24"/>
        </w:rPr>
      </w:pPr>
      <w:r w:rsidRPr="0080737F">
        <w:rPr>
          <w:rFonts w:cs="Arial"/>
          <w:b/>
          <w:bCs/>
          <w:color w:val="000000"/>
          <w:szCs w:val="24"/>
        </w:rPr>
        <w:t xml:space="preserve">Table S2. </w:t>
      </w:r>
      <w:r w:rsidRPr="0080737F">
        <w:rPr>
          <w:rFonts w:cs="Arial"/>
          <w:color w:val="000000"/>
          <w:szCs w:val="24"/>
        </w:rPr>
        <w:t xml:space="preserve">Stratified univariate Cox regression </w:t>
      </w:r>
      <w:r w:rsidR="00A823CC" w:rsidRPr="00A823CC">
        <w:rPr>
          <w:rFonts w:cs="Arial"/>
          <w:bCs/>
          <w:color w:val="000000"/>
          <w:szCs w:val="24"/>
          <w:lang w:val="en-US"/>
        </w:rPr>
        <w:t>–</w:t>
      </w:r>
      <w:r w:rsidRPr="0080737F">
        <w:rPr>
          <w:rFonts w:cs="Arial"/>
          <w:color w:val="000000"/>
          <w:szCs w:val="24"/>
        </w:rPr>
        <w:t xml:space="preserve"> percentage IOP reduction only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1985"/>
        <w:gridCol w:w="1701"/>
      </w:tblGrid>
      <w:tr w:rsidR="0080737F" w14:paraId="3B28F433" w14:textId="77777777" w:rsidTr="003002EE">
        <w:tc>
          <w:tcPr>
            <w:tcW w:w="3544" w:type="dxa"/>
          </w:tcPr>
          <w:p w14:paraId="0EA503D8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/>
                <w:color w:val="000000"/>
                <w:szCs w:val="24"/>
              </w:rPr>
              <w:t>Success category</w:t>
            </w:r>
          </w:p>
        </w:tc>
        <w:tc>
          <w:tcPr>
            <w:tcW w:w="1559" w:type="dxa"/>
          </w:tcPr>
          <w:p w14:paraId="6B913934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/>
                <w:color w:val="000000"/>
                <w:szCs w:val="24"/>
              </w:rPr>
              <w:t>Events</w:t>
            </w:r>
            <w:r>
              <w:rPr>
                <w:rFonts w:cs="Arial"/>
                <w:b/>
                <w:color w:val="000000"/>
                <w:szCs w:val="24"/>
              </w:rPr>
              <w:t xml:space="preserve"> (n/N)</w:t>
            </w:r>
          </w:p>
        </w:tc>
        <w:tc>
          <w:tcPr>
            <w:tcW w:w="1985" w:type="dxa"/>
          </w:tcPr>
          <w:p w14:paraId="3D4C6186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/>
                <w:color w:val="000000"/>
                <w:szCs w:val="24"/>
              </w:rPr>
              <w:t>HR (95% CI)</w:t>
            </w:r>
          </w:p>
        </w:tc>
        <w:tc>
          <w:tcPr>
            <w:tcW w:w="1701" w:type="dxa"/>
          </w:tcPr>
          <w:p w14:paraId="36461F3B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rPr>
                <w:rFonts w:cs="Arial"/>
                <w:b/>
                <w:color w:val="000000"/>
                <w:szCs w:val="24"/>
              </w:rPr>
              <w:t>P-Value</w:t>
            </w:r>
            <w:r w:rsidRPr="00406EBD">
              <w:rPr>
                <w:rFonts w:cs="Arial"/>
                <w:b/>
                <w:color w:val="000000"/>
                <w:szCs w:val="24"/>
              </w:rPr>
              <w:t xml:space="preserve"> (Cox)</w:t>
            </w:r>
          </w:p>
        </w:tc>
      </w:tr>
      <w:tr w:rsidR="00BC6F5D" w14:paraId="3AD73EE7" w14:textId="77777777" w:rsidTr="00320CD4">
        <w:tc>
          <w:tcPr>
            <w:tcW w:w="3544" w:type="dxa"/>
            <w:vAlign w:val="center"/>
          </w:tcPr>
          <w:p w14:paraId="2D2D133B" w14:textId="5187908D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t>≥40% reduction (complete)</w:t>
            </w:r>
          </w:p>
        </w:tc>
        <w:tc>
          <w:tcPr>
            <w:tcW w:w="1559" w:type="dxa"/>
          </w:tcPr>
          <w:p w14:paraId="35479BF2" w14:textId="6DA469BE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9E410E">
              <w:t>45</w:t>
            </w:r>
            <w:r>
              <w:t>/100</w:t>
            </w:r>
          </w:p>
        </w:tc>
        <w:tc>
          <w:tcPr>
            <w:tcW w:w="1985" w:type="dxa"/>
          </w:tcPr>
          <w:p w14:paraId="173660C4" w14:textId="1249C05C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63354D">
              <w:t>0.58 (0.32-1.04)</w:t>
            </w:r>
          </w:p>
        </w:tc>
        <w:tc>
          <w:tcPr>
            <w:tcW w:w="1701" w:type="dxa"/>
          </w:tcPr>
          <w:p w14:paraId="1C2B0E7B" w14:textId="47F7D63F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F5390">
              <w:t>0.0696</w:t>
            </w:r>
          </w:p>
        </w:tc>
      </w:tr>
      <w:tr w:rsidR="00BC6F5D" w14:paraId="5AF0FE95" w14:textId="77777777" w:rsidTr="00320CD4">
        <w:tc>
          <w:tcPr>
            <w:tcW w:w="3544" w:type="dxa"/>
            <w:vAlign w:val="center"/>
          </w:tcPr>
          <w:p w14:paraId="6E9502ED" w14:textId="1F84CF70" w:rsidR="00BC6F5D" w:rsidRPr="00406EBD" w:rsidRDefault="00BC6F5D" w:rsidP="00BC6F5D">
            <w:pPr>
              <w:spacing w:line="480" w:lineRule="auto"/>
              <w:rPr>
                <w:rFonts w:cs="Arial"/>
                <w:bCs/>
                <w:color w:val="000000"/>
                <w:szCs w:val="24"/>
              </w:rPr>
            </w:pPr>
            <w:r>
              <w:t>≥40% reduction (qualified)</w:t>
            </w:r>
          </w:p>
        </w:tc>
        <w:tc>
          <w:tcPr>
            <w:tcW w:w="1559" w:type="dxa"/>
          </w:tcPr>
          <w:p w14:paraId="659E2439" w14:textId="76F1D697" w:rsidR="00BC6F5D" w:rsidRPr="00406EBD" w:rsidRDefault="00BC6F5D" w:rsidP="00BC6F5D">
            <w:pPr>
              <w:spacing w:line="480" w:lineRule="auto"/>
              <w:rPr>
                <w:rFonts w:cs="Arial"/>
                <w:bCs/>
                <w:color w:val="000000"/>
                <w:szCs w:val="24"/>
              </w:rPr>
            </w:pPr>
            <w:r w:rsidRPr="009E410E">
              <w:t>44</w:t>
            </w:r>
            <w:r>
              <w:t>/100</w:t>
            </w:r>
          </w:p>
        </w:tc>
        <w:tc>
          <w:tcPr>
            <w:tcW w:w="1985" w:type="dxa"/>
          </w:tcPr>
          <w:p w14:paraId="7EE08EB9" w14:textId="74C0A87A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0.53 (0.3-0.95)</w:t>
            </w:r>
          </w:p>
        </w:tc>
        <w:tc>
          <w:tcPr>
            <w:tcW w:w="1701" w:type="dxa"/>
          </w:tcPr>
          <w:p w14:paraId="07D03E41" w14:textId="67650722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0.0336</w:t>
            </w:r>
          </w:p>
        </w:tc>
      </w:tr>
      <w:tr w:rsidR="00BC6F5D" w14:paraId="1479BBF2" w14:textId="77777777" w:rsidTr="00320CD4">
        <w:tc>
          <w:tcPr>
            <w:tcW w:w="3544" w:type="dxa"/>
            <w:vAlign w:val="center"/>
          </w:tcPr>
          <w:p w14:paraId="6A637218" w14:textId="187FAE96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t>≥30% reduction (complete)</w:t>
            </w:r>
          </w:p>
        </w:tc>
        <w:tc>
          <w:tcPr>
            <w:tcW w:w="1559" w:type="dxa"/>
          </w:tcPr>
          <w:p w14:paraId="041CE601" w14:textId="03F121C2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9E410E">
              <w:t>30</w:t>
            </w:r>
            <w:r>
              <w:t>/100</w:t>
            </w:r>
          </w:p>
        </w:tc>
        <w:tc>
          <w:tcPr>
            <w:tcW w:w="1985" w:type="dxa"/>
          </w:tcPr>
          <w:p w14:paraId="63B05B53" w14:textId="58718253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0.45 (0.22-0.91)</w:t>
            </w:r>
          </w:p>
        </w:tc>
        <w:tc>
          <w:tcPr>
            <w:tcW w:w="1701" w:type="dxa"/>
          </w:tcPr>
          <w:p w14:paraId="7FAC6A5F" w14:textId="1D77939F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0.0256</w:t>
            </w:r>
          </w:p>
        </w:tc>
      </w:tr>
      <w:tr w:rsidR="00BC6F5D" w14:paraId="67FBEB9F" w14:textId="77777777" w:rsidTr="00320CD4">
        <w:tc>
          <w:tcPr>
            <w:tcW w:w="3544" w:type="dxa"/>
            <w:vAlign w:val="center"/>
          </w:tcPr>
          <w:p w14:paraId="1D2BE917" w14:textId="755967F0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t>≥30% reduction (qualified)</w:t>
            </w:r>
          </w:p>
        </w:tc>
        <w:tc>
          <w:tcPr>
            <w:tcW w:w="1559" w:type="dxa"/>
          </w:tcPr>
          <w:p w14:paraId="3899D758" w14:textId="7BAF0980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9E410E">
              <w:t>29</w:t>
            </w:r>
            <w:r>
              <w:t>/100</w:t>
            </w:r>
          </w:p>
        </w:tc>
        <w:tc>
          <w:tcPr>
            <w:tcW w:w="1985" w:type="dxa"/>
          </w:tcPr>
          <w:p w14:paraId="00E72975" w14:textId="709F1573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0.4 (0.2-0.81)</w:t>
            </w:r>
          </w:p>
        </w:tc>
        <w:tc>
          <w:tcPr>
            <w:tcW w:w="1701" w:type="dxa"/>
          </w:tcPr>
          <w:p w14:paraId="3F2E22DA" w14:textId="7F4C3819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0.0112</w:t>
            </w:r>
          </w:p>
        </w:tc>
      </w:tr>
      <w:tr w:rsidR="00BC6F5D" w14:paraId="73AEAC12" w14:textId="77777777" w:rsidTr="00320CD4">
        <w:tc>
          <w:tcPr>
            <w:tcW w:w="3544" w:type="dxa"/>
            <w:vAlign w:val="center"/>
          </w:tcPr>
          <w:p w14:paraId="468B23AE" w14:textId="01F54BEA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t>≥25% reduction (complete)</w:t>
            </w:r>
          </w:p>
        </w:tc>
        <w:tc>
          <w:tcPr>
            <w:tcW w:w="1559" w:type="dxa"/>
          </w:tcPr>
          <w:p w14:paraId="62E499C8" w14:textId="77F663F1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9E410E">
              <w:t>24</w:t>
            </w:r>
            <w:r>
              <w:t>/100</w:t>
            </w:r>
          </w:p>
        </w:tc>
        <w:tc>
          <w:tcPr>
            <w:tcW w:w="1985" w:type="dxa"/>
          </w:tcPr>
          <w:p w14:paraId="76EC8A1C" w14:textId="7CD9B508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0.32 (0.13-0.76)</w:t>
            </w:r>
          </w:p>
        </w:tc>
        <w:tc>
          <w:tcPr>
            <w:tcW w:w="1701" w:type="dxa"/>
          </w:tcPr>
          <w:p w14:paraId="6B7B490F" w14:textId="6CD3DBF8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0.0104</w:t>
            </w:r>
          </w:p>
        </w:tc>
      </w:tr>
      <w:tr w:rsidR="00BC6F5D" w14:paraId="25FC15DF" w14:textId="77777777" w:rsidTr="00320CD4">
        <w:tc>
          <w:tcPr>
            <w:tcW w:w="3544" w:type="dxa"/>
            <w:vAlign w:val="center"/>
          </w:tcPr>
          <w:p w14:paraId="0F0C36D6" w14:textId="2B3D6A11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t>≥25% reduction (qualified)</w:t>
            </w:r>
          </w:p>
        </w:tc>
        <w:tc>
          <w:tcPr>
            <w:tcW w:w="1559" w:type="dxa"/>
          </w:tcPr>
          <w:p w14:paraId="62A072CD" w14:textId="3FAA9640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9E410E">
              <w:t>21</w:t>
            </w:r>
            <w:r>
              <w:t>/100</w:t>
            </w:r>
          </w:p>
        </w:tc>
        <w:tc>
          <w:tcPr>
            <w:tcW w:w="1985" w:type="dxa"/>
          </w:tcPr>
          <w:p w14:paraId="4061121E" w14:textId="583EBDC7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0.32 (0.13-0.77)</w:t>
            </w:r>
          </w:p>
        </w:tc>
        <w:tc>
          <w:tcPr>
            <w:tcW w:w="1701" w:type="dxa"/>
          </w:tcPr>
          <w:p w14:paraId="6700D519" w14:textId="2F2043F2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0.0107</w:t>
            </w:r>
          </w:p>
        </w:tc>
      </w:tr>
    </w:tbl>
    <w:p w14:paraId="52DFD42B" w14:textId="77777777" w:rsidR="0080737F" w:rsidRDefault="0080737F" w:rsidP="0080737F">
      <w:pPr>
        <w:spacing w:line="480" w:lineRule="auto"/>
        <w:rPr>
          <w:rFonts w:cs="Arial"/>
          <w:b/>
          <w:color w:val="000000"/>
          <w:szCs w:val="24"/>
        </w:rPr>
      </w:pPr>
    </w:p>
    <w:p w14:paraId="6FDB4C63" w14:textId="7916ABAC" w:rsidR="0080737F" w:rsidRDefault="0080737F" w:rsidP="0080737F">
      <w:pPr>
        <w:spacing w:line="480" w:lineRule="auto"/>
        <w:jc w:val="both"/>
        <w:rPr>
          <w:rFonts w:cs="Arial"/>
          <w:bCs/>
          <w:color w:val="000000"/>
          <w:szCs w:val="24"/>
        </w:rPr>
      </w:pPr>
      <w:r w:rsidRPr="0080737F">
        <w:rPr>
          <w:rFonts w:cs="Arial"/>
          <w:bCs/>
          <w:color w:val="000000"/>
          <w:szCs w:val="24"/>
        </w:rPr>
        <w:t xml:space="preserve">Same as Table 3, plus: In this sensitivity analysis, success was defined by percentage IOP reduction from baseline only, without absolute IOP thresholds. </w:t>
      </w:r>
      <w:r w:rsidRPr="00BC3C84">
        <w:rPr>
          <w:rFonts w:cs="Arial"/>
          <w:bCs/>
          <w:color w:val="000000"/>
          <w:szCs w:val="24"/>
        </w:rPr>
        <w:t>Statistically significant results (p &lt; 0.05) are shown in bold.</w:t>
      </w:r>
    </w:p>
    <w:p w14:paraId="1C1714FF" w14:textId="77777777" w:rsidR="0080737F" w:rsidRDefault="0080737F" w:rsidP="0080737F">
      <w:pPr>
        <w:spacing w:line="480" w:lineRule="auto"/>
        <w:jc w:val="both"/>
        <w:rPr>
          <w:rFonts w:cs="Arial"/>
          <w:bCs/>
          <w:color w:val="000000"/>
          <w:szCs w:val="24"/>
        </w:rPr>
      </w:pPr>
    </w:p>
    <w:p w14:paraId="120EBF1A" w14:textId="77777777" w:rsidR="0080737F" w:rsidRPr="00BC3C84" w:rsidRDefault="0080737F" w:rsidP="0080737F">
      <w:pPr>
        <w:spacing w:line="480" w:lineRule="auto"/>
        <w:jc w:val="both"/>
        <w:rPr>
          <w:rFonts w:cs="Arial"/>
          <w:bCs/>
          <w:color w:val="000000"/>
          <w:szCs w:val="24"/>
        </w:rPr>
      </w:pPr>
    </w:p>
    <w:p w14:paraId="65D95739" w14:textId="32E7858B" w:rsidR="0080737F" w:rsidRDefault="0080737F" w:rsidP="0080737F">
      <w:pPr>
        <w:spacing w:line="480" w:lineRule="auto"/>
        <w:rPr>
          <w:rFonts w:cs="Arial"/>
          <w:b/>
          <w:color w:val="000000"/>
          <w:szCs w:val="24"/>
        </w:rPr>
      </w:pPr>
      <w:r w:rsidRPr="0080737F">
        <w:rPr>
          <w:rFonts w:cs="Arial"/>
          <w:b/>
          <w:bCs/>
          <w:color w:val="000000"/>
          <w:szCs w:val="24"/>
        </w:rPr>
        <w:t>Table S</w:t>
      </w:r>
      <w:r>
        <w:rPr>
          <w:rFonts w:cs="Arial"/>
          <w:b/>
          <w:bCs/>
          <w:color w:val="000000"/>
          <w:szCs w:val="24"/>
        </w:rPr>
        <w:t>3</w:t>
      </w:r>
      <w:r w:rsidRPr="0080737F">
        <w:rPr>
          <w:rFonts w:cs="Arial"/>
          <w:b/>
          <w:bCs/>
          <w:color w:val="000000"/>
          <w:szCs w:val="24"/>
        </w:rPr>
        <w:t xml:space="preserve">. </w:t>
      </w:r>
      <w:r w:rsidRPr="0080737F">
        <w:rPr>
          <w:rFonts w:cs="Arial"/>
          <w:color w:val="000000"/>
          <w:szCs w:val="24"/>
        </w:rPr>
        <w:t xml:space="preserve">Stratified univariate Cox regression </w:t>
      </w:r>
      <w:r w:rsidR="00A823CC" w:rsidRPr="00A823CC">
        <w:rPr>
          <w:rFonts w:cs="Arial"/>
          <w:bCs/>
          <w:color w:val="000000"/>
          <w:szCs w:val="24"/>
          <w:lang w:val="en-US"/>
        </w:rPr>
        <w:t>–</w:t>
      </w:r>
      <w:r w:rsidRPr="0080737F">
        <w:rPr>
          <w:rFonts w:cs="Arial"/>
          <w:color w:val="000000"/>
          <w:szCs w:val="24"/>
        </w:rPr>
        <w:t xml:space="preserve"> percentage IOP reduction only, incisional revisions not considered failure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1985"/>
        <w:gridCol w:w="1701"/>
      </w:tblGrid>
      <w:tr w:rsidR="0080737F" w14:paraId="54BEC7D7" w14:textId="77777777" w:rsidTr="003002EE">
        <w:tc>
          <w:tcPr>
            <w:tcW w:w="3544" w:type="dxa"/>
          </w:tcPr>
          <w:p w14:paraId="5DF4223D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/>
                <w:color w:val="000000"/>
                <w:szCs w:val="24"/>
              </w:rPr>
              <w:lastRenderedPageBreak/>
              <w:t>Success category</w:t>
            </w:r>
          </w:p>
        </w:tc>
        <w:tc>
          <w:tcPr>
            <w:tcW w:w="1559" w:type="dxa"/>
          </w:tcPr>
          <w:p w14:paraId="79D253A6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/>
                <w:color w:val="000000"/>
                <w:szCs w:val="24"/>
              </w:rPr>
              <w:t>Events</w:t>
            </w:r>
            <w:r>
              <w:rPr>
                <w:rFonts w:cs="Arial"/>
                <w:b/>
                <w:color w:val="000000"/>
                <w:szCs w:val="24"/>
              </w:rPr>
              <w:t xml:space="preserve"> (n/N)</w:t>
            </w:r>
          </w:p>
        </w:tc>
        <w:tc>
          <w:tcPr>
            <w:tcW w:w="1985" w:type="dxa"/>
          </w:tcPr>
          <w:p w14:paraId="14E0112D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406EBD">
              <w:rPr>
                <w:rFonts w:cs="Arial"/>
                <w:b/>
                <w:color w:val="000000"/>
                <w:szCs w:val="24"/>
              </w:rPr>
              <w:t>HR (95% CI)</w:t>
            </w:r>
          </w:p>
        </w:tc>
        <w:tc>
          <w:tcPr>
            <w:tcW w:w="1701" w:type="dxa"/>
          </w:tcPr>
          <w:p w14:paraId="72FFA736" w14:textId="77777777" w:rsidR="0080737F" w:rsidRDefault="0080737F" w:rsidP="003002EE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rPr>
                <w:rFonts w:cs="Arial"/>
                <w:b/>
                <w:color w:val="000000"/>
                <w:szCs w:val="24"/>
              </w:rPr>
              <w:t>P-Value</w:t>
            </w:r>
            <w:r w:rsidRPr="00406EBD">
              <w:rPr>
                <w:rFonts w:cs="Arial"/>
                <w:b/>
                <w:color w:val="000000"/>
                <w:szCs w:val="24"/>
              </w:rPr>
              <w:t xml:space="preserve"> (Cox)</w:t>
            </w:r>
          </w:p>
        </w:tc>
      </w:tr>
      <w:tr w:rsidR="00BC6F5D" w14:paraId="25C9BAE4" w14:textId="77777777" w:rsidTr="00ED0646">
        <w:tc>
          <w:tcPr>
            <w:tcW w:w="3544" w:type="dxa"/>
            <w:vAlign w:val="center"/>
          </w:tcPr>
          <w:p w14:paraId="36055B72" w14:textId="5991CD93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t>≥40% reduction (complete)</w:t>
            </w:r>
          </w:p>
        </w:tc>
        <w:tc>
          <w:tcPr>
            <w:tcW w:w="1559" w:type="dxa"/>
          </w:tcPr>
          <w:p w14:paraId="0692042D" w14:textId="39B89C6D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DD33EB">
              <w:t>45</w:t>
            </w:r>
            <w:r w:rsidR="00570AFC">
              <w:t>/100</w:t>
            </w:r>
          </w:p>
        </w:tc>
        <w:tc>
          <w:tcPr>
            <w:tcW w:w="1985" w:type="dxa"/>
          </w:tcPr>
          <w:p w14:paraId="2AB6EB12" w14:textId="3EB2D6FF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9C22AB">
              <w:t>0.59 (0.32-1.06)</w:t>
            </w:r>
          </w:p>
        </w:tc>
        <w:tc>
          <w:tcPr>
            <w:tcW w:w="1701" w:type="dxa"/>
          </w:tcPr>
          <w:p w14:paraId="4664D845" w14:textId="6DEEBAB1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9C22AB">
              <w:t>0.0778</w:t>
            </w:r>
          </w:p>
        </w:tc>
      </w:tr>
      <w:tr w:rsidR="00BC6F5D" w14:paraId="06A66D56" w14:textId="77777777" w:rsidTr="00ED0646">
        <w:tc>
          <w:tcPr>
            <w:tcW w:w="3544" w:type="dxa"/>
            <w:vAlign w:val="center"/>
          </w:tcPr>
          <w:p w14:paraId="47137EEA" w14:textId="0E3FF69B" w:rsidR="00BC6F5D" w:rsidRPr="00406EBD" w:rsidRDefault="00BC6F5D" w:rsidP="00BC6F5D">
            <w:pPr>
              <w:spacing w:line="480" w:lineRule="auto"/>
              <w:rPr>
                <w:rFonts w:cs="Arial"/>
                <w:bCs/>
                <w:color w:val="000000"/>
                <w:szCs w:val="24"/>
              </w:rPr>
            </w:pPr>
            <w:r>
              <w:t>≥40% reduction (qualified)</w:t>
            </w:r>
          </w:p>
        </w:tc>
        <w:tc>
          <w:tcPr>
            <w:tcW w:w="1559" w:type="dxa"/>
          </w:tcPr>
          <w:p w14:paraId="51F8B8CA" w14:textId="23544C36" w:rsidR="00BC6F5D" w:rsidRPr="00406EBD" w:rsidRDefault="00BC6F5D" w:rsidP="00BC6F5D">
            <w:pPr>
              <w:spacing w:line="480" w:lineRule="auto"/>
              <w:rPr>
                <w:rFonts w:cs="Arial"/>
                <w:bCs/>
                <w:color w:val="000000"/>
                <w:szCs w:val="24"/>
              </w:rPr>
            </w:pPr>
            <w:r w:rsidRPr="00DD33EB">
              <w:t>44</w:t>
            </w:r>
            <w:r w:rsidR="00570AFC">
              <w:t>/100</w:t>
            </w:r>
          </w:p>
        </w:tc>
        <w:tc>
          <w:tcPr>
            <w:tcW w:w="1985" w:type="dxa"/>
          </w:tcPr>
          <w:p w14:paraId="4DD5F8CB" w14:textId="7A7D1222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0.54 (0.3-0.97)</w:t>
            </w:r>
          </w:p>
        </w:tc>
        <w:tc>
          <w:tcPr>
            <w:tcW w:w="1701" w:type="dxa"/>
          </w:tcPr>
          <w:p w14:paraId="24B674AA" w14:textId="2B2D89AE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0.0377</w:t>
            </w:r>
          </w:p>
        </w:tc>
      </w:tr>
      <w:tr w:rsidR="00BC6F5D" w14:paraId="29913B78" w14:textId="77777777" w:rsidTr="00ED0646">
        <w:tc>
          <w:tcPr>
            <w:tcW w:w="3544" w:type="dxa"/>
            <w:vAlign w:val="center"/>
          </w:tcPr>
          <w:p w14:paraId="39BD2BF9" w14:textId="3F1111A2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t>≥30% reduction (complete)</w:t>
            </w:r>
          </w:p>
        </w:tc>
        <w:tc>
          <w:tcPr>
            <w:tcW w:w="1559" w:type="dxa"/>
          </w:tcPr>
          <w:p w14:paraId="294CBDFC" w14:textId="5D354F58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DD33EB">
              <w:t>26</w:t>
            </w:r>
            <w:r w:rsidR="00570AFC">
              <w:t>/100</w:t>
            </w:r>
          </w:p>
        </w:tc>
        <w:tc>
          <w:tcPr>
            <w:tcW w:w="1985" w:type="dxa"/>
          </w:tcPr>
          <w:p w14:paraId="00212DD0" w14:textId="0D079E46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0.42 (0.19-0.91)</w:t>
            </w:r>
          </w:p>
        </w:tc>
        <w:tc>
          <w:tcPr>
            <w:tcW w:w="1701" w:type="dxa"/>
          </w:tcPr>
          <w:p w14:paraId="13E7400F" w14:textId="784F9089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0.0285</w:t>
            </w:r>
          </w:p>
        </w:tc>
      </w:tr>
      <w:tr w:rsidR="00BC6F5D" w14:paraId="599A56CE" w14:textId="77777777" w:rsidTr="00ED0646">
        <w:tc>
          <w:tcPr>
            <w:tcW w:w="3544" w:type="dxa"/>
            <w:vAlign w:val="center"/>
          </w:tcPr>
          <w:p w14:paraId="43A33F65" w14:textId="450A0B7C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t>≥30% reduction (qualified)</w:t>
            </w:r>
          </w:p>
        </w:tc>
        <w:tc>
          <w:tcPr>
            <w:tcW w:w="1559" w:type="dxa"/>
          </w:tcPr>
          <w:p w14:paraId="68C3D8B6" w14:textId="7C5D3BE2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DD33EB">
              <w:t>25</w:t>
            </w:r>
            <w:r w:rsidR="00570AFC">
              <w:t>/100</w:t>
            </w:r>
          </w:p>
        </w:tc>
        <w:tc>
          <w:tcPr>
            <w:tcW w:w="1985" w:type="dxa"/>
          </w:tcPr>
          <w:p w14:paraId="3C5DA1D9" w14:textId="1F68BEF3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0.37 (0.17-0.81)</w:t>
            </w:r>
          </w:p>
        </w:tc>
        <w:tc>
          <w:tcPr>
            <w:tcW w:w="1701" w:type="dxa"/>
          </w:tcPr>
          <w:p w14:paraId="6F16D29A" w14:textId="10722867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0.0128</w:t>
            </w:r>
          </w:p>
        </w:tc>
      </w:tr>
      <w:tr w:rsidR="00BC6F5D" w14:paraId="21BB2098" w14:textId="77777777" w:rsidTr="00ED0646">
        <w:tc>
          <w:tcPr>
            <w:tcW w:w="3544" w:type="dxa"/>
            <w:vAlign w:val="center"/>
          </w:tcPr>
          <w:p w14:paraId="1100F63B" w14:textId="73FDCE7D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t>≥25% reduction (complete)</w:t>
            </w:r>
          </w:p>
        </w:tc>
        <w:tc>
          <w:tcPr>
            <w:tcW w:w="1559" w:type="dxa"/>
          </w:tcPr>
          <w:p w14:paraId="6CF2DD4B" w14:textId="4DA477B1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DD33EB">
              <w:t>19</w:t>
            </w:r>
            <w:r w:rsidR="00570AFC">
              <w:t>/100</w:t>
            </w:r>
          </w:p>
        </w:tc>
        <w:tc>
          <w:tcPr>
            <w:tcW w:w="1985" w:type="dxa"/>
          </w:tcPr>
          <w:p w14:paraId="3C20785D" w14:textId="0684ACC5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0.28 (0.1-0.8)</w:t>
            </w:r>
          </w:p>
        </w:tc>
        <w:tc>
          <w:tcPr>
            <w:tcW w:w="1701" w:type="dxa"/>
          </w:tcPr>
          <w:p w14:paraId="44B653D6" w14:textId="2AE4C1A2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0.0168</w:t>
            </w:r>
          </w:p>
        </w:tc>
      </w:tr>
      <w:tr w:rsidR="00BC6F5D" w14:paraId="522A7473" w14:textId="77777777" w:rsidTr="00ED0646">
        <w:tc>
          <w:tcPr>
            <w:tcW w:w="3544" w:type="dxa"/>
            <w:vAlign w:val="center"/>
          </w:tcPr>
          <w:p w14:paraId="22DE379E" w14:textId="4DA24A32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>
              <w:t>≥25% reduction (qualified)</w:t>
            </w:r>
          </w:p>
        </w:tc>
        <w:tc>
          <w:tcPr>
            <w:tcW w:w="1559" w:type="dxa"/>
          </w:tcPr>
          <w:p w14:paraId="42087E6B" w14:textId="4948B966" w:rsidR="00BC6F5D" w:rsidRDefault="00BC6F5D" w:rsidP="00BC6F5D">
            <w:pPr>
              <w:spacing w:line="480" w:lineRule="auto"/>
              <w:rPr>
                <w:rFonts w:cs="Arial"/>
                <w:b/>
                <w:color w:val="000000"/>
                <w:szCs w:val="24"/>
              </w:rPr>
            </w:pPr>
            <w:r w:rsidRPr="00DD33EB">
              <w:t>16</w:t>
            </w:r>
            <w:r w:rsidR="00570AFC">
              <w:t>/100</w:t>
            </w:r>
          </w:p>
        </w:tc>
        <w:tc>
          <w:tcPr>
            <w:tcW w:w="1985" w:type="dxa"/>
          </w:tcPr>
          <w:p w14:paraId="5AE6966D" w14:textId="24E522F1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0.28 (0.1-0.82)</w:t>
            </w:r>
          </w:p>
        </w:tc>
        <w:tc>
          <w:tcPr>
            <w:tcW w:w="1701" w:type="dxa"/>
          </w:tcPr>
          <w:p w14:paraId="5B25BF58" w14:textId="057A4F25" w:rsidR="00BC6F5D" w:rsidRPr="00BC6F5D" w:rsidRDefault="00BC6F5D" w:rsidP="00BC6F5D">
            <w:pPr>
              <w:spacing w:line="480" w:lineRule="auto"/>
              <w:rPr>
                <w:rFonts w:cs="Arial"/>
                <w:b/>
                <w:bCs/>
                <w:color w:val="000000"/>
                <w:szCs w:val="24"/>
              </w:rPr>
            </w:pPr>
            <w:r w:rsidRPr="00BC6F5D">
              <w:rPr>
                <w:b/>
                <w:bCs/>
              </w:rPr>
              <w:t>0.0205</w:t>
            </w:r>
          </w:p>
        </w:tc>
      </w:tr>
    </w:tbl>
    <w:p w14:paraId="41C245AE" w14:textId="77777777" w:rsidR="0080737F" w:rsidRDefault="0080737F" w:rsidP="0080737F">
      <w:pPr>
        <w:spacing w:line="480" w:lineRule="auto"/>
        <w:rPr>
          <w:rFonts w:cs="Arial"/>
          <w:b/>
          <w:color w:val="000000"/>
          <w:szCs w:val="24"/>
        </w:rPr>
      </w:pPr>
    </w:p>
    <w:p w14:paraId="54F7FF3F" w14:textId="328472BE" w:rsidR="0080737F" w:rsidRDefault="0080737F" w:rsidP="0080737F">
      <w:pPr>
        <w:spacing w:line="480" w:lineRule="auto"/>
        <w:jc w:val="both"/>
        <w:rPr>
          <w:rFonts w:cs="Arial"/>
          <w:bCs/>
          <w:color w:val="000000"/>
          <w:szCs w:val="24"/>
        </w:rPr>
      </w:pPr>
      <w:r w:rsidRPr="0080737F">
        <w:rPr>
          <w:rFonts w:cs="Arial"/>
          <w:bCs/>
          <w:color w:val="000000"/>
          <w:szCs w:val="24"/>
        </w:rPr>
        <w:t>Same as Table 3, plus: In this sensitivity analysis, success was defined by percentage IOP reduction from baseline only, without absolute IOP thresholds, and incisional bleb revisions were not considered surgical failure.</w:t>
      </w:r>
      <w:r>
        <w:rPr>
          <w:rFonts w:cs="Arial"/>
          <w:bCs/>
          <w:color w:val="000000"/>
          <w:szCs w:val="24"/>
        </w:rPr>
        <w:t xml:space="preserve"> </w:t>
      </w:r>
      <w:r w:rsidRPr="00BC3C84">
        <w:rPr>
          <w:rFonts w:cs="Arial"/>
          <w:bCs/>
          <w:color w:val="000000"/>
          <w:szCs w:val="24"/>
        </w:rPr>
        <w:t>Statistically significant results (p &lt; 0.05) are shown in bold.</w:t>
      </w:r>
    </w:p>
    <w:p w14:paraId="6137C0BD" w14:textId="77777777" w:rsidR="00FB71BD" w:rsidRDefault="00FB71BD" w:rsidP="0080737F">
      <w:pPr>
        <w:spacing w:line="480" w:lineRule="auto"/>
        <w:jc w:val="both"/>
        <w:rPr>
          <w:rFonts w:cs="Arial"/>
          <w:bCs/>
          <w:color w:val="000000"/>
          <w:szCs w:val="24"/>
        </w:rPr>
      </w:pPr>
    </w:p>
    <w:p w14:paraId="20BF0394" w14:textId="1727EC26" w:rsidR="00570AFC" w:rsidRPr="00570AFC" w:rsidRDefault="00FB71BD" w:rsidP="00570AFC">
      <w:pPr>
        <w:spacing w:line="480" w:lineRule="auto"/>
        <w:jc w:val="both"/>
        <w:rPr>
          <w:rFonts w:cs="Arial"/>
          <w:b/>
          <w:bCs/>
          <w:color w:val="000000"/>
          <w:szCs w:val="24"/>
        </w:rPr>
      </w:pPr>
      <w:r w:rsidRPr="0080737F">
        <w:rPr>
          <w:rFonts w:cs="Arial"/>
          <w:b/>
          <w:bCs/>
          <w:color w:val="000000"/>
          <w:szCs w:val="24"/>
        </w:rPr>
        <w:t>Table S</w:t>
      </w:r>
      <w:r>
        <w:rPr>
          <w:rFonts w:cs="Arial"/>
          <w:b/>
          <w:bCs/>
          <w:color w:val="000000"/>
          <w:szCs w:val="24"/>
        </w:rPr>
        <w:t>4</w:t>
      </w:r>
      <w:r w:rsidRPr="0080737F">
        <w:rPr>
          <w:rFonts w:cs="Arial"/>
          <w:b/>
          <w:bCs/>
          <w:color w:val="000000"/>
          <w:szCs w:val="24"/>
        </w:rPr>
        <w:t>.</w:t>
      </w:r>
      <w:r w:rsidR="00570AFC">
        <w:rPr>
          <w:rFonts w:cs="Arial"/>
          <w:b/>
          <w:bCs/>
          <w:color w:val="000000"/>
          <w:szCs w:val="24"/>
        </w:rPr>
        <w:t xml:space="preserve"> </w:t>
      </w:r>
      <w:r w:rsidR="00570AFC" w:rsidRPr="00570AFC">
        <w:rPr>
          <w:rFonts w:cs="Arial"/>
          <w:bCs/>
          <w:color w:val="000000"/>
          <w:szCs w:val="24"/>
        </w:rPr>
        <w:t>Multivariable Cox regression for surgical failure following PMS versus XEN-45 implantation in NTG</w:t>
      </w:r>
      <w:r w:rsidR="00570AFC">
        <w:rPr>
          <w:rFonts w:cs="Arial"/>
          <w:bCs/>
          <w:color w:val="000000"/>
          <w:szCs w:val="24"/>
        </w:rPr>
        <w:t xml:space="preserve"> </w:t>
      </w:r>
      <w:r w:rsidR="00A823CC" w:rsidRPr="00A823CC">
        <w:rPr>
          <w:rFonts w:cs="Arial"/>
          <w:bCs/>
          <w:color w:val="000000"/>
          <w:szCs w:val="24"/>
          <w:lang w:val="en-US"/>
        </w:rPr>
        <w:t>–</w:t>
      </w:r>
      <w:r w:rsidR="00570AFC">
        <w:rPr>
          <w:rFonts w:cs="Arial"/>
          <w:color w:val="000000"/>
          <w:szCs w:val="24"/>
        </w:rPr>
        <w:t xml:space="preserve"> </w:t>
      </w:r>
      <w:r w:rsidR="00570AFC" w:rsidRPr="00570AFC">
        <w:rPr>
          <w:rFonts w:cs="Arial"/>
          <w:color w:val="000000"/>
          <w:szCs w:val="24"/>
        </w:rPr>
        <w:t>administrative right truncation at 24 months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4"/>
        <w:gridCol w:w="1282"/>
        <w:gridCol w:w="1224"/>
        <w:gridCol w:w="1282"/>
        <w:gridCol w:w="1224"/>
        <w:gridCol w:w="1282"/>
        <w:gridCol w:w="1224"/>
      </w:tblGrid>
      <w:tr w:rsidR="00570AFC" w:rsidRPr="00570AFC" w14:paraId="14F76B90" w14:textId="77777777" w:rsidTr="0061759B">
        <w:tc>
          <w:tcPr>
            <w:tcW w:w="15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F90042" w14:textId="77777777" w:rsidR="00570AFC" w:rsidRPr="00570AFC" w:rsidRDefault="00570AFC" w:rsidP="00570AFC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70AFC">
              <w:rPr>
                <w:rFonts w:cs="Arial"/>
                <w:b/>
                <w:bCs/>
                <w:color w:val="000000"/>
                <w:szCs w:val="24"/>
              </w:rPr>
              <w:t>Variable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8BC65C" w14:textId="77777777" w:rsidR="00570AFC" w:rsidRPr="00570AFC" w:rsidRDefault="00570AFC" w:rsidP="00570AFC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70AFC">
              <w:rPr>
                <w:rFonts w:cs="Arial"/>
                <w:b/>
                <w:bCs/>
                <w:color w:val="000000"/>
                <w:szCs w:val="24"/>
              </w:rPr>
              <w:t xml:space="preserve">≤9 mmHg, ≥40% (complete) 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457DDB" w14:textId="77777777" w:rsidR="00570AFC" w:rsidRPr="00570AFC" w:rsidRDefault="00570AFC" w:rsidP="00570AFC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70AFC">
              <w:rPr>
                <w:rFonts w:cs="Arial"/>
                <w:b/>
                <w:bCs/>
                <w:color w:val="000000"/>
                <w:szCs w:val="24"/>
              </w:rPr>
              <w:t xml:space="preserve">≤9 mmHg, ≥40% (qualified) 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FA0A83" w14:textId="77777777" w:rsidR="00570AFC" w:rsidRPr="00570AFC" w:rsidRDefault="00570AFC" w:rsidP="00570AFC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70AFC">
              <w:rPr>
                <w:rFonts w:cs="Arial"/>
                <w:b/>
                <w:bCs/>
                <w:color w:val="000000"/>
                <w:szCs w:val="24"/>
              </w:rPr>
              <w:t xml:space="preserve">≤12 mmHg, ≥30% (complete) 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71EFCC" w14:textId="77777777" w:rsidR="00570AFC" w:rsidRPr="00570AFC" w:rsidRDefault="00570AFC" w:rsidP="00570AFC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70AFC">
              <w:rPr>
                <w:rFonts w:cs="Arial"/>
                <w:b/>
                <w:bCs/>
                <w:color w:val="000000"/>
                <w:szCs w:val="24"/>
              </w:rPr>
              <w:t xml:space="preserve">≤12 mmHg, ≥30% (qualified) 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094565" w14:textId="77777777" w:rsidR="00570AFC" w:rsidRPr="00570AFC" w:rsidRDefault="00570AFC" w:rsidP="00570AFC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70AFC">
              <w:rPr>
                <w:rFonts w:cs="Arial"/>
                <w:b/>
                <w:bCs/>
                <w:color w:val="000000"/>
                <w:szCs w:val="24"/>
              </w:rPr>
              <w:t xml:space="preserve">≤15 mmHg, ≥25% (complete) 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B80DD5" w14:textId="77777777" w:rsidR="00570AFC" w:rsidRPr="00570AFC" w:rsidRDefault="00570AFC" w:rsidP="00570AFC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70AFC">
              <w:rPr>
                <w:rFonts w:cs="Arial"/>
                <w:b/>
                <w:bCs/>
                <w:color w:val="000000"/>
                <w:szCs w:val="24"/>
              </w:rPr>
              <w:t xml:space="preserve">≤15 mmHg, ≥25% (qualified) </w:t>
            </w:r>
          </w:p>
        </w:tc>
      </w:tr>
      <w:tr w:rsidR="0061759B" w:rsidRPr="00570AFC" w14:paraId="6ABF5A47" w14:textId="77777777" w:rsidTr="0061759B"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C37" w14:textId="77777777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70AFC">
              <w:rPr>
                <w:rFonts w:cs="Arial"/>
                <w:bCs/>
                <w:color w:val="000000"/>
                <w:szCs w:val="24"/>
              </w:rPr>
              <w:t>PMS (reference: XEN-45)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10012" w14:textId="7427CB1B" w:rsidR="0061759B" w:rsidRPr="0061759B" w:rsidRDefault="0061759B" w:rsidP="0061759B">
            <w:pPr>
              <w:spacing w:line="480" w:lineRule="auto"/>
              <w:jc w:val="both"/>
              <w:rPr>
                <w:rFonts w:cs="Arial"/>
                <w:b/>
                <w:bCs/>
                <w:color w:val="000000"/>
                <w:szCs w:val="24"/>
              </w:rPr>
            </w:pPr>
            <w:r w:rsidRPr="0061759B">
              <w:rPr>
                <w:b/>
                <w:bCs/>
              </w:rPr>
              <w:t xml:space="preserve">0.28 (0.15–0.51); </w:t>
            </w:r>
            <w:r w:rsidRPr="0061759B">
              <w:rPr>
                <w:rFonts w:cs="Arial"/>
                <w:b/>
                <w:bCs/>
                <w:color w:val="000000"/>
                <w:szCs w:val="24"/>
              </w:rPr>
              <w:t>&lt;0.0001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C7035" w14:textId="0F42C536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61759B">
              <w:rPr>
                <w:b/>
                <w:bCs/>
              </w:rPr>
              <w:t xml:space="preserve">0.28 (0.15–0.51); </w:t>
            </w:r>
            <w:r w:rsidRPr="0061759B">
              <w:rPr>
                <w:rFonts w:cs="Arial"/>
                <w:b/>
                <w:bCs/>
                <w:color w:val="000000"/>
                <w:szCs w:val="24"/>
              </w:rPr>
              <w:t>&lt;0.0001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B9678A" w14:textId="01B937D5" w:rsidR="0061759B" w:rsidRPr="0061759B" w:rsidRDefault="0061759B" w:rsidP="0061759B">
            <w:pPr>
              <w:spacing w:line="480" w:lineRule="auto"/>
              <w:jc w:val="both"/>
              <w:rPr>
                <w:rFonts w:cs="Arial"/>
                <w:b/>
                <w:bCs/>
                <w:color w:val="000000"/>
                <w:szCs w:val="24"/>
              </w:rPr>
            </w:pPr>
            <w:r w:rsidRPr="0061759B">
              <w:rPr>
                <w:b/>
                <w:bCs/>
              </w:rPr>
              <w:t xml:space="preserve">0.24 (0.11–0.51); </w:t>
            </w:r>
            <w:r w:rsidRPr="0061759B">
              <w:rPr>
                <w:rFonts w:cs="Arial"/>
                <w:b/>
                <w:bCs/>
                <w:color w:val="000000"/>
                <w:szCs w:val="24"/>
              </w:rPr>
              <w:t>&lt;0.0001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C5DB26" w14:textId="343C6995" w:rsidR="0061759B" w:rsidRPr="0061759B" w:rsidRDefault="0061759B" w:rsidP="0061759B">
            <w:pPr>
              <w:spacing w:line="480" w:lineRule="auto"/>
              <w:jc w:val="both"/>
              <w:rPr>
                <w:rFonts w:cs="Arial"/>
                <w:b/>
                <w:bCs/>
                <w:color w:val="000000"/>
                <w:szCs w:val="24"/>
              </w:rPr>
            </w:pPr>
            <w:r w:rsidRPr="0061759B">
              <w:rPr>
                <w:b/>
                <w:bCs/>
              </w:rPr>
              <w:t>0.25 (0.11–0.55); 0.001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4F542" w14:textId="3E555891" w:rsidR="0061759B" w:rsidRPr="0061759B" w:rsidRDefault="0061759B" w:rsidP="0061759B">
            <w:pPr>
              <w:spacing w:line="480" w:lineRule="auto"/>
              <w:jc w:val="both"/>
              <w:rPr>
                <w:rFonts w:cs="Arial"/>
                <w:b/>
                <w:bCs/>
                <w:color w:val="000000"/>
                <w:szCs w:val="24"/>
              </w:rPr>
            </w:pPr>
            <w:r w:rsidRPr="0061759B">
              <w:rPr>
                <w:b/>
                <w:bCs/>
              </w:rPr>
              <w:t>0.26 (0.1–0.67); 0.006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1B527" w14:textId="6EBCEE78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212EC">
              <w:t>0.46 (0.15–1.44); 0.183</w:t>
            </w:r>
          </w:p>
        </w:tc>
      </w:tr>
      <w:tr w:rsidR="0061759B" w:rsidRPr="00570AFC" w14:paraId="6B6D8F65" w14:textId="77777777" w:rsidTr="0061759B"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75013" w14:textId="77777777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70AFC">
              <w:rPr>
                <w:rFonts w:cs="Arial"/>
                <w:bCs/>
                <w:color w:val="000000"/>
                <w:szCs w:val="24"/>
              </w:rPr>
              <w:t>Number of preoperative medications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7D387" w14:textId="30633EEC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B77A0A">
              <w:t>1.02 (0.81–1.29); 0.852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AA7BB" w14:textId="4AB1C9FA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B77A0A">
              <w:t>1.02 (0.81–1.29); 0.852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D16190" w14:textId="4B5FAC0F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C22418">
              <w:t>0.87 (0.66–1.15); 0.337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8A6BC" w14:textId="23F101E3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407117">
              <w:t>0.88 (0.66–1.17); 0.375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13078" w14:textId="35C49D0E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6D333D">
              <w:t>0.99 (0.7–1.4); 0.957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D51F2" w14:textId="0A82A17C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212EC">
              <w:t>1.09 (0.69–1.73); 0.706</w:t>
            </w:r>
          </w:p>
        </w:tc>
      </w:tr>
      <w:tr w:rsidR="0061759B" w:rsidRPr="00570AFC" w14:paraId="6D9A8744" w14:textId="77777777" w:rsidTr="0061759B"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2317C4" w14:textId="77777777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70AFC">
              <w:rPr>
                <w:rFonts w:cs="Arial"/>
                <w:bCs/>
                <w:color w:val="000000"/>
                <w:szCs w:val="24"/>
              </w:rPr>
              <w:lastRenderedPageBreak/>
              <w:t>Pseudophakia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53A0A2" w14:textId="24B12E0C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B77A0A">
              <w:t>1.27 (0.72–2.24); 0.411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4625F1" w14:textId="506BDB89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B77A0A">
              <w:t>1.27 (0.72–2.24); 0.411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2A6624" w14:textId="52FC3731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C22418">
              <w:t>0.79 (0.38–1.64); 0.528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C9D59E2" w14:textId="53B10087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407117">
              <w:t>0.56 (0.25–1.26); 0.159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8DEEAB" w14:textId="2765A0B5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6D333D">
              <w:t>1.05 (0.42–2.64); 0.922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09FF78" w14:textId="6DD4723C" w:rsidR="0061759B" w:rsidRPr="00570AFC" w:rsidRDefault="0061759B" w:rsidP="0061759B">
            <w:pPr>
              <w:spacing w:line="480" w:lineRule="auto"/>
              <w:jc w:val="both"/>
              <w:rPr>
                <w:rFonts w:cs="Arial"/>
                <w:bCs/>
                <w:color w:val="000000"/>
                <w:szCs w:val="24"/>
              </w:rPr>
            </w:pPr>
            <w:r w:rsidRPr="005212EC">
              <w:t>0.99 (0.31–3.19); 0.991</w:t>
            </w:r>
          </w:p>
        </w:tc>
      </w:tr>
    </w:tbl>
    <w:p w14:paraId="5C443277" w14:textId="77777777" w:rsidR="00570AFC" w:rsidRPr="00570AFC" w:rsidRDefault="00570AFC" w:rsidP="00570AFC">
      <w:pPr>
        <w:spacing w:line="480" w:lineRule="auto"/>
        <w:jc w:val="both"/>
        <w:rPr>
          <w:rFonts w:cs="Arial"/>
          <w:bCs/>
          <w:color w:val="000000"/>
          <w:szCs w:val="24"/>
        </w:rPr>
      </w:pPr>
    </w:p>
    <w:p w14:paraId="7F8F290A" w14:textId="2397F753" w:rsidR="00570AFC" w:rsidRDefault="00570AFC" w:rsidP="00570AFC">
      <w:pPr>
        <w:spacing w:line="480" w:lineRule="auto"/>
        <w:jc w:val="both"/>
        <w:rPr>
          <w:rFonts w:cs="Arial"/>
          <w:bCs/>
          <w:color w:val="000000"/>
          <w:szCs w:val="24"/>
        </w:rPr>
      </w:pPr>
      <w:r w:rsidRPr="0080737F">
        <w:rPr>
          <w:rFonts w:cs="Arial"/>
          <w:bCs/>
          <w:color w:val="000000"/>
          <w:szCs w:val="24"/>
        </w:rPr>
        <w:t xml:space="preserve">Same as Table </w:t>
      </w:r>
      <w:r>
        <w:rPr>
          <w:rFonts w:cs="Arial"/>
          <w:bCs/>
          <w:color w:val="000000"/>
          <w:szCs w:val="24"/>
        </w:rPr>
        <w:t>5</w:t>
      </w:r>
      <w:r w:rsidRPr="0080737F">
        <w:rPr>
          <w:rFonts w:cs="Arial"/>
          <w:bCs/>
          <w:color w:val="000000"/>
          <w:szCs w:val="24"/>
        </w:rPr>
        <w:t xml:space="preserve">, plus: </w:t>
      </w:r>
      <w:r w:rsidRPr="00570AFC">
        <w:rPr>
          <w:rFonts w:cs="Arial"/>
          <w:bCs/>
          <w:color w:val="000000"/>
          <w:szCs w:val="24"/>
        </w:rPr>
        <w:t>In this sensitivity analysis, administrative right truncation at 24 months was applied to account for the longer follow-up duration in the NTG XEN-45 group</w:t>
      </w:r>
      <w:r w:rsidRPr="0080737F">
        <w:rPr>
          <w:rFonts w:cs="Arial"/>
          <w:bCs/>
          <w:color w:val="000000"/>
          <w:szCs w:val="24"/>
        </w:rPr>
        <w:t xml:space="preserve">. </w:t>
      </w:r>
      <w:r w:rsidRPr="00BC3C84">
        <w:rPr>
          <w:rFonts w:cs="Arial"/>
          <w:bCs/>
          <w:color w:val="000000"/>
          <w:szCs w:val="24"/>
        </w:rPr>
        <w:t>Statistically significant results (p &lt; 0.05) are shown in bold.</w:t>
      </w:r>
    </w:p>
    <w:p w14:paraId="6DA6F612" w14:textId="77777777" w:rsidR="00570AFC" w:rsidRDefault="00570AFC" w:rsidP="0080737F">
      <w:pPr>
        <w:spacing w:line="480" w:lineRule="auto"/>
        <w:jc w:val="both"/>
        <w:rPr>
          <w:rFonts w:cs="Arial"/>
          <w:bCs/>
          <w:color w:val="000000"/>
          <w:szCs w:val="24"/>
        </w:rPr>
      </w:pPr>
    </w:p>
    <w:p w14:paraId="6BC98D9F" w14:textId="77777777" w:rsidR="0080737F" w:rsidRDefault="0080737F"/>
    <w:sectPr w:rsidR="008073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5C"/>
    <w:rsid w:val="00036E14"/>
    <w:rsid w:val="00044D5C"/>
    <w:rsid w:val="00136146"/>
    <w:rsid w:val="003231A8"/>
    <w:rsid w:val="00492C97"/>
    <w:rsid w:val="005571C4"/>
    <w:rsid w:val="00570AFC"/>
    <w:rsid w:val="0061759B"/>
    <w:rsid w:val="0080737F"/>
    <w:rsid w:val="00870B89"/>
    <w:rsid w:val="00A823CC"/>
    <w:rsid w:val="00B47B19"/>
    <w:rsid w:val="00B51228"/>
    <w:rsid w:val="00BC6F5D"/>
    <w:rsid w:val="00CE28F4"/>
    <w:rsid w:val="00D7138B"/>
    <w:rsid w:val="00E50E5D"/>
    <w:rsid w:val="00FB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AD7A52"/>
  <w15:chartTrackingRefBased/>
  <w15:docId w15:val="{73AF1FE9-1999-49FE-9765-9BA59629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AFC"/>
    <w:pPr>
      <w:spacing w:after="0" w:line="276" w:lineRule="auto"/>
    </w:pPr>
    <w:rPr>
      <w:rFonts w:ascii="Arial" w:eastAsia="Calibri" w:hAnsi="Arial" w:cs="Times New Roman"/>
      <w:kern w:val="0"/>
      <w:sz w:val="22"/>
      <w:szCs w:val="22"/>
      <w:lang w:val="en-GB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44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44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44D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44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44D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44D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44D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44D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44D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44D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44D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44D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44D5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44D5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44D5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44D5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44D5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44D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44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44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44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44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44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44D5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44D5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44D5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44D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44D5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44D5C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80737F"/>
    <w:pPr>
      <w:spacing w:after="0" w:line="240" w:lineRule="auto"/>
    </w:pPr>
    <w:rPr>
      <w:rFonts w:ascii="Arial" w:eastAsia="Calibri" w:hAnsi="Arial" w:cs="Times New Roman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Emil Nasyrov</cp:lastModifiedBy>
  <cp:revision>3</cp:revision>
  <dcterms:created xsi:type="dcterms:W3CDTF">2026-07-18T11:10:00Z</dcterms:created>
  <dcterms:modified xsi:type="dcterms:W3CDTF">2026-07-20T19:45:00Z</dcterms:modified>
</cp:coreProperties>
</file>