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170" w:rsidRPr="00F051EB" w:rsidRDefault="00F051EB" w:rsidP="00B4024C">
      <w:pPr>
        <w:pStyle w:val="Heading2"/>
        <w:rPr>
          <w:color w:val="000000" w:themeColor="text1"/>
        </w:rPr>
      </w:pPr>
      <w:r>
        <w:rPr>
          <w:b/>
          <w:bCs/>
          <w:color w:val="000000" w:themeColor="text1"/>
        </w:rPr>
        <w:t>Supplementary Table S1</w:t>
      </w:r>
      <w:r>
        <w:rPr>
          <w:color w:val="000000" w:themeColor="text1"/>
        </w:rPr>
        <w:t>. Sensitivity and confounding-adjustment analyses for the principal comparative outcome (overall failure). Panel A presents Cox proportional-hazards sensitivity analyses using a reduced base model containing surgery type and IOP category at the time of second surgery (≤30 vs &gt;30 mmHg); this reduced base model is distinct from the fully adjusted multivariable model presented in Table 3. Additional analyses assess the effects of inter-surgery interval, central corneal thickness (CCT), refractive spherical equivalent (SE), and postoperative IOP at month 1 (landmark analysis), as well as propensity-score adjustment and IPTW analyses addressing baseline imbalance and potential confounding.</w:t>
      </w:r>
      <w:r>
        <w:t xml:space="preserve"> </w:t>
      </w:r>
      <w:bookmarkStart w:id="0" w:name="_GoBack"/>
      <w:r w:rsidRPr="003835B4">
        <w:rPr>
          <w:color w:val="000000" w:themeColor="text1"/>
        </w:rPr>
        <w:t>Panel B and Panel C report the corresponding covariate-balance and propensity-score overlap diagnostics.</w:t>
      </w:r>
      <w:r>
        <w:t xml:space="preserve"> </w:t>
      </w:r>
      <w:bookmarkEnd w:id="0"/>
    </w:p>
    <w:p w:rsidR="00A61032" w:rsidRPr="00F051EB" w:rsidRDefault="00A61032" w:rsidP="00B4024C">
      <w:pPr>
        <w:pStyle w:val="Heading2"/>
        <w:rPr>
          <w:color w:val="000000" w:themeColor="text1"/>
        </w:rPr>
      </w:pPr>
    </w:p>
    <w:p w:rsidR="00A61032" w:rsidRPr="00E046AC" w:rsidRDefault="00A61032" w:rsidP="00A61032">
      <w:pPr>
        <w:pStyle w:val="Heading2"/>
        <w:rPr>
          <w:b/>
          <w:bCs/>
          <w:i/>
          <w:iCs/>
          <w:color w:val="000000" w:themeColor="text1"/>
        </w:rPr>
      </w:pPr>
      <w:r>
        <w:rPr>
          <w:b/>
          <w:bCs/>
          <w:i/>
          <w:iCs/>
          <w:color w:val="000000" w:themeColor="text1"/>
        </w:rPr>
        <w:t>Panel A. Sensitivity analyses for overall failure</w:t>
      </w:r>
    </w:p>
    <w:p w:rsidR="00B4024C" w:rsidRDefault="00B4024C" w:rsidP="00B4024C">
      <w:pPr>
        <w:pStyle w:val="Heading2"/>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55"/>
        <w:gridCol w:w="1278"/>
        <w:gridCol w:w="1872"/>
        <w:gridCol w:w="1860"/>
        <w:gridCol w:w="785"/>
        <w:gridCol w:w="1862"/>
        <w:gridCol w:w="788"/>
      </w:tblGrid>
      <w:tr w:rsidR="00EC4170">
        <w:trPr>
          <w:tblHeader/>
        </w:trPr>
        <w:tc>
          <w:tcPr>
            <w:tcW w:w="2400" w:type="dxa"/>
            <w:shd w:val="clear" w:color="auto" w:fill="D9D9D9"/>
          </w:tcPr>
          <w:p w:rsidR="00EC4170" w:rsidRDefault="00310030">
            <w:pPr>
              <w:jc w:val="center"/>
            </w:pPr>
            <w:r>
              <w:rPr>
                <w:b/>
                <w:bCs/>
              </w:rPr>
              <w:t>Model</w:t>
            </w:r>
          </w:p>
        </w:tc>
        <w:tc>
          <w:tcPr>
            <w:tcW w:w="1300" w:type="dxa"/>
            <w:shd w:val="clear" w:color="auto" w:fill="D9D9D9"/>
          </w:tcPr>
          <w:p w:rsidR="00EC4170" w:rsidRDefault="00310030">
            <w:pPr>
              <w:jc w:val="center"/>
            </w:pPr>
            <w:r>
              <w:rPr>
                <w:b/>
                <w:bCs/>
              </w:rPr>
              <w:t>n (events)</w:t>
            </w:r>
          </w:p>
        </w:tc>
        <w:tc>
          <w:tcPr>
            <w:tcW w:w="1900" w:type="dxa"/>
            <w:shd w:val="clear" w:color="auto" w:fill="D9D9D9"/>
          </w:tcPr>
          <w:p w:rsidR="00EC4170" w:rsidRDefault="00310030">
            <w:pPr>
              <w:jc w:val="center"/>
            </w:pPr>
            <w:r>
              <w:rPr>
                <w:b/>
                <w:bCs/>
              </w:rPr>
              <w:t>Covariate added</w:t>
            </w:r>
          </w:p>
        </w:tc>
        <w:tc>
          <w:tcPr>
            <w:tcW w:w="1900" w:type="dxa"/>
            <w:shd w:val="clear" w:color="auto" w:fill="D9D9D9"/>
          </w:tcPr>
          <w:p w:rsidR="00EC4170" w:rsidRDefault="00310030">
            <w:pPr>
              <w:jc w:val="center"/>
            </w:pPr>
            <w:r>
              <w:rPr>
                <w:b/>
                <w:bCs/>
              </w:rPr>
              <w:t>Surgery-type HR (95% CI)*</w:t>
            </w:r>
          </w:p>
        </w:tc>
        <w:tc>
          <w:tcPr>
            <w:tcW w:w="800" w:type="dxa"/>
            <w:shd w:val="clear" w:color="auto" w:fill="D9D9D9"/>
          </w:tcPr>
          <w:p w:rsidR="00EC4170" w:rsidRDefault="00310030">
            <w:pPr>
              <w:jc w:val="center"/>
            </w:pPr>
            <w:r>
              <w:rPr>
                <w:b/>
                <w:bCs/>
              </w:rPr>
              <w:t>p</w:t>
            </w:r>
          </w:p>
        </w:tc>
        <w:tc>
          <w:tcPr>
            <w:tcW w:w="1900" w:type="dxa"/>
            <w:shd w:val="clear" w:color="auto" w:fill="D9D9D9"/>
          </w:tcPr>
          <w:p w:rsidR="00EC4170" w:rsidRDefault="00310030">
            <w:pPr>
              <w:jc w:val="center"/>
            </w:pPr>
            <w:r>
              <w:rPr>
                <w:b/>
                <w:bCs/>
              </w:rPr>
              <w:t>Added covariate HR (95% CI)</w:t>
            </w:r>
          </w:p>
        </w:tc>
        <w:tc>
          <w:tcPr>
            <w:tcW w:w="800" w:type="dxa"/>
            <w:shd w:val="clear" w:color="auto" w:fill="D9D9D9"/>
          </w:tcPr>
          <w:p w:rsidR="00EC4170" w:rsidRDefault="00310030">
            <w:pPr>
              <w:jc w:val="center"/>
            </w:pPr>
            <w:r>
              <w:rPr>
                <w:b/>
                <w:bCs/>
              </w:rPr>
              <w:t>p</w:t>
            </w:r>
          </w:p>
        </w:tc>
      </w:tr>
      <w:tr w:rsidR="00EC4170">
        <w:tc>
          <w:tcPr>
            <w:tcW w:w="2400" w:type="dxa"/>
          </w:tcPr>
          <w:p w:rsidR="00EC4170" w:rsidRDefault="00310030">
            <w:pPr>
              <w:jc w:val="center"/>
            </w:pPr>
            <w:r>
              <w:t>Base model</w:t>
            </w:r>
          </w:p>
        </w:tc>
        <w:tc>
          <w:tcPr>
            <w:tcW w:w="1300" w:type="dxa"/>
          </w:tcPr>
          <w:p w:rsidR="00EC4170" w:rsidRDefault="00310030">
            <w:pPr>
              <w:jc w:val="center"/>
            </w:pPr>
            <w:r>
              <w:t>164 (57)</w:t>
            </w:r>
          </w:p>
        </w:tc>
        <w:tc>
          <w:tcPr>
            <w:tcW w:w="1900" w:type="dxa"/>
          </w:tcPr>
          <w:p w:rsidR="00EC4170" w:rsidRDefault="00310030">
            <w:pPr>
              <w:jc w:val="center"/>
            </w:pPr>
            <w:r>
              <w:t>— (surgery type + IOP category only)</w:t>
            </w:r>
          </w:p>
        </w:tc>
        <w:tc>
          <w:tcPr>
            <w:tcW w:w="1900" w:type="dxa"/>
          </w:tcPr>
          <w:p w:rsidR="00EC4170" w:rsidRDefault="00310030">
            <w:pPr>
              <w:jc w:val="center"/>
            </w:pPr>
            <w:r>
              <w:t>1.35 (0.80–2.28)</w:t>
            </w:r>
          </w:p>
        </w:tc>
        <w:tc>
          <w:tcPr>
            <w:tcW w:w="800" w:type="dxa"/>
          </w:tcPr>
          <w:p w:rsidR="00EC4170" w:rsidRDefault="00310030">
            <w:pPr>
              <w:jc w:val="center"/>
            </w:pPr>
            <w:r>
              <w:t>0.27</w:t>
            </w:r>
          </w:p>
        </w:tc>
        <w:tc>
          <w:tcPr>
            <w:tcW w:w="1900" w:type="dxa"/>
          </w:tcPr>
          <w:p w:rsidR="00EC4170" w:rsidRDefault="00310030">
            <w:pPr>
              <w:jc w:val="center"/>
            </w:pPr>
            <w:r>
              <w:t>—</w:t>
            </w:r>
          </w:p>
        </w:tc>
        <w:tc>
          <w:tcPr>
            <w:tcW w:w="800" w:type="dxa"/>
          </w:tcPr>
          <w:p w:rsidR="00EC4170" w:rsidRDefault="00310030">
            <w:pPr>
              <w:jc w:val="center"/>
            </w:pPr>
            <w:r>
              <w:t>—</w:t>
            </w:r>
          </w:p>
        </w:tc>
      </w:tr>
      <w:tr w:rsidR="00EC4170">
        <w:tc>
          <w:tcPr>
            <w:tcW w:w="2400" w:type="dxa"/>
          </w:tcPr>
          <w:p w:rsidR="00EC4170" w:rsidRDefault="00310030">
            <w:pPr>
              <w:jc w:val="center"/>
            </w:pPr>
            <w:r>
              <w:t>Parsimonious + Interval†</w:t>
            </w:r>
          </w:p>
        </w:tc>
        <w:tc>
          <w:tcPr>
            <w:tcW w:w="1300" w:type="dxa"/>
          </w:tcPr>
          <w:p w:rsidR="00EC4170" w:rsidRDefault="00310030">
            <w:pPr>
              <w:jc w:val="center"/>
            </w:pPr>
            <w:r>
              <w:t>164 (57)</w:t>
            </w:r>
          </w:p>
        </w:tc>
        <w:tc>
          <w:tcPr>
            <w:tcW w:w="1900" w:type="dxa"/>
          </w:tcPr>
          <w:p w:rsidR="00EC4170" w:rsidRDefault="00310030">
            <w:pPr>
              <w:jc w:val="center"/>
            </w:pPr>
            <w:r>
              <w:t>Inter-surgery interval (months, continuous)</w:t>
            </w:r>
          </w:p>
        </w:tc>
        <w:tc>
          <w:tcPr>
            <w:tcW w:w="1900" w:type="dxa"/>
          </w:tcPr>
          <w:p w:rsidR="00EC4170" w:rsidRDefault="00310030">
            <w:pPr>
              <w:jc w:val="center"/>
            </w:pPr>
            <w:r>
              <w:t>1.39 (0.81–2.38)</w:t>
            </w:r>
          </w:p>
        </w:tc>
        <w:tc>
          <w:tcPr>
            <w:tcW w:w="800" w:type="dxa"/>
          </w:tcPr>
          <w:p w:rsidR="00EC4170" w:rsidRDefault="00310030">
            <w:pPr>
              <w:jc w:val="center"/>
            </w:pPr>
            <w:r>
              <w:t>0.24</w:t>
            </w:r>
          </w:p>
        </w:tc>
        <w:tc>
          <w:tcPr>
            <w:tcW w:w="1900" w:type="dxa"/>
          </w:tcPr>
          <w:p w:rsidR="00EC4170" w:rsidRDefault="00310030">
            <w:pPr>
              <w:jc w:val="center"/>
            </w:pPr>
            <w:r>
              <w:t>1.00 (0.98–1.02)</w:t>
            </w:r>
          </w:p>
        </w:tc>
        <w:tc>
          <w:tcPr>
            <w:tcW w:w="800" w:type="dxa"/>
          </w:tcPr>
          <w:p w:rsidR="00EC4170" w:rsidRDefault="00310030">
            <w:pPr>
              <w:jc w:val="center"/>
            </w:pPr>
            <w:r>
              <w:t>0.69</w:t>
            </w:r>
          </w:p>
        </w:tc>
      </w:tr>
      <w:tr w:rsidR="00EC4170">
        <w:tc>
          <w:tcPr>
            <w:tcW w:w="2400" w:type="dxa"/>
          </w:tcPr>
          <w:p w:rsidR="00EC4170" w:rsidRDefault="00310030">
            <w:pPr>
              <w:jc w:val="center"/>
            </w:pPr>
            <w:r>
              <w:t>+ CCT</w:t>
            </w:r>
          </w:p>
        </w:tc>
        <w:tc>
          <w:tcPr>
            <w:tcW w:w="1300" w:type="dxa"/>
          </w:tcPr>
          <w:p w:rsidR="00EC4170" w:rsidRDefault="00310030">
            <w:pPr>
              <w:jc w:val="center"/>
            </w:pPr>
            <w:r>
              <w:t>110 (34)</w:t>
            </w:r>
          </w:p>
        </w:tc>
        <w:tc>
          <w:tcPr>
            <w:tcW w:w="1900" w:type="dxa"/>
          </w:tcPr>
          <w:p w:rsidR="00EC4170" w:rsidRDefault="00310030">
            <w:pPr>
              <w:jc w:val="center"/>
            </w:pPr>
            <w:r>
              <w:t>Central corneal thickness (µm)</w:t>
            </w:r>
          </w:p>
        </w:tc>
        <w:tc>
          <w:tcPr>
            <w:tcW w:w="1900" w:type="dxa"/>
          </w:tcPr>
          <w:p w:rsidR="00EC4170" w:rsidRDefault="00310030">
            <w:pPr>
              <w:jc w:val="center"/>
            </w:pPr>
            <w:r>
              <w:t>1.72 (0.84–3.49)</w:t>
            </w:r>
          </w:p>
        </w:tc>
        <w:tc>
          <w:tcPr>
            <w:tcW w:w="800" w:type="dxa"/>
          </w:tcPr>
          <w:p w:rsidR="00EC4170" w:rsidRDefault="00310030">
            <w:pPr>
              <w:jc w:val="center"/>
            </w:pPr>
            <w:r>
              <w:t>0.14</w:t>
            </w:r>
          </w:p>
        </w:tc>
        <w:tc>
          <w:tcPr>
            <w:tcW w:w="1900" w:type="dxa"/>
          </w:tcPr>
          <w:p w:rsidR="00EC4170" w:rsidRDefault="00310030">
            <w:pPr>
              <w:jc w:val="center"/>
            </w:pPr>
            <w:r>
              <w:t>1.006 (1.002–1.010)</w:t>
            </w:r>
          </w:p>
        </w:tc>
        <w:tc>
          <w:tcPr>
            <w:tcW w:w="800" w:type="dxa"/>
          </w:tcPr>
          <w:p w:rsidR="00EC4170" w:rsidRDefault="00310030">
            <w:pPr>
              <w:jc w:val="center"/>
            </w:pPr>
            <w:r>
              <w:t>0.002</w:t>
            </w:r>
          </w:p>
        </w:tc>
      </w:tr>
      <w:tr w:rsidR="00EC4170">
        <w:tc>
          <w:tcPr>
            <w:tcW w:w="2400" w:type="dxa"/>
          </w:tcPr>
          <w:p w:rsidR="00EC4170" w:rsidRDefault="00310030">
            <w:pPr>
              <w:jc w:val="center"/>
            </w:pPr>
            <w:r>
              <w:t>+ Refractive error</w:t>
            </w:r>
          </w:p>
        </w:tc>
        <w:tc>
          <w:tcPr>
            <w:tcW w:w="1300" w:type="dxa"/>
          </w:tcPr>
          <w:p w:rsidR="00EC4170" w:rsidRDefault="00310030">
            <w:pPr>
              <w:jc w:val="center"/>
            </w:pPr>
            <w:r>
              <w:t>127 (37)</w:t>
            </w:r>
          </w:p>
        </w:tc>
        <w:tc>
          <w:tcPr>
            <w:tcW w:w="1900" w:type="dxa"/>
          </w:tcPr>
          <w:p w:rsidR="00EC4170" w:rsidRDefault="00310030">
            <w:pPr>
              <w:jc w:val="center"/>
            </w:pPr>
            <w:r>
              <w:t>Spherical equivalent (D)</w:t>
            </w:r>
          </w:p>
        </w:tc>
        <w:tc>
          <w:tcPr>
            <w:tcW w:w="1900" w:type="dxa"/>
          </w:tcPr>
          <w:p w:rsidR="00EC4170" w:rsidRDefault="00310030">
            <w:pPr>
              <w:jc w:val="center"/>
            </w:pPr>
            <w:r>
              <w:t>0.98 (0.50–1.93)</w:t>
            </w:r>
          </w:p>
        </w:tc>
        <w:tc>
          <w:tcPr>
            <w:tcW w:w="800" w:type="dxa"/>
          </w:tcPr>
          <w:p w:rsidR="00EC4170" w:rsidRDefault="00310030">
            <w:pPr>
              <w:jc w:val="center"/>
            </w:pPr>
            <w:r>
              <w:t>0.96</w:t>
            </w:r>
          </w:p>
        </w:tc>
        <w:tc>
          <w:tcPr>
            <w:tcW w:w="1900" w:type="dxa"/>
          </w:tcPr>
          <w:p w:rsidR="00EC4170" w:rsidRDefault="00310030">
            <w:pPr>
              <w:jc w:val="center"/>
            </w:pPr>
            <w:r>
              <w:t>1.17 (1.04–1.31)</w:t>
            </w:r>
          </w:p>
        </w:tc>
        <w:tc>
          <w:tcPr>
            <w:tcW w:w="800" w:type="dxa"/>
          </w:tcPr>
          <w:p w:rsidR="00EC4170" w:rsidRDefault="00310030">
            <w:pPr>
              <w:jc w:val="center"/>
            </w:pPr>
            <w:r>
              <w:t>0.007</w:t>
            </w:r>
          </w:p>
        </w:tc>
      </w:tr>
      <w:tr w:rsidR="00EC4170">
        <w:tc>
          <w:tcPr>
            <w:tcW w:w="2400" w:type="dxa"/>
          </w:tcPr>
          <w:p w:rsidR="00EC4170" w:rsidRDefault="00310030">
            <w:pPr>
              <w:jc w:val="center"/>
            </w:pPr>
            <w:r>
              <w:t>+ All three</w:t>
            </w:r>
          </w:p>
        </w:tc>
        <w:tc>
          <w:tcPr>
            <w:tcW w:w="1300" w:type="dxa"/>
          </w:tcPr>
          <w:p w:rsidR="00EC4170" w:rsidRDefault="00310030">
            <w:pPr>
              <w:jc w:val="center"/>
            </w:pPr>
            <w:r>
              <w:t>103 (30)</w:t>
            </w:r>
          </w:p>
        </w:tc>
        <w:tc>
          <w:tcPr>
            <w:tcW w:w="1900" w:type="dxa"/>
          </w:tcPr>
          <w:p w:rsidR="00EC4170" w:rsidRDefault="00310030">
            <w:pPr>
              <w:jc w:val="center"/>
            </w:pPr>
            <w:r>
              <w:t>Interval + CCT + refractive error</w:t>
            </w:r>
          </w:p>
        </w:tc>
        <w:tc>
          <w:tcPr>
            <w:tcW w:w="1900" w:type="dxa"/>
          </w:tcPr>
          <w:p w:rsidR="00EC4170" w:rsidRDefault="00310030">
            <w:pPr>
              <w:jc w:val="center"/>
            </w:pPr>
            <w:r>
              <w:t>0.94 (0.34–2.62)</w:t>
            </w:r>
          </w:p>
        </w:tc>
        <w:tc>
          <w:tcPr>
            <w:tcW w:w="800" w:type="dxa"/>
          </w:tcPr>
          <w:p w:rsidR="00EC4170" w:rsidRDefault="00310030">
            <w:pPr>
              <w:jc w:val="center"/>
            </w:pPr>
            <w:r>
              <w:t>0.91</w:t>
            </w:r>
          </w:p>
        </w:tc>
        <w:tc>
          <w:tcPr>
            <w:tcW w:w="1900" w:type="dxa"/>
          </w:tcPr>
          <w:p w:rsidR="00EC4170" w:rsidRDefault="00310030">
            <w:pPr>
              <w:jc w:val="center"/>
            </w:pPr>
            <w:r>
              <w:t>see note</w:t>
            </w:r>
          </w:p>
        </w:tc>
        <w:tc>
          <w:tcPr>
            <w:tcW w:w="800" w:type="dxa"/>
          </w:tcPr>
          <w:p w:rsidR="00EC4170" w:rsidRDefault="00310030">
            <w:pPr>
              <w:jc w:val="center"/>
            </w:pPr>
            <w:r>
              <w:t>—</w:t>
            </w:r>
          </w:p>
        </w:tc>
      </w:tr>
      <w:tr w:rsidR="00EC4170">
        <w:tc>
          <w:tcPr>
            <w:tcW w:w="2400" w:type="dxa"/>
          </w:tcPr>
          <w:p w:rsidR="00EC4170" w:rsidRDefault="00310030">
            <w:pPr>
              <w:jc w:val="center"/>
            </w:pPr>
            <w:r>
              <w:t>+ Month-1 IOP (landmark)‡</w:t>
            </w:r>
          </w:p>
        </w:tc>
        <w:tc>
          <w:tcPr>
            <w:tcW w:w="1300" w:type="dxa"/>
          </w:tcPr>
          <w:p w:rsidR="00EC4170" w:rsidRDefault="00310030">
            <w:pPr>
              <w:jc w:val="center"/>
            </w:pPr>
            <w:r>
              <w:t>138 (44)</w:t>
            </w:r>
          </w:p>
        </w:tc>
        <w:tc>
          <w:tcPr>
            <w:tcW w:w="1900" w:type="dxa"/>
          </w:tcPr>
          <w:p w:rsidR="00EC4170" w:rsidRDefault="00310030">
            <w:pPr>
              <w:jc w:val="center"/>
            </w:pPr>
            <w:r>
              <w:t>Postoperative IOP at month 1 (mmHg)</w:t>
            </w:r>
          </w:p>
        </w:tc>
        <w:tc>
          <w:tcPr>
            <w:tcW w:w="1900" w:type="dxa"/>
          </w:tcPr>
          <w:p w:rsidR="00EC4170" w:rsidRDefault="00310030">
            <w:pPr>
              <w:jc w:val="center"/>
            </w:pPr>
            <w:r>
              <w:t>1.28 (0.70–2.34)</w:t>
            </w:r>
          </w:p>
        </w:tc>
        <w:tc>
          <w:tcPr>
            <w:tcW w:w="800" w:type="dxa"/>
          </w:tcPr>
          <w:p w:rsidR="00EC4170" w:rsidRDefault="00310030">
            <w:pPr>
              <w:jc w:val="center"/>
            </w:pPr>
            <w:r>
              <w:t>0.42</w:t>
            </w:r>
          </w:p>
        </w:tc>
        <w:tc>
          <w:tcPr>
            <w:tcW w:w="1900" w:type="dxa"/>
          </w:tcPr>
          <w:p w:rsidR="00EC4170" w:rsidRDefault="00310030">
            <w:pPr>
              <w:jc w:val="center"/>
            </w:pPr>
            <w:r>
              <w:t>1.09 (1.03–1.16)</w:t>
            </w:r>
          </w:p>
        </w:tc>
        <w:tc>
          <w:tcPr>
            <w:tcW w:w="800" w:type="dxa"/>
          </w:tcPr>
          <w:p w:rsidR="00EC4170" w:rsidRDefault="00310030" w:rsidP="00310030">
            <w:pPr>
              <w:jc w:val="center"/>
            </w:pPr>
            <w:r>
              <w:t>0.002</w:t>
            </w:r>
          </w:p>
        </w:tc>
      </w:tr>
      <w:tr w:rsidR="00EC4170">
        <w:tc>
          <w:tcPr>
            <w:tcW w:w="2400" w:type="dxa"/>
          </w:tcPr>
          <w:p w:rsidR="00EC4170" w:rsidRDefault="00310030">
            <w:pPr>
              <w:jc w:val="center"/>
            </w:pPr>
            <w:r>
              <w:t>Propensity-score adjusted§</w:t>
            </w:r>
          </w:p>
        </w:tc>
        <w:tc>
          <w:tcPr>
            <w:tcW w:w="1300" w:type="dxa"/>
          </w:tcPr>
          <w:p w:rsidR="00EC4170" w:rsidRDefault="00310030">
            <w:pPr>
              <w:jc w:val="center"/>
            </w:pPr>
            <w:r>
              <w:t>164 (57)</w:t>
            </w:r>
          </w:p>
        </w:tc>
        <w:tc>
          <w:tcPr>
            <w:tcW w:w="1900" w:type="dxa"/>
          </w:tcPr>
          <w:p w:rsidR="00EC4170" w:rsidRDefault="00310030" w:rsidP="008C5992">
            <w:pPr>
              <w:jc w:val="center"/>
            </w:pPr>
            <w:r>
              <w:t>Propensity score (Interval, Age2, sex, baseline IOP, baseline Medication)</w:t>
            </w:r>
          </w:p>
        </w:tc>
        <w:tc>
          <w:tcPr>
            <w:tcW w:w="1900" w:type="dxa"/>
          </w:tcPr>
          <w:p w:rsidR="00EC4170" w:rsidRDefault="00310030">
            <w:pPr>
              <w:jc w:val="center"/>
            </w:pPr>
            <w:r>
              <w:t>1.45 (0.84–2.51)</w:t>
            </w:r>
          </w:p>
        </w:tc>
        <w:tc>
          <w:tcPr>
            <w:tcW w:w="800" w:type="dxa"/>
          </w:tcPr>
          <w:p w:rsidR="00EC4170" w:rsidRDefault="00310030">
            <w:pPr>
              <w:jc w:val="center"/>
            </w:pPr>
            <w:r>
              <w:t>0.18</w:t>
            </w:r>
          </w:p>
        </w:tc>
        <w:tc>
          <w:tcPr>
            <w:tcW w:w="1900" w:type="dxa"/>
          </w:tcPr>
          <w:p w:rsidR="00EC4170" w:rsidRDefault="00310030">
            <w:pPr>
              <w:jc w:val="center"/>
            </w:pPr>
            <w:r>
              <w:t>0.35 (0.06–2.04)</w:t>
            </w:r>
          </w:p>
        </w:tc>
        <w:tc>
          <w:tcPr>
            <w:tcW w:w="800" w:type="dxa"/>
          </w:tcPr>
          <w:p w:rsidR="00EC4170" w:rsidRDefault="00310030">
            <w:pPr>
              <w:jc w:val="center"/>
            </w:pPr>
            <w:r>
              <w:t>0.25</w:t>
            </w:r>
          </w:p>
        </w:tc>
      </w:tr>
      <w:tr w:rsidR="00EC4170">
        <w:tc>
          <w:tcPr>
            <w:tcW w:w="2400" w:type="dxa"/>
          </w:tcPr>
          <w:p w:rsidR="00EC4170" w:rsidRDefault="00310030">
            <w:pPr>
              <w:jc w:val="center"/>
            </w:pPr>
            <w:r>
              <w:t>IPTW-weighted§</w:t>
            </w:r>
          </w:p>
        </w:tc>
        <w:tc>
          <w:tcPr>
            <w:tcW w:w="1300" w:type="dxa"/>
          </w:tcPr>
          <w:p w:rsidR="00EC4170" w:rsidRDefault="00310030">
            <w:pPr>
              <w:jc w:val="center"/>
            </w:pPr>
            <w:r>
              <w:t>164 (57)</w:t>
            </w:r>
          </w:p>
        </w:tc>
        <w:tc>
          <w:tcPr>
            <w:tcW w:w="1900" w:type="dxa"/>
          </w:tcPr>
          <w:p w:rsidR="00EC4170" w:rsidRDefault="00310030">
            <w:pPr>
              <w:jc w:val="center"/>
            </w:pPr>
            <w:r>
              <w:t>Stabilized IPTW (same propensity score)</w:t>
            </w:r>
          </w:p>
        </w:tc>
        <w:tc>
          <w:tcPr>
            <w:tcW w:w="1900" w:type="dxa"/>
          </w:tcPr>
          <w:p w:rsidR="00EC4170" w:rsidRDefault="00310030">
            <w:pPr>
              <w:jc w:val="center"/>
            </w:pPr>
            <w:r>
              <w:t>1.68 (0.94–3.01)</w:t>
            </w:r>
          </w:p>
        </w:tc>
        <w:tc>
          <w:tcPr>
            <w:tcW w:w="800" w:type="dxa"/>
          </w:tcPr>
          <w:p w:rsidR="00EC4170" w:rsidRDefault="00310030">
            <w:pPr>
              <w:jc w:val="center"/>
            </w:pPr>
            <w:r>
              <w:t>0.08</w:t>
            </w:r>
          </w:p>
        </w:tc>
        <w:tc>
          <w:tcPr>
            <w:tcW w:w="1900" w:type="dxa"/>
          </w:tcPr>
          <w:p w:rsidR="00EC4170" w:rsidRDefault="00310030">
            <w:pPr>
              <w:jc w:val="center"/>
            </w:pPr>
            <w:r>
              <w:t>—</w:t>
            </w:r>
          </w:p>
        </w:tc>
        <w:tc>
          <w:tcPr>
            <w:tcW w:w="800" w:type="dxa"/>
          </w:tcPr>
          <w:p w:rsidR="00EC4170" w:rsidRDefault="00310030">
            <w:pPr>
              <w:jc w:val="center"/>
            </w:pPr>
            <w:r>
              <w:t>—</w:t>
            </w:r>
          </w:p>
        </w:tc>
      </w:tr>
    </w:tbl>
    <w:p w:rsidR="00EC4170" w:rsidRDefault="00EC4170">
      <w:pPr>
        <w:spacing w:before="200"/>
      </w:pPr>
    </w:p>
    <w:p w:rsidR="00EC4170" w:rsidRDefault="00310030" w:rsidP="00F051EB">
      <w:r>
        <w:t>*Reference category for surgery type: VCO+retbo. The surgery-type HRs in Panel A are derived from the reduced base model containing surgery type and IOP category at the time of second surgery only, unless otherwise specified. Therefore, the surgery-type HR in the Base model row is not expected to be identical to the multivariable surgery-type HR reported in Table 3, which was obtained from a fully adjusted model additionally including sex, age at disease onset, and age at second surgery. HR = hazard ratio; CI = confidence interval; CCT = central corneal thickness; SE = spherical equivalent (refractive error); D = diopters; IPTW = inverse-probability-of-treatment weighting; AUC = area under the receiver operating characteristic curve; SMD = standardized mean difference.</w:t>
      </w:r>
    </w:p>
    <w:p w:rsidR="00F051EB" w:rsidRDefault="00F051EB"/>
    <w:p w:rsidR="00EC4170" w:rsidRDefault="00310030">
      <w:r>
        <w:t>†This is the primary analysis requested to address confounding: inter-surgery interval is entered directly as a continuous covariate rather than being assumed to be captured by the age-at-onset/age-at-second-surgery categories used elsewhere.</w:t>
      </w:r>
    </w:p>
    <w:p w:rsidR="00EC4170" w:rsidRDefault="00310030">
      <w:r>
        <w:t>CCT and SE were unavailable in a subset of eyes with corneal opacity precluding measurement (see Limitations); models incorporating these variables therefore have reduced sample size and statistical power relative to the base model. Across all models, surgical group did not reach significance as an independent predictor of failure.</w:t>
      </w:r>
    </w:p>
    <w:p w:rsidR="00F051EB" w:rsidRDefault="00F051EB"/>
    <w:p w:rsidR="00EC4170" w:rsidRDefault="00310030">
      <w:r>
        <w:t>‡Landmark analysis: eyes that failed at or before month 1 (n=5) were excluded to avoid immortal-time bias; follow-up time was reset to zero at the month-1 landmark for the remaining 159 eyes, of whom 138 had a recorded month-1 IOP. Month-1 IOP was a significant independent predictor of subsequent failure; surgical group remained non-significant. Month-1 IOP did not differ between surgical groups at baseline (16.9 ± 6.0 vs. 17.0 ± 4.9 mmHg, p=0.98), so it is not expected to confound the surgery-type comparison itself.</w:t>
      </w:r>
    </w:p>
    <w:p w:rsidR="00F051EB" w:rsidRDefault="00F051EB"/>
    <w:p w:rsidR="00EC4170" w:rsidRDefault="00310030">
      <w:r>
        <w:lastRenderedPageBreak/>
        <w:t>§Propensity score derived from logistic regression of surgical group on inter-surgery interval, age at second surgery, sex, baseline IOP, and baseline medication count (model AUC=0.71; all covariates available in 164/164 eyes). Weighting/adjustment using this score improved covariate balance substantially relative to the unweighted comparison (standardized mean difference for interval: 0.57 unweighted vs. -0.17 weighted; for age at second surgery: 0.44 vs. -0.14; for baseline IOP: -0.24 vs. -0.05; for sex: 0.05 vs. -0.12; for baseline medication count: 0.10 vs. -0.02); effective sample size after IPTW was 125 of 164 eyes Stabilized weights ranged from 0.52 to 6.41 (mean 1.02 ± 0.57; median 0.89, IQR 0.77–1.09), with one eye receiving a weight &gt;4. The distribution of propensity scores by treatment group and the region of overlap (common support) between groups are reported in Panel C. Propensity-score matching was not performed because it would discard unmatched eyes and further reduce the already limited number of failure events (57 total); weighting and score-adjustment retain the full cohort.</w:t>
      </w:r>
    </w:p>
    <w:p w:rsidR="00A61032" w:rsidRDefault="00A61032"/>
    <w:p w:rsidR="00A61032" w:rsidRDefault="00A61032">
      <w:pPr>
        <w:rPr>
          <w:color w:val="2E74B5"/>
          <w:sz w:val="26"/>
          <w:szCs w:val="26"/>
        </w:rPr>
      </w:pPr>
      <w:r>
        <w:br w:type="page"/>
      </w:r>
    </w:p>
    <w:p w:rsidR="00A61032" w:rsidRPr="00E046AC" w:rsidRDefault="00A61032" w:rsidP="00A61032">
      <w:pPr>
        <w:pStyle w:val="Heading2"/>
        <w:rPr>
          <w:b/>
          <w:bCs/>
          <w:i/>
          <w:iCs/>
          <w:color w:val="000000" w:themeColor="text1"/>
        </w:rPr>
      </w:pPr>
      <w:r>
        <w:rPr>
          <w:b/>
          <w:bCs/>
          <w:i/>
          <w:iCs/>
          <w:color w:val="000000" w:themeColor="text1"/>
        </w:rPr>
        <w:lastRenderedPageBreak/>
        <w:t>Panel B. Covariate balance before and after IPTW weighting</w:t>
      </w:r>
    </w:p>
    <w:p w:rsidR="00A61032" w:rsidRDefault="00A61032" w:rsidP="00A61032">
      <w:pPr>
        <w:pStyle w:val="Heading2"/>
      </w:pPr>
    </w:p>
    <w:tbl>
      <w:tblPr>
        <w:tblStyle w:val="TableGrid"/>
        <w:tblW w:w="0" w:type="auto"/>
        <w:tblLook w:val="04A0" w:firstRow="1" w:lastRow="0" w:firstColumn="1" w:lastColumn="0" w:noHBand="0" w:noVBand="1"/>
      </w:tblPr>
      <w:tblGrid>
        <w:gridCol w:w="2880"/>
        <w:gridCol w:w="2880"/>
        <w:gridCol w:w="2880"/>
      </w:tblGrid>
      <w:tr w:rsidR="00A61032" w:rsidTr="000218C6">
        <w:tc>
          <w:tcPr>
            <w:tcW w:w="2880" w:type="dxa"/>
          </w:tcPr>
          <w:p w:rsidR="00A61032" w:rsidRPr="00E046AC" w:rsidRDefault="00A61032" w:rsidP="00E046AC">
            <w:pPr>
              <w:jc w:val="center"/>
              <w:rPr>
                <w:b/>
                <w:bCs/>
              </w:rPr>
            </w:pPr>
            <w:r>
              <w:rPr>
                <w:b/>
                <w:bCs/>
              </w:rPr>
              <w:t>Covariate</w:t>
            </w:r>
          </w:p>
        </w:tc>
        <w:tc>
          <w:tcPr>
            <w:tcW w:w="2880" w:type="dxa"/>
          </w:tcPr>
          <w:p w:rsidR="00A61032" w:rsidRPr="00E046AC" w:rsidRDefault="00A61032" w:rsidP="00E046AC">
            <w:pPr>
              <w:jc w:val="center"/>
              <w:rPr>
                <w:b/>
                <w:bCs/>
              </w:rPr>
            </w:pPr>
            <w:r>
              <w:rPr>
                <w:b/>
                <w:bCs/>
              </w:rPr>
              <w:t>Unweighted SMD</w:t>
            </w:r>
          </w:p>
        </w:tc>
        <w:tc>
          <w:tcPr>
            <w:tcW w:w="2880" w:type="dxa"/>
          </w:tcPr>
          <w:p w:rsidR="00A61032" w:rsidRPr="00E046AC" w:rsidRDefault="00A61032" w:rsidP="00E046AC">
            <w:pPr>
              <w:jc w:val="center"/>
              <w:rPr>
                <w:b/>
                <w:bCs/>
              </w:rPr>
            </w:pPr>
            <w:r>
              <w:rPr>
                <w:b/>
                <w:bCs/>
              </w:rPr>
              <w:t>Weighted SMD</w:t>
            </w:r>
          </w:p>
        </w:tc>
      </w:tr>
      <w:tr w:rsidR="00A61032" w:rsidTr="000218C6">
        <w:tc>
          <w:tcPr>
            <w:tcW w:w="2880" w:type="dxa"/>
          </w:tcPr>
          <w:p w:rsidR="00A61032" w:rsidRDefault="00A61032" w:rsidP="00E046AC">
            <w:pPr>
              <w:jc w:val="center"/>
            </w:pPr>
            <w:r>
              <w:t>Inter-surgery interval</w:t>
            </w:r>
          </w:p>
        </w:tc>
        <w:tc>
          <w:tcPr>
            <w:tcW w:w="2880" w:type="dxa"/>
          </w:tcPr>
          <w:p w:rsidR="00A61032" w:rsidRDefault="00A61032" w:rsidP="00E046AC">
            <w:pPr>
              <w:jc w:val="center"/>
            </w:pPr>
            <w:r>
              <w:t>0.57</w:t>
            </w:r>
          </w:p>
        </w:tc>
        <w:tc>
          <w:tcPr>
            <w:tcW w:w="2880" w:type="dxa"/>
          </w:tcPr>
          <w:p w:rsidR="00A61032" w:rsidRDefault="00A61032" w:rsidP="00E046AC">
            <w:pPr>
              <w:jc w:val="center"/>
            </w:pPr>
            <w:r>
              <w:t>-0.17</w:t>
            </w:r>
          </w:p>
        </w:tc>
      </w:tr>
      <w:tr w:rsidR="00A61032" w:rsidTr="000218C6">
        <w:tc>
          <w:tcPr>
            <w:tcW w:w="2880" w:type="dxa"/>
          </w:tcPr>
          <w:p w:rsidR="00A61032" w:rsidRDefault="00A61032" w:rsidP="00E046AC">
            <w:pPr>
              <w:jc w:val="center"/>
            </w:pPr>
            <w:r>
              <w:t>Age at second surgery</w:t>
            </w:r>
          </w:p>
        </w:tc>
        <w:tc>
          <w:tcPr>
            <w:tcW w:w="2880" w:type="dxa"/>
          </w:tcPr>
          <w:p w:rsidR="00A61032" w:rsidRDefault="00A61032" w:rsidP="00E046AC">
            <w:pPr>
              <w:jc w:val="center"/>
            </w:pPr>
            <w:r>
              <w:t>0.44</w:t>
            </w:r>
          </w:p>
        </w:tc>
        <w:tc>
          <w:tcPr>
            <w:tcW w:w="2880" w:type="dxa"/>
          </w:tcPr>
          <w:p w:rsidR="00A61032" w:rsidRDefault="00A61032" w:rsidP="00E046AC">
            <w:pPr>
              <w:jc w:val="center"/>
            </w:pPr>
            <w:r>
              <w:t>-0.14</w:t>
            </w:r>
          </w:p>
        </w:tc>
      </w:tr>
      <w:tr w:rsidR="00A61032" w:rsidTr="000218C6">
        <w:tc>
          <w:tcPr>
            <w:tcW w:w="2880" w:type="dxa"/>
          </w:tcPr>
          <w:p w:rsidR="00A61032" w:rsidRDefault="00A61032" w:rsidP="00E046AC">
            <w:pPr>
              <w:jc w:val="center"/>
            </w:pPr>
            <w:r>
              <w:t>Baseline IOP</w:t>
            </w:r>
          </w:p>
        </w:tc>
        <w:tc>
          <w:tcPr>
            <w:tcW w:w="2880" w:type="dxa"/>
          </w:tcPr>
          <w:p w:rsidR="00A61032" w:rsidRDefault="00A61032" w:rsidP="00E046AC">
            <w:pPr>
              <w:jc w:val="center"/>
            </w:pPr>
            <w:r>
              <w:t>-0.24</w:t>
            </w:r>
          </w:p>
        </w:tc>
        <w:tc>
          <w:tcPr>
            <w:tcW w:w="2880" w:type="dxa"/>
          </w:tcPr>
          <w:p w:rsidR="00A61032" w:rsidRDefault="00A61032" w:rsidP="00E046AC">
            <w:pPr>
              <w:jc w:val="center"/>
            </w:pPr>
            <w:r>
              <w:t>-0.05</w:t>
            </w:r>
          </w:p>
        </w:tc>
      </w:tr>
      <w:tr w:rsidR="00A61032" w:rsidTr="000218C6">
        <w:tc>
          <w:tcPr>
            <w:tcW w:w="2880" w:type="dxa"/>
          </w:tcPr>
          <w:p w:rsidR="00A61032" w:rsidRDefault="00A61032" w:rsidP="00E046AC">
            <w:pPr>
              <w:jc w:val="center"/>
            </w:pPr>
            <w:r>
              <w:t>Sex</w:t>
            </w:r>
          </w:p>
        </w:tc>
        <w:tc>
          <w:tcPr>
            <w:tcW w:w="2880" w:type="dxa"/>
          </w:tcPr>
          <w:p w:rsidR="00A61032" w:rsidRDefault="00A61032" w:rsidP="00E046AC">
            <w:pPr>
              <w:jc w:val="center"/>
            </w:pPr>
            <w:r>
              <w:t>0.05</w:t>
            </w:r>
          </w:p>
        </w:tc>
        <w:tc>
          <w:tcPr>
            <w:tcW w:w="2880" w:type="dxa"/>
          </w:tcPr>
          <w:p w:rsidR="00A61032" w:rsidRDefault="00A61032" w:rsidP="00E046AC">
            <w:pPr>
              <w:jc w:val="center"/>
            </w:pPr>
            <w:r>
              <w:t>-0.12</w:t>
            </w:r>
          </w:p>
        </w:tc>
      </w:tr>
      <w:tr w:rsidR="00A61032" w:rsidTr="000218C6">
        <w:tc>
          <w:tcPr>
            <w:tcW w:w="2880" w:type="dxa"/>
          </w:tcPr>
          <w:p w:rsidR="00A61032" w:rsidRDefault="00A61032" w:rsidP="00E046AC">
            <w:pPr>
              <w:jc w:val="center"/>
            </w:pPr>
            <w:r>
              <w:t>Baseline medication count</w:t>
            </w:r>
          </w:p>
        </w:tc>
        <w:tc>
          <w:tcPr>
            <w:tcW w:w="2880" w:type="dxa"/>
          </w:tcPr>
          <w:p w:rsidR="00A61032" w:rsidRDefault="00A61032" w:rsidP="00E046AC">
            <w:pPr>
              <w:jc w:val="center"/>
            </w:pPr>
            <w:r>
              <w:t>0.10</w:t>
            </w:r>
          </w:p>
        </w:tc>
        <w:tc>
          <w:tcPr>
            <w:tcW w:w="2880" w:type="dxa"/>
          </w:tcPr>
          <w:p w:rsidR="00A61032" w:rsidRDefault="00A61032" w:rsidP="00E046AC">
            <w:pPr>
              <w:jc w:val="center"/>
            </w:pPr>
            <w:r>
              <w:t>-0.02</w:t>
            </w:r>
          </w:p>
        </w:tc>
      </w:tr>
    </w:tbl>
    <w:p w:rsidR="00A61032" w:rsidRDefault="00A61032" w:rsidP="00A61032"/>
    <w:p w:rsidR="00A61032" w:rsidRDefault="00A61032" w:rsidP="00A61032"/>
    <w:p w:rsidR="00A61032" w:rsidRPr="00E046AC" w:rsidRDefault="00A61032" w:rsidP="00A61032">
      <w:pPr>
        <w:pStyle w:val="Heading2"/>
        <w:rPr>
          <w:b/>
          <w:bCs/>
          <w:i/>
          <w:iCs/>
          <w:color w:val="000000" w:themeColor="text1"/>
        </w:rPr>
      </w:pPr>
      <w:r>
        <w:rPr>
          <w:b/>
          <w:bCs/>
          <w:i/>
          <w:iCs/>
          <w:color w:val="000000" w:themeColor="text1"/>
        </w:rPr>
        <w:t>Panel C. Propensity-score distribution and overlap between treatment groups</w:t>
      </w:r>
    </w:p>
    <w:p w:rsidR="00A61032" w:rsidRDefault="00A61032" w:rsidP="00A61032"/>
    <w:tbl>
      <w:tblPr>
        <w:tblStyle w:val="TableGrid"/>
        <w:tblW w:w="0" w:type="auto"/>
        <w:tblLook w:val="04A0" w:firstRow="1" w:lastRow="0" w:firstColumn="1" w:lastColumn="0" w:noHBand="0" w:noVBand="1"/>
      </w:tblPr>
      <w:tblGrid>
        <w:gridCol w:w="1728"/>
        <w:gridCol w:w="1728"/>
        <w:gridCol w:w="1728"/>
        <w:gridCol w:w="1728"/>
        <w:gridCol w:w="1728"/>
      </w:tblGrid>
      <w:tr w:rsidR="00A61032">
        <w:tc>
          <w:tcPr>
            <w:tcW w:w="1728" w:type="dxa"/>
          </w:tcPr>
          <w:p w:rsidR="00A61032" w:rsidRDefault="00A61032" w:rsidP="00E046AC">
            <w:pPr>
              <w:jc w:val="center"/>
            </w:pPr>
            <w:r>
              <w:rPr>
                <w:b/>
                <w:bCs/>
              </w:rPr>
              <w:t>Group</w:t>
            </w:r>
          </w:p>
        </w:tc>
        <w:tc>
          <w:tcPr>
            <w:tcW w:w="1728" w:type="dxa"/>
          </w:tcPr>
          <w:p w:rsidR="00A61032" w:rsidRDefault="00A61032" w:rsidP="00E046AC">
            <w:pPr>
              <w:jc w:val="center"/>
            </w:pPr>
            <w:r>
              <w:rPr>
                <w:b/>
                <w:bCs/>
              </w:rPr>
              <w:t>n</w:t>
            </w:r>
          </w:p>
        </w:tc>
        <w:tc>
          <w:tcPr>
            <w:tcW w:w="1728" w:type="dxa"/>
          </w:tcPr>
          <w:p w:rsidR="00A61032" w:rsidRDefault="00A61032" w:rsidP="00E046AC">
            <w:pPr>
              <w:jc w:val="center"/>
            </w:pPr>
            <w:r>
              <w:rPr>
                <w:b/>
                <w:bCs/>
              </w:rPr>
              <w:t>Mean ± SD</w:t>
            </w:r>
          </w:p>
        </w:tc>
        <w:tc>
          <w:tcPr>
            <w:tcW w:w="1728" w:type="dxa"/>
          </w:tcPr>
          <w:p w:rsidR="00A61032" w:rsidRDefault="00A61032" w:rsidP="00E046AC">
            <w:pPr>
              <w:jc w:val="center"/>
            </w:pPr>
            <w:r>
              <w:rPr>
                <w:b/>
                <w:bCs/>
              </w:rPr>
              <w:t>Median</w:t>
            </w:r>
          </w:p>
        </w:tc>
        <w:tc>
          <w:tcPr>
            <w:tcW w:w="1728" w:type="dxa"/>
          </w:tcPr>
          <w:p w:rsidR="00A61032" w:rsidRDefault="00A61032" w:rsidP="00E046AC">
            <w:pPr>
              <w:jc w:val="center"/>
            </w:pPr>
            <w:r>
              <w:rPr>
                <w:b/>
                <w:bCs/>
              </w:rPr>
              <w:t>Range</w:t>
            </w:r>
          </w:p>
        </w:tc>
      </w:tr>
      <w:tr w:rsidR="00A61032">
        <w:tc>
          <w:tcPr>
            <w:tcW w:w="1728" w:type="dxa"/>
          </w:tcPr>
          <w:p w:rsidR="00A61032" w:rsidRDefault="00A61032" w:rsidP="00E046AC">
            <w:pPr>
              <w:jc w:val="center"/>
            </w:pPr>
            <w:r>
              <w:t>VCO+retbo</w:t>
            </w:r>
          </w:p>
        </w:tc>
        <w:tc>
          <w:tcPr>
            <w:tcW w:w="1728" w:type="dxa"/>
          </w:tcPr>
          <w:p w:rsidR="00A61032" w:rsidRDefault="00A61032" w:rsidP="00E046AC">
            <w:pPr>
              <w:jc w:val="center"/>
            </w:pPr>
            <w:r>
              <w:t>82</w:t>
            </w:r>
          </w:p>
        </w:tc>
        <w:tc>
          <w:tcPr>
            <w:tcW w:w="1728" w:type="dxa"/>
          </w:tcPr>
          <w:p w:rsidR="00A61032" w:rsidRDefault="00A61032" w:rsidP="00E046AC">
            <w:pPr>
              <w:jc w:val="center"/>
            </w:pPr>
            <w:r>
              <w:t>0.444 ± 0.145</w:t>
            </w:r>
          </w:p>
        </w:tc>
        <w:tc>
          <w:tcPr>
            <w:tcW w:w="1728" w:type="dxa"/>
          </w:tcPr>
          <w:p w:rsidR="00A61032" w:rsidRDefault="00A61032" w:rsidP="00E046AC">
            <w:pPr>
              <w:jc w:val="center"/>
            </w:pPr>
            <w:r>
              <w:t>0.434</w:t>
            </w:r>
          </w:p>
        </w:tc>
        <w:tc>
          <w:tcPr>
            <w:tcW w:w="1728" w:type="dxa"/>
          </w:tcPr>
          <w:p w:rsidR="00A61032" w:rsidRDefault="00A61032" w:rsidP="00E046AC">
            <w:pPr>
              <w:jc w:val="center"/>
            </w:pPr>
            <w:r>
              <w:t>0.141–0.922</w:t>
            </w:r>
          </w:p>
        </w:tc>
      </w:tr>
      <w:tr w:rsidR="00A61032">
        <w:tc>
          <w:tcPr>
            <w:tcW w:w="1728" w:type="dxa"/>
          </w:tcPr>
          <w:p w:rsidR="00A61032" w:rsidRDefault="00A61032" w:rsidP="00E046AC">
            <w:pPr>
              <w:jc w:val="center"/>
            </w:pPr>
            <w:r>
              <w:t>Retbo alone</w:t>
            </w:r>
          </w:p>
        </w:tc>
        <w:tc>
          <w:tcPr>
            <w:tcW w:w="1728" w:type="dxa"/>
          </w:tcPr>
          <w:p w:rsidR="00A61032" w:rsidRDefault="00A61032" w:rsidP="00E046AC">
            <w:pPr>
              <w:jc w:val="center"/>
            </w:pPr>
            <w:r>
              <w:t>82</w:t>
            </w:r>
          </w:p>
        </w:tc>
        <w:tc>
          <w:tcPr>
            <w:tcW w:w="1728" w:type="dxa"/>
          </w:tcPr>
          <w:p w:rsidR="00A61032" w:rsidRDefault="00A61032" w:rsidP="00E046AC">
            <w:pPr>
              <w:jc w:val="center"/>
            </w:pPr>
            <w:r>
              <w:t>0.556 ± 0.162</w:t>
            </w:r>
          </w:p>
        </w:tc>
        <w:tc>
          <w:tcPr>
            <w:tcW w:w="1728" w:type="dxa"/>
          </w:tcPr>
          <w:p w:rsidR="00A61032" w:rsidRDefault="00A61032" w:rsidP="00E046AC">
            <w:pPr>
              <w:jc w:val="center"/>
            </w:pPr>
            <w:r>
              <w:t>0.531</w:t>
            </w:r>
          </w:p>
        </w:tc>
        <w:tc>
          <w:tcPr>
            <w:tcW w:w="1728" w:type="dxa"/>
          </w:tcPr>
          <w:p w:rsidR="00A61032" w:rsidRDefault="00A61032" w:rsidP="00E046AC">
            <w:pPr>
              <w:jc w:val="center"/>
            </w:pPr>
            <w:r>
              <w:t>0.221–0.960</w:t>
            </w:r>
          </w:p>
        </w:tc>
      </w:tr>
    </w:tbl>
    <w:p w:rsidR="00A61032" w:rsidRDefault="00A61032" w:rsidP="00A61032"/>
    <w:p w:rsidR="00A61032" w:rsidRDefault="00A61032" w:rsidP="00A61032">
      <w:r>
        <w:t>Common support (overlapping) region between groups: propensity scores 0.221–0.922. Six eyes (3.7% of the cohort; 5 VCO+retbo, 1 retbo alone) had propensity scores outside this overlapping region and were retained in the weighted/adjusted analyses, consistent with the rationale given below for not performing propensity-score matching.</w:t>
      </w:r>
    </w:p>
    <w:p w:rsidR="00A61032" w:rsidRDefault="00A61032" w:rsidP="00A61032"/>
    <w:p w:rsidR="00A61032" w:rsidRPr="00E046AC" w:rsidRDefault="00A61032" w:rsidP="00A61032">
      <w:pPr>
        <w:pStyle w:val="Heading2"/>
        <w:rPr>
          <w:b/>
          <w:bCs/>
          <w:i/>
          <w:iCs/>
          <w:color w:val="000000" w:themeColor="text1"/>
        </w:rPr>
      </w:pPr>
      <w:r>
        <w:rPr>
          <w:b/>
          <w:bCs/>
          <w:i/>
          <w:iCs/>
          <w:color w:val="000000" w:themeColor="text1"/>
        </w:rPr>
        <w:t>Additional IPTW diagnostics</w:t>
      </w:r>
    </w:p>
    <w:p w:rsidR="00A61032" w:rsidRDefault="00A61032" w:rsidP="00A61032"/>
    <w:tbl>
      <w:tblPr>
        <w:tblStyle w:val="TableGrid"/>
        <w:tblW w:w="0" w:type="auto"/>
        <w:tblLook w:val="04A0" w:firstRow="1" w:lastRow="0" w:firstColumn="1" w:lastColumn="0" w:noHBand="0" w:noVBand="1"/>
      </w:tblPr>
      <w:tblGrid>
        <w:gridCol w:w="4320"/>
        <w:gridCol w:w="4320"/>
      </w:tblGrid>
      <w:tr w:rsidR="00A61032" w:rsidTr="000218C6">
        <w:tc>
          <w:tcPr>
            <w:tcW w:w="4320" w:type="dxa"/>
          </w:tcPr>
          <w:p w:rsidR="00A61032" w:rsidRPr="00E046AC" w:rsidRDefault="00A61032" w:rsidP="00E046AC">
            <w:pPr>
              <w:jc w:val="center"/>
              <w:rPr>
                <w:b/>
                <w:bCs/>
              </w:rPr>
            </w:pPr>
            <w:r>
              <w:rPr>
                <w:b/>
                <w:bCs/>
              </w:rPr>
              <w:t>Metric</w:t>
            </w:r>
          </w:p>
        </w:tc>
        <w:tc>
          <w:tcPr>
            <w:tcW w:w="4320" w:type="dxa"/>
          </w:tcPr>
          <w:p w:rsidR="00A61032" w:rsidRPr="00E046AC" w:rsidRDefault="00A61032" w:rsidP="00E046AC">
            <w:pPr>
              <w:jc w:val="center"/>
              <w:rPr>
                <w:b/>
                <w:bCs/>
              </w:rPr>
            </w:pPr>
            <w:r>
              <w:rPr>
                <w:b/>
                <w:bCs/>
              </w:rPr>
              <w:t>Value</w:t>
            </w:r>
          </w:p>
        </w:tc>
      </w:tr>
      <w:tr w:rsidR="00A61032" w:rsidTr="000218C6">
        <w:tc>
          <w:tcPr>
            <w:tcW w:w="4320" w:type="dxa"/>
          </w:tcPr>
          <w:p w:rsidR="00A61032" w:rsidRDefault="00A61032" w:rsidP="00E046AC">
            <w:pPr>
              <w:jc w:val="center"/>
            </w:pPr>
            <w:r>
              <w:t>Effective sample size after weighting</w:t>
            </w:r>
          </w:p>
        </w:tc>
        <w:tc>
          <w:tcPr>
            <w:tcW w:w="4320" w:type="dxa"/>
          </w:tcPr>
          <w:p w:rsidR="00A61032" w:rsidRDefault="00A61032" w:rsidP="00E046AC">
            <w:pPr>
              <w:jc w:val="center"/>
            </w:pPr>
            <w:r>
              <w:t>125</w:t>
            </w:r>
          </w:p>
        </w:tc>
      </w:tr>
      <w:tr w:rsidR="00A61032" w:rsidTr="000218C6">
        <w:tc>
          <w:tcPr>
            <w:tcW w:w="4320" w:type="dxa"/>
          </w:tcPr>
          <w:p w:rsidR="00A61032" w:rsidRDefault="00A61032" w:rsidP="00E046AC">
            <w:pPr>
              <w:jc w:val="center"/>
            </w:pPr>
            <w:r>
              <w:t>Mean stabilized weight (SD)</w:t>
            </w:r>
          </w:p>
        </w:tc>
        <w:tc>
          <w:tcPr>
            <w:tcW w:w="4320" w:type="dxa"/>
          </w:tcPr>
          <w:p w:rsidR="00A61032" w:rsidRDefault="00A61032" w:rsidP="00E046AC">
            <w:pPr>
              <w:jc w:val="center"/>
            </w:pPr>
            <w:r>
              <w:t>1.02 (0.57)</w:t>
            </w:r>
          </w:p>
        </w:tc>
      </w:tr>
      <w:tr w:rsidR="00A61032" w:rsidTr="000218C6">
        <w:tc>
          <w:tcPr>
            <w:tcW w:w="4320" w:type="dxa"/>
          </w:tcPr>
          <w:p w:rsidR="00A61032" w:rsidRDefault="00A61032" w:rsidP="00E046AC">
            <w:pPr>
              <w:jc w:val="center"/>
            </w:pPr>
            <w:r>
              <w:t>Median stabilized weight (IQR)</w:t>
            </w:r>
          </w:p>
        </w:tc>
        <w:tc>
          <w:tcPr>
            <w:tcW w:w="4320" w:type="dxa"/>
          </w:tcPr>
          <w:p w:rsidR="00A61032" w:rsidRDefault="00A61032" w:rsidP="00E046AC">
            <w:pPr>
              <w:jc w:val="center"/>
            </w:pPr>
            <w:r>
              <w:t>0.89 (0.77–1.09)</w:t>
            </w:r>
          </w:p>
        </w:tc>
      </w:tr>
      <w:tr w:rsidR="00A61032" w:rsidTr="000218C6">
        <w:tc>
          <w:tcPr>
            <w:tcW w:w="4320" w:type="dxa"/>
          </w:tcPr>
          <w:p w:rsidR="00A61032" w:rsidRDefault="00A61032" w:rsidP="00E046AC">
            <w:pPr>
              <w:jc w:val="center"/>
            </w:pPr>
            <w:r>
              <w:t>Minimum stabilized weight</w:t>
            </w:r>
          </w:p>
        </w:tc>
        <w:tc>
          <w:tcPr>
            <w:tcW w:w="4320" w:type="dxa"/>
          </w:tcPr>
          <w:p w:rsidR="00A61032" w:rsidRDefault="00A61032" w:rsidP="00E046AC">
            <w:pPr>
              <w:jc w:val="center"/>
            </w:pPr>
            <w:r>
              <w:t>0.52</w:t>
            </w:r>
          </w:p>
        </w:tc>
      </w:tr>
      <w:tr w:rsidR="00A61032" w:rsidTr="000218C6">
        <w:tc>
          <w:tcPr>
            <w:tcW w:w="4320" w:type="dxa"/>
          </w:tcPr>
          <w:p w:rsidR="00A61032" w:rsidRDefault="00A61032" w:rsidP="00E046AC">
            <w:pPr>
              <w:jc w:val="center"/>
            </w:pPr>
            <w:r>
              <w:t>Maximum stabilized weight</w:t>
            </w:r>
          </w:p>
        </w:tc>
        <w:tc>
          <w:tcPr>
            <w:tcW w:w="4320" w:type="dxa"/>
          </w:tcPr>
          <w:p w:rsidR="00A61032" w:rsidRDefault="00A61032" w:rsidP="00E046AC">
            <w:pPr>
              <w:jc w:val="center"/>
            </w:pPr>
            <w:r>
              <w:t>6.41</w:t>
            </w:r>
          </w:p>
        </w:tc>
      </w:tr>
      <w:tr w:rsidR="00A61032" w:rsidTr="000218C6">
        <w:tc>
          <w:tcPr>
            <w:tcW w:w="4320" w:type="dxa"/>
          </w:tcPr>
          <w:p w:rsidR="00A61032" w:rsidRDefault="00A61032" w:rsidP="00E046AC">
            <w:pPr>
              <w:jc w:val="center"/>
            </w:pPr>
            <w:r>
              <w:t>Number of eyes with weight &gt;4</w:t>
            </w:r>
          </w:p>
        </w:tc>
        <w:tc>
          <w:tcPr>
            <w:tcW w:w="4320" w:type="dxa"/>
          </w:tcPr>
          <w:p w:rsidR="00A61032" w:rsidRDefault="00A61032" w:rsidP="00E046AC">
            <w:pPr>
              <w:jc w:val="center"/>
            </w:pPr>
            <w:r>
              <w:t>1</w:t>
            </w:r>
          </w:p>
        </w:tc>
      </w:tr>
      <w:tr w:rsidR="00A61032" w:rsidTr="000218C6">
        <w:tc>
          <w:tcPr>
            <w:tcW w:w="4320" w:type="dxa"/>
          </w:tcPr>
          <w:p w:rsidR="00A61032" w:rsidRDefault="00A61032" w:rsidP="00E046AC">
            <w:pPr>
              <w:jc w:val="center"/>
            </w:pPr>
            <w:r>
              <w:t>Propensity-score model AUC</w:t>
            </w:r>
          </w:p>
        </w:tc>
        <w:tc>
          <w:tcPr>
            <w:tcW w:w="4320" w:type="dxa"/>
          </w:tcPr>
          <w:p w:rsidR="00A61032" w:rsidRDefault="00A61032" w:rsidP="00E046AC">
            <w:pPr>
              <w:jc w:val="center"/>
            </w:pPr>
            <w:r>
              <w:t>0.71</w:t>
            </w:r>
          </w:p>
        </w:tc>
      </w:tr>
    </w:tbl>
    <w:p w:rsidR="00A61032" w:rsidRDefault="00A61032" w:rsidP="00A61032"/>
    <w:sectPr w:rsidR="00A61032">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411881"/>
    <w:multiLevelType w:val="hybridMultilevel"/>
    <w:tmpl w:val="72B4047E"/>
    <w:lvl w:ilvl="0" w:tplc="948439DA">
      <w:start w:val="1"/>
      <w:numFmt w:val="bullet"/>
      <w:lvlText w:val="●"/>
      <w:lvlJc w:val="left"/>
      <w:pPr>
        <w:ind w:left="720" w:hanging="360"/>
      </w:pPr>
    </w:lvl>
    <w:lvl w:ilvl="1" w:tplc="BA200F34">
      <w:start w:val="1"/>
      <w:numFmt w:val="bullet"/>
      <w:lvlText w:val="○"/>
      <w:lvlJc w:val="left"/>
      <w:pPr>
        <w:ind w:left="1440" w:hanging="360"/>
      </w:pPr>
    </w:lvl>
    <w:lvl w:ilvl="2" w:tplc="8AAC57DE">
      <w:start w:val="1"/>
      <w:numFmt w:val="bullet"/>
      <w:lvlText w:val="■"/>
      <w:lvlJc w:val="left"/>
      <w:pPr>
        <w:ind w:left="2160" w:hanging="360"/>
      </w:pPr>
    </w:lvl>
    <w:lvl w:ilvl="3" w:tplc="3346704E">
      <w:start w:val="1"/>
      <w:numFmt w:val="bullet"/>
      <w:lvlText w:val="●"/>
      <w:lvlJc w:val="left"/>
      <w:pPr>
        <w:ind w:left="2880" w:hanging="360"/>
      </w:pPr>
    </w:lvl>
    <w:lvl w:ilvl="4" w:tplc="F5B278E8">
      <w:start w:val="1"/>
      <w:numFmt w:val="bullet"/>
      <w:lvlText w:val="○"/>
      <w:lvlJc w:val="left"/>
      <w:pPr>
        <w:ind w:left="3600" w:hanging="360"/>
      </w:pPr>
    </w:lvl>
    <w:lvl w:ilvl="5" w:tplc="F7CA9C9E">
      <w:start w:val="1"/>
      <w:numFmt w:val="bullet"/>
      <w:lvlText w:val="■"/>
      <w:lvlJc w:val="left"/>
      <w:pPr>
        <w:ind w:left="4320" w:hanging="360"/>
      </w:pPr>
    </w:lvl>
    <w:lvl w:ilvl="6" w:tplc="C11000BA">
      <w:start w:val="1"/>
      <w:numFmt w:val="bullet"/>
      <w:lvlText w:val="●"/>
      <w:lvlJc w:val="left"/>
      <w:pPr>
        <w:ind w:left="5040" w:hanging="360"/>
      </w:pPr>
    </w:lvl>
    <w:lvl w:ilvl="7" w:tplc="51BE6BB8">
      <w:start w:val="1"/>
      <w:numFmt w:val="bullet"/>
      <w:lvlText w:val="●"/>
      <w:lvlJc w:val="left"/>
      <w:pPr>
        <w:ind w:left="5760" w:hanging="360"/>
      </w:pPr>
    </w:lvl>
    <w:lvl w:ilvl="8" w:tplc="EC8C64A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170"/>
    <w:rsid w:val="00087434"/>
    <w:rsid w:val="00310030"/>
    <w:rsid w:val="003835B4"/>
    <w:rsid w:val="008C5992"/>
    <w:rsid w:val="00A61032"/>
    <w:rsid w:val="00B4024C"/>
    <w:rsid w:val="00E046AC"/>
    <w:rsid w:val="00EC4170"/>
    <w:rsid w:val="00F051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601DC6-190B-4BCB-AF9A-04DC1A082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59"/>
    <w:rsid w:val="00A61032"/>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3</Pages>
  <Words>882</Words>
  <Characters>5034</Characters>
  <Application>Microsoft Office Word</Application>
  <DocSecurity>0</DocSecurity>
  <Lines>41</Lines>
  <Paragraphs>11</Paragraphs>
  <ScaleCrop>false</ScaleCrop>
  <Company>SACC</Company>
  <LinksUpToDate>false</LinksUpToDate>
  <CharactersWithSpaces>5905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Maher</cp:lastModifiedBy>
  <cp:revision>9</cp:revision>
  <dcterms:created xsi:type="dcterms:W3CDTF">2026-08-06T11:14:00Z</dcterms:created>
  <dcterms:modified xsi:type="dcterms:W3CDTF">2026-08-24T22:38:00Z</dcterms:modified>
</cp:coreProperties>
</file>