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E04" w:rsidRPr="005402D4" w:rsidRDefault="005402D4" w:rsidP="005402D4">
      <w:pPr>
        <w:pStyle w:val="Heading2"/>
        <w:rPr>
          <w:rFonts w:asciiTheme="majorHAnsi" w:eastAsiaTheme="minorHAnsi" w:hAnsiTheme="majorHAnsi" w:cstheme="majorHAnsi"/>
          <w:color w:val="auto"/>
          <w:sz w:val="22"/>
          <w:szCs w:val="22"/>
        </w:rPr>
      </w:pPr>
      <w:bookmarkStart w:id="0" w:name="_GoBack"/>
      <w:r w:rsidRPr="00AA4649">
        <w:rPr>
          <w:rFonts w:asciiTheme="majorHAnsi" w:eastAsiaTheme="minorHAnsi" w:hAnsiTheme="majorHAnsi" w:cstheme="majorHAnsi"/>
          <w:b/>
          <w:bCs/>
          <w:color w:val="auto"/>
          <w:sz w:val="22"/>
          <w:szCs w:val="22"/>
        </w:rPr>
        <w:t>Supplementary Table S2</w:t>
      </w:r>
      <w:r w:rsidR="00484E04" w:rsidRPr="00AA4649">
        <w:rPr>
          <w:rFonts w:asciiTheme="majorHAnsi" w:eastAsiaTheme="minorHAnsi" w:hAnsiTheme="majorHAnsi" w:cstheme="majorHAnsi"/>
          <w:b/>
          <w:bCs/>
          <w:color w:val="auto"/>
          <w:sz w:val="22"/>
          <w:szCs w:val="22"/>
        </w:rPr>
        <w:t>.</w:t>
      </w:r>
      <w:r w:rsidR="00484E04" w:rsidRPr="005402D4">
        <w:rPr>
          <w:rFonts w:asciiTheme="majorHAnsi" w:eastAsiaTheme="minorHAnsi" w:hAnsiTheme="majorHAnsi" w:cstheme="majorHAnsi"/>
          <w:color w:val="auto"/>
          <w:sz w:val="22"/>
          <w:szCs w:val="22"/>
        </w:rPr>
        <w:t xml:space="preserve"> </w:t>
      </w:r>
      <w:bookmarkEnd w:id="0"/>
      <w:r w:rsidR="00484E04" w:rsidRPr="005402D4">
        <w:rPr>
          <w:rFonts w:asciiTheme="majorHAnsi" w:eastAsiaTheme="minorHAnsi" w:hAnsiTheme="majorHAnsi" w:cstheme="majorHAnsi"/>
          <w:color w:val="auto"/>
          <w:sz w:val="22"/>
          <w:szCs w:val="22"/>
        </w:rPr>
        <w:t>Joint presentation of IOP and medication burden over time and medication-adjusted ANCOVA outcomes.</w:t>
      </w:r>
    </w:p>
    <w:p w:rsidR="00511A46" w:rsidRPr="005402D4" w:rsidRDefault="00511A46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GridTable3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69"/>
        <w:gridCol w:w="1870"/>
        <w:gridCol w:w="1871"/>
      </w:tblGrid>
      <w:tr w:rsidR="00484E04" w:rsidRPr="00BD2BCA" w:rsidTr="00BD2B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BD2BCA">
              <w:rPr>
                <w:rFonts w:asciiTheme="majorHAnsi" w:hAnsiTheme="majorHAnsi" w:cstheme="majorHAnsi"/>
                <w:color w:val="000000" w:themeColor="text1"/>
                <w:sz w:val="19"/>
              </w:rPr>
              <w:t>Visit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BD2BCA">
              <w:rPr>
                <w:rFonts w:asciiTheme="majorHAnsi" w:hAnsiTheme="majorHAnsi" w:cstheme="majorHAnsi"/>
                <w:color w:val="000000" w:themeColor="text1"/>
                <w:sz w:val="19"/>
              </w:rPr>
              <w:t>Group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BD2BCA">
              <w:rPr>
                <w:rFonts w:asciiTheme="majorHAnsi" w:hAnsiTheme="majorHAnsi" w:cstheme="majorHAnsi"/>
                <w:color w:val="000000" w:themeColor="text1"/>
                <w:sz w:val="19"/>
              </w:rPr>
              <w:t>n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BD2BCA">
              <w:rPr>
                <w:rFonts w:asciiTheme="majorHAnsi" w:hAnsiTheme="majorHAnsi" w:cstheme="majorHAnsi"/>
                <w:color w:val="000000" w:themeColor="text1"/>
                <w:sz w:val="19"/>
              </w:rPr>
              <w:t>IOP, mmHg (mean ± SD)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BD2BCA">
              <w:rPr>
                <w:rFonts w:asciiTheme="majorHAnsi" w:hAnsiTheme="majorHAnsi" w:cstheme="majorHAnsi"/>
                <w:color w:val="000000" w:themeColor="text1"/>
                <w:sz w:val="19"/>
              </w:rPr>
              <w:t>Medications, n (mean ± SD)</w:t>
            </w:r>
          </w:p>
        </w:tc>
      </w:tr>
      <w:tr w:rsidR="00484E04" w:rsidRPr="00BD2BCA" w:rsidTr="00BD2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Baseline</w:t>
            </w:r>
          </w:p>
        </w:tc>
        <w:tc>
          <w:tcPr>
            <w:tcW w:w="1872" w:type="dxa"/>
          </w:tcPr>
          <w:p w:rsidR="00484E04" w:rsidRPr="00BD2BCA" w:rsidRDefault="00103E0B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VCO+retbo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56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28.5 ± 6.1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2.70 ± 0.78</w:t>
            </w:r>
          </w:p>
        </w:tc>
      </w:tr>
      <w:tr w:rsidR="00484E04" w:rsidRPr="00BD2BCA" w:rsidTr="00BD2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103E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re</w:t>
            </w:r>
            <w:r w:rsidR="00103E0B" w:rsidRPr="00BD2BCA">
              <w:rPr>
                <w:rFonts w:asciiTheme="majorHAnsi" w:hAnsiTheme="majorHAnsi" w:cstheme="majorHAnsi"/>
                <w:sz w:val="18"/>
              </w:rPr>
              <w:t>t</w:t>
            </w:r>
            <w:r w:rsidRPr="00BD2BCA">
              <w:rPr>
                <w:rFonts w:asciiTheme="majorHAnsi" w:hAnsiTheme="majorHAnsi" w:cstheme="majorHAnsi"/>
                <w:sz w:val="18"/>
              </w:rPr>
              <w:t>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51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27.4 ± 5.3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2.69 ± 0.97</w:t>
            </w:r>
          </w:p>
        </w:tc>
      </w:tr>
      <w:tr w:rsidR="00484E04" w:rsidRPr="00BD2BCA" w:rsidTr="00BD2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Year 1</w:t>
            </w:r>
          </w:p>
        </w:tc>
        <w:tc>
          <w:tcPr>
            <w:tcW w:w="1872" w:type="dxa"/>
          </w:tcPr>
          <w:p w:rsidR="00484E04" w:rsidRPr="00BD2BCA" w:rsidRDefault="00103E0B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VCO+retbo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56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16.1 ± 3.3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1.90 ± 1.11</w:t>
            </w:r>
          </w:p>
        </w:tc>
      </w:tr>
      <w:tr w:rsidR="00484E04" w:rsidRPr="00BD2BCA" w:rsidTr="00BD2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103E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re</w:t>
            </w:r>
            <w:r w:rsidR="00103E0B" w:rsidRPr="00BD2BCA">
              <w:rPr>
                <w:rFonts w:asciiTheme="majorHAnsi" w:hAnsiTheme="majorHAnsi" w:cstheme="majorHAnsi"/>
                <w:sz w:val="18"/>
              </w:rPr>
              <w:t>t</w:t>
            </w:r>
            <w:r w:rsidRPr="00BD2BCA">
              <w:rPr>
                <w:rFonts w:asciiTheme="majorHAnsi" w:hAnsiTheme="majorHAnsi" w:cstheme="majorHAnsi"/>
                <w:sz w:val="18"/>
              </w:rPr>
              <w:t>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51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17.0 ± 4.8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1.18 ± 0.99</w:t>
            </w:r>
          </w:p>
        </w:tc>
      </w:tr>
      <w:tr w:rsidR="00484E04" w:rsidRPr="00BD2BCA" w:rsidTr="00BD2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Last visit (Crude)</w:t>
            </w:r>
          </w:p>
        </w:tc>
        <w:tc>
          <w:tcPr>
            <w:tcW w:w="1872" w:type="dxa"/>
          </w:tcPr>
          <w:p w:rsidR="00484E04" w:rsidRPr="00BD2BCA" w:rsidRDefault="00103E0B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VCO+retbo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56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16.0 ± 2.9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2.04 ± 1.03</w:t>
            </w:r>
          </w:p>
        </w:tc>
      </w:tr>
      <w:tr w:rsidR="00484E04" w:rsidRPr="00BD2BCA" w:rsidTr="00BD2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103E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re</w:t>
            </w:r>
            <w:r w:rsidR="00103E0B" w:rsidRPr="00BD2BCA">
              <w:rPr>
                <w:rFonts w:asciiTheme="majorHAnsi" w:hAnsiTheme="majorHAnsi" w:cstheme="majorHAnsi"/>
                <w:sz w:val="18"/>
              </w:rPr>
              <w:t>t</w:t>
            </w:r>
            <w:r w:rsidRPr="00BD2BCA">
              <w:rPr>
                <w:rFonts w:asciiTheme="majorHAnsi" w:hAnsiTheme="majorHAnsi" w:cstheme="majorHAnsi"/>
                <w:sz w:val="18"/>
              </w:rPr>
              <w:t>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51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17.7 ± 4.3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0.98 ± 1.10</w:t>
            </w:r>
          </w:p>
        </w:tc>
      </w:tr>
      <w:tr w:rsidR="00484E04" w:rsidRPr="00BD2BCA" w:rsidTr="00BD2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Last visit (ANCOVA Adjusted)*</w:t>
            </w:r>
          </w:p>
        </w:tc>
        <w:tc>
          <w:tcPr>
            <w:tcW w:w="1872" w:type="dxa"/>
          </w:tcPr>
          <w:p w:rsidR="00484E04" w:rsidRPr="00BD2BCA" w:rsidRDefault="00103E0B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VCO+retbo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56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15.22 (14.39–16.05)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—</w:t>
            </w:r>
          </w:p>
        </w:tc>
      </w:tr>
      <w:tr w:rsidR="00484E04" w:rsidRPr="00BD2BCA" w:rsidTr="00BD2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103E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 w:rsidRPr="00BD2BCA">
              <w:rPr>
                <w:rFonts w:asciiTheme="majorHAnsi" w:hAnsiTheme="majorHAnsi" w:cstheme="majorHAnsi"/>
                <w:sz w:val="18"/>
              </w:rPr>
              <w:t>re</w:t>
            </w:r>
            <w:r w:rsidR="00103E0B" w:rsidRPr="00BD2BCA">
              <w:rPr>
                <w:rFonts w:asciiTheme="majorHAnsi" w:hAnsiTheme="majorHAnsi" w:cstheme="majorHAnsi"/>
                <w:sz w:val="18"/>
              </w:rPr>
              <w:t>t</w:t>
            </w:r>
            <w:r w:rsidRPr="00BD2BCA">
              <w:rPr>
                <w:rFonts w:asciiTheme="majorHAnsi" w:hAnsiTheme="majorHAnsi" w:cstheme="majorHAnsi"/>
                <w:sz w:val="18"/>
              </w:rPr>
              <w:t>bo</w:t>
            </w:r>
            <w:proofErr w:type="spellEnd"/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51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18.57 (17.70–19.44)</w:t>
            </w:r>
          </w:p>
        </w:tc>
        <w:tc>
          <w:tcPr>
            <w:tcW w:w="1872" w:type="dxa"/>
          </w:tcPr>
          <w:p w:rsidR="00484E04" w:rsidRPr="00BD2BCA" w:rsidRDefault="00484E04" w:rsidP="00557D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D2BCA">
              <w:rPr>
                <w:rFonts w:asciiTheme="majorHAnsi" w:hAnsiTheme="majorHAnsi" w:cstheme="majorHAnsi"/>
                <w:sz w:val="18"/>
              </w:rPr>
              <w:t>—</w:t>
            </w:r>
          </w:p>
        </w:tc>
      </w:tr>
      <w:tr w:rsidR="00484E04" w:rsidRPr="00BD2BCA" w:rsidTr="00BD2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484E04" w:rsidRPr="00BD2BCA" w:rsidRDefault="00484E04" w:rsidP="00557D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872" w:type="dxa"/>
          </w:tcPr>
          <w:p w:rsidR="00484E04" w:rsidRPr="00BD2BCA" w:rsidRDefault="00484E04" w:rsidP="00557D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:rsidR="00484E04" w:rsidRPr="00BD2BCA" w:rsidRDefault="00484E04" w:rsidP="00484E04">
      <w:pPr>
        <w:rPr>
          <w:rFonts w:asciiTheme="majorHAnsi" w:hAnsiTheme="majorHAnsi" w:cstheme="majorHAnsi"/>
        </w:rPr>
      </w:pPr>
      <w:r w:rsidRPr="00BD2BCA">
        <w:rPr>
          <w:rFonts w:asciiTheme="majorHAnsi" w:hAnsiTheme="majorHAnsi" w:cstheme="majorHAnsi"/>
        </w:rPr>
        <w:t>IOP = intraocular pressure; SD = standard deviation. This table is descriptive; see Results and Discussion for the medication-adjusted ANCOVA of last-visit IOP (surgical group + last-visit medication count), which addresses whether the IOP differences shown here can be separated from concurrent medication burden.</w:t>
      </w:r>
    </w:p>
    <w:p w:rsidR="00484E04" w:rsidRPr="00BD2BCA" w:rsidRDefault="00484E04">
      <w:pPr>
        <w:rPr>
          <w:rFonts w:asciiTheme="majorHAnsi" w:hAnsiTheme="majorHAnsi" w:cstheme="majorHAnsi"/>
        </w:rPr>
      </w:pPr>
    </w:p>
    <w:sectPr w:rsidR="00484E04" w:rsidRPr="00BD2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04"/>
    <w:rsid w:val="00103E0B"/>
    <w:rsid w:val="00484E04"/>
    <w:rsid w:val="00511A46"/>
    <w:rsid w:val="005402D4"/>
    <w:rsid w:val="00AA4649"/>
    <w:rsid w:val="00BD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3FA8B-25C8-4FF7-8EBA-1C4BC090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link w:val="Heading2Char"/>
    <w:qFormat/>
    <w:rsid w:val="005402D4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3">
    <w:name w:val="Grid Table 3"/>
    <w:basedOn w:val="TableNormal"/>
    <w:uiPriority w:val="48"/>
    <w:rsid w:val="00BD2B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5402D4"/>
    <w:rPr>
      <w:rFonts w:ascii="Times New Roman" w:eastAsia="Times New Roman" w:hAnsi="Times New Roman" w:cs="Times New Roman"/>
      <w:color w:val="2E74B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5</cp:revision>
  <dcterms:created xsi:type="dcterms:W3CDTF">2026-08-12T08:17:00Z</dcterms:created>
  <dcterms:modified xsi:type="dcterms:W3CDTF">2026-08-24T20:24:00Z</dcterms:modified>
</cp:coreProperties>
</file>