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1D51C3" w14:textId="77777777" w:rsidR="0024324B" w:rsidRPr="00DD3A52" w:rsidRDefault="0024324B" w:rsidP="0024324B">
      <w:pPr>
        <w:pStyle w:val="Heading1"/>
        <w:jc w:val="center"/>
        <w:rPr>
          <w:rFonts w:ascii="Arial" w:hAnsi="Arial" w:cs="Arial"/>
          <w:b/>
          <w:bCs/>
          <w:color w:val="000000" w:themeColor="text1"/>
          <w:sz w:val="24"/>
          <w:szCs w:val="24"/>
        </w:rPr>
      </w:pPr>
      <w:r w:rsidRPr="00DD3A52">
        <w:rPr>
          <w:rFonts w:ascii="Arial" w:hAnsi="Arial" w:cs="Arial"/>
          <w:b/>
          <w:bCs/>
          <w:color w:val="000000" w:themeColor="text1"/>
          <w:sz w:val="24"/>
          <w:szCs w:val="24"/>
        </w:rPr>
        <w:t>Additional material to accompany the manuscript:</w:t>
      </w:r>
    </w:p>
    <w:p w14:paraId="0ED69ABC" w14:textId="77777777" w:rsidR="0024324B" w:rsidRPr="00DD3A52" w:rsidRDefault="0024324B" w:rsidP="0024324B">
      <w:pPr>
        <w:jc w:val="center"/>
        <w:rPr>
          <w:rFonts w:ascii="Arial" w:hAnsi="Arial" w:cs="Arial"/>
        </w:rPr>
      </w:pPr>
    </w:p>
    <w:p w14:paraId="59FAC4A9" w14:textId="77777777" w:rsidR="0024324B" w:rsidRPr="004E2470" w:rsidRDefault="0024324B" w:rsidP="0024324B">
      <w:pPr>
        <w:pStyle w:val="Heading1"/>
        <w:jc w:val="center"/>
        <w:rPr>
          <w:rFonts w:ascii="Arial" w:hAnsi="Arial" w:cs="Arial"/>
          <w:b/>
          <w:bCs/>
          <w:color w:val="000000" w:themeColor="text1"/>
          <w:sz w:val="24"/>
          <w:szCs w:val="24"/>
        </w:rPr>
      </w:pPr>
      <w:r w:rsidRPr="004E2470">
        <w:rPr>
          <w:rFonts w:ascii="Arial" w:hAnsi="Arial" w:cs="Arial"/>
          <w:color w:val="000000" w:themeColor="text1"/>
          <w:sz w:val="24"/>
          <w:szCs w:val="24"/>
        </w:rPr>
        <w:t>Cost-effectiveness of the Port Delivery Platform Compared with Intravitreal Injection of Anti-Vascular Endothelial Growth Factor for Patients with Neovascular Age-Related Macular Degeneration</w:t>
      </w:r>
    </w:p>
    <w:p w14:paraId="59D0F81C" w14:textId="77777777" w:rsidR="0024324B" w:rsidRDefault="0024324B" w:rsidP="0024324B">
      <w:pPr>
        <w:rPr>
          <w:rFonts w:ascii="Arial" w:hAnsi="Arial" w:cs="Arial"/>
          <w:b/>
          <w:bCs/>
          <w:lang w:val="en-US"/>
        </w:rPr>
      </w:pPr>
    </w:p>
    <w:p w14:paraId="4D482C37" w14:textId="77777777" w:rsidR="0024324B" w:rsidRDefault="0024324B" w:rsidP="0024324B">
      <w:pPr>
        <w:rPr>
          <w:rFonts w:ascii="Arial" w:hAnsi="Arial" w:cs="Arial"/>
          <w:b/>
          <w:bCs/>
          <w:lang w:val="en-US"/>
        </w:rPr>
      </w:pPr>
    </w:p>
    <w:p w14:paraId="244D01C6" w14:textId="25376957" w:rsidR="0024324B" w:rsidRPr="00FE7FD3" w:rsidRDefault="0024324B" w:rsidP="0024324B">
      <w:pPr>
        <w:rPr>
          <w:rFonts w:ascii="Arial" w:hAnsi="Arial" w:cs="Arial"/>
          <w:b/>
          <w:bCs/>
          <w:lang w:val="en-US"/>
        </w:rPr>
      </w:pPr>
      <w:r w:rsidRPr="00FE7FD3">
        <w:rPr>
          <w:rFonts w:ascii="Arial" w:hAnsi="Arial" w:cs="Arial"/>
          <w:b/>
          <w:bCs/>
          <w:lang w:val="en-US"/>
        </w:rPr>
        <w:t>Supplement</w:t>
      </w:r>
      <w:r>
        <w:rPr>
          <w:rFonts w:ascii="Arial" w:hAnsi="Arial" w:cs="Arial"/>
          <w:b/>
          <w:bCs/>
          <w:lang w:val="en-US"/>
        </w:rPr>
        <w:t>ary Material</w:t>
      </w:r>
      <w:r w:rsidRPr="00FE7FD3">
        <w:rPr>
          <w:rFonts w:ascii="Arial" w:hAnsi="Arial" w:cs="Arial"/>
          <w:b/>
          <w:bCs/>
          <w:lang w:val="en-US"/>
        </w:rPr>
        <w:t xml:space="preserve"> </w:t>
      </w:r>
      <w:r>
        <w:rPr>
          <w:rFonts w:ascii="Arial" w:hAnsi="Arial" w:cs="Arial"/>
          <w:b/>
          <w:bCs/>
          <w:lang w:val="en-US"/>
        </w:rPr>
        <w:t>2</w:t>
      </w:r>
      <w:r w:rsidRPr="00FE7FD3">
        <w:rPr>
          <w:rFonts w:ascii="Arial" w:hAnsi="Arial" w:cs="Arial"/>
          <w:b/>
          <w:bCs/>
          <w:lang w:val="en-US"/>
        </w:rPr>
        <w:t>: Supplementary tables</w:t>
      </w:r>
    </w:p>
    <w:p w14:paraId="3949D4AF" w14:textId="2B9B0AB5" w:rsidR="0024324B" w:rsidRPr="00FE7FD3" w:rsidRDefault="0024324B" w:rsidP="0024324B">
      <w:pPr>
        <w:pStyle w:val="Caption"/>
        <w:keepNext/>
        <w:jc w:val="both"/>
        <w:rPr>
          <w:rFonts w:ascii="Arial" w:hAnsi="Arial" w:cs="Arial"/>
          <w:i w:val="0"/>
          <w:iCs w:val="0"/>
          <w:color w:val="000000" w:themeColor="text1"/>
          <w:sz w:val="24"/>
          <w:szCs w:val="24"/>
          <w:vertAlign w:val="superscript"/>
        </w:rPr>
      </w:pPr>
      <w:r w:rsidRPr="00FE7FD3">
        <w:rPr>
          <w:rFonts w:ascii="Arial" w:hAnsi="Arial" w:cs="Arial"/>
          <w:i w:val="0"/>
          <w:iCs w:val="0"/>
          <w:color w:val="000000" w:themeColor="text1"/>
          <w:sz w:val="24"/>
          <w:szCs w:val="24"/>
        </w:rPr>
        <w:t>eTable1. Yearly transition probabilities retrieved from Ferrante et al.</w:t>
      </w:r>
      <w:r w:rsidRPr="00FE7FD3">
        <w:rPr>
          <w:rFonts w:ascii="Arial" w:hAnsi="Arial" w:cs="Arial"/>
          <w:i w:val="0"/>
          <w:iCs w:val="0"/>
          <w:color w:val="000000" w:themeColor="text1"/>
          <w:sz w:val="24"/>
          <w:szCs w:val="24"/>
          <w:vertAlign w:val="superscript"/>
        </w:rPr>
        <w:fldChar w:fldCharType="begin"/>
      </w:r>
      <w:r>
        <w:rPr>
          <w:rFonts w:ascii="Arial" w:hAnsi="Arial" w:cs="Arial"/>
          <w:i w:val="0"/>
          <w:iCs w:val="0"/>
          <w:color w:val="000000" w:themeColor="text1"/>
          <w:sz w:val="24"/>
          <w:szCs w:val="24"/>
          <w:vertAlign w:val="superscript"/>
        </w:rPr>
        <w:instrText xml:space="preserve"> ADDIN ZOTERO_ITEM CSL_CITATION {"citationID":"asjq5o13v4","properties":{"formattedCitation":"(1)","plainCitation":"(1)","noteIndex":0},"citationItems":[{"id":97,"uris":["http://zotero.org/users/local/qnIpXHeo/items/8ETN8IEK"],"itemData":{"id":97,"type":"article-journal","abstract":"Age-related macular degeneration (AMD) is a common and chronic eye condition characterized by the presence of progressive degenerative abnormalities in the central retina (macula). Notably, neovascular, or wet, AMD (nAMD) occurs when new, abnormal blood vessels grow under the macula causing scarring of the macula itself and resulting in a loss of central vision, visual distortion, and an impaired capacity of perceiving colour contrast and intensity. Brolucizumab, a new generation anti-vascular endothelial growth factor (anti-VEGF) monoclonal antibody, was approved by the European Medicines Agency for the treatment of nAMD. The aim of this analysis is to evaluate the cost-effectiveness profile of brolucizumab, compared to the main therapeutic alternative available (aflibercept), for the treatment of nAMD.","container-title":"BMC Health Services Research","DOI":"10.1186/s12913-022-07972-w","ISSN":"1472-6963","issue":"1","journalAbbreviation":"BMC Health Services Research","page":"573","source":"BioMed Central","title":"Cost-effectiveness analysis of brolucizumab versus aflibercept for the treatment of neovascular age-related macular degeneration (nAMD) in Italy","volume":"22","author":[{"family":"Ferrante","given":"Nicola"},{"family":"Ritrovato","given":"Daniela"},{"family":"Bitonti","given":"Rossella"},{"family":"Furneri","given":"Gianluca"}],"issued":{"date-parts":[["2022",4,29]]}}}],"schema":"https://github.com/citation-style-language/schema/raw/master/csl-citation.json"} </w:instrText>
      </w:r>
      <w:r w:rsidRPr="00FE7FD3">
        <w:rPr>
          <w:rFonts w:ascii="Arial" w:hAnsi="Arial" w:cs="Arial"/>
          <w:i w:val="0"/>
          <w:iCs w:val="0"/>
          <w:color w:val="000000" w:themeColor="text1"/>
          <w:sz w:val="24"/>
          <w:szCs w:val="24"/>
          <w:vertAlign w:val="superscript"/>
        </w:rPr>
        <w:fldChar w:fldCharType="separate"/>
      </w:r>
      <w:r>
        <w:rPr>
          <w:rFonts w:ascii="Arial" w:hAnsi="Arial" w:cs="Arial"/>
          <w:i w:val="0"/>
          <w:iCs w:val="0"/>
          <w:color w:val="000000"/>
          <w:sz w:val="24"/>
          <w:lang w:val="en-GB"/>
        </w:rPr>
        <w:t>(1)</w:t>
      </w:r>
      <w:r w:rsidRPr="00FE7FD3">
        <w:rPr>
          <w:rFonts w:ascii="Arial" w:hAnsi="Arial" w:cs="Arial"/>
          <w:i w:val="0"/>
          <w:iCs w:val="0"/>
          <w:color w:val="000000" w:themeColor="text1"/>
          <w:sz w:val="24"/>
          <w:szCs w:val="24"/>
          <w:vertAlign w:val="superscript"/>
        </w:rPr>
        <w:fldChar w:fldCharType="end"/>
      </w:r>
      <w:r w:rsidRPr="00FE7FD3">
        <w:rPr>
          <w:rFonts w:ascii="Arial" w:hAnsi="Arial" w:cs="Arial"/>
          <w:i w:val="0"/>
          <w:iCs w:val="0"/>
          <w:color w:val="000000" w:themeColor="text1"/>
          <w:sz w:val="24"/>
          <w:szCs w:val="24"/>
          <w:vertAlign w:val="superscript"/>
        </w:rPr>
        <w:t>,a</w:t>
      </w:r>
    </w:p>
    <w:p w14:paraId="6071098D" w14:textId="77777777" w:rsidR="0024324B" w:rsidRPr="00FE7FD3" w:rsidRDefault="0024324B" w:rsidP="0024324B">
      <w:pPr>
        <w:pStyle w:val="Caption"/>
        <w:keepNext/>
        <w:jc w:val="both"/>
        <w:rPr>
          <w:rFonts w:ascii="Arial" w:hAnsi="Arial" w:cs="Arial"/>
          <w:i w:val="0"/>
          <w:iCs w:val="0"/>
          <w:color w:val="000000" w:themeColor="text1"/>
          <w:sz w:val="24"/>
          <w:szCs w:val="24"/>
        </w:rPr>
      </w:pPr>
      <w:r w:rsidRPr="00FE7FD3">
        <w:rPr>
          <w:rFonts w:ascii="Arial" w:hAnsi="Arial" w:cs="Arial"/>
          <w:i w:val="0"/>
          <w:iCs w:val="0"/>
          <w:color w:val="000000" w:themeColor="text1"/>
          <w:sz w:val="24"/>
          <w:szCs w:val="24"/>
        </w:rPr>
        <w:t>eTable2. One year probability (%) of adverse events, retrieved from NICE</w:t>
      </w:r>
      <w:r w:rsidRPr="00FE7FD3">
        <w:rPr>
          <w:rFonts w:ascii="Arial" w:hAnsi="Arial" w:cs="Arial"/>
          <w:i w:val="0"/>
          <w:iCs w:val="0"/>
          <w:color w:val="000000" w:themeColor="text1"/>
          <w:sz w:val="24"/>
          <w:szCs w:val="24"/>
        </w:rPr>
        <w:fldChar w:fldCharType="begin"/>
      </w:r>
      <w:r>
        <w:rPr>
          <w:rFonts w:ascii="Arial" w:hAnsi="Arial" w:cs="Arial"/>
          <w:i w:val="0"/>
          <w:iCs w:val="0"/>
          <w:color w:val="000000" w:themeColor="text1"/>
          <w:sz w:val="24"/>
          <w:szCs w:val="24"/>
        </w:rPr>
        <w:instrText xml:space="preserve"> ADDIN ZOTERO_ITEM CSL_CITATION {"citationID":"a18pjpele98","properties":{"formattedCitation":"(2)","plainCitation":"(2)","noteIndex":0},"citationItems":[{"id":910,"uris":["http://zotero.org/users/local/qnIpXHeo/items/M4K2DEY2"],"itemData":{"id":910,"type":"document","title":"Macula degeneration Appendix G: Network meta-analysis","author":[{"family":"NICE","given":""}],"issued":{"date-parts":[["2018"]]}}}],"schema":"https://github.com/citation-style-language/schema/raw/master/csl-citation.json"} </w:instrText>
      </w:r>
      <w:r w:rsidRPr="00FE7FD3">
        <w:rPr>
          <w:rFonts w:ascii="Arial" w:hAnsi="Arial" w:cs="Arial"/>
          <w:i w:val="0"/>
          <w:iCs w:val="0"/>
          <w:color w:val="000000" w:themeColor="text1"/>
          <w:sz w:val="24"/>
          <w:szCs w:val="24"/>
        </w:rPr>
        <w:fldChar w:fldCharType="separate"/>
      </w:r>
      <w:r>
        <w:rPr>
          <w:rFonts w:ascii="Arial" w:hAnsi="Arial" w:cs="Arial"/>
          <w:i w:val="0"/>
          <w:iCs w:val="0"/>
          <w:color w:val="000000"/>
          <w:sz w:val="24"/>
          <w:lang w:val="en-GB"/>
        </w:rPr>
        <w:t>(2)</w:t>
      </w:r>
      <w:r w:rsidRPr="00FE7FD3">
        <w:rPr>
          <w:rFonts w:ascii="Arial" w:hAnsi="Arial" w:cs="Arial"/>
          <w:i w:val="0"/>
          <w:iCs w:val="0"/>
          <w:color w:val="000000" w:themeColor="text1"/>
          <w:sz w:val="24"/>
          <w:szCs w:val="24"/>
        </w:rPr>
        <w:fldChar w:fldCharType="end"/>
      </w:r>
      <w:r w:rsidRPr="00FE7FD3">
        <w:rPr>
          <w:rFonts w:ascii="Arial" w:hAnsi="Arial" w:cs="Arial"/>
          <w:i w:val="0"/>
          <w:iCs w:val="0"/>
          <w:color w:val="000000" w:themeColor="text1"/>
          <w:sz w:val="24"/>
          <w:szCs w:val="24"/>
        </w:rPr>
        <w:t xml:space="preserve"> and Solomon et al.</w:t>
      </w:r>
      <w:r w:rsidRPr="00FE7FD3">
        <w:rPr>
          <w:rFonts w:ascii="Arial" w:hAnsi="Arial" w:cs="Arial"/>
          <w:i w:val="0"/>
          <w:iCs w:val="0"/>
          <w:color w:val="000000" w:themeColor="text1"/>
          <w:sz w:val="24"/>
          <w:szCs w:val="24"/>
        </w:rPr>
        <w:fldChar w:fldCharType="begin"/>
      </w:r>
      <w:r>
        <w:rPr>
          <w:rFonts w:ascii="Arial" w:hAnsi="Arial" w:cs="Arial"/>
          <w:i w:val="0"/>
          <w:iCs w:val="0"/>
          <w:color w:val="000000" w:themeColor="text1"/>
          <w:sz w:val="24"/>
          <w:szCs w:val="24"/>
        </w:rPr>
        <w:instrText xml:space="preserve"> ADDIN ZOTERO_ITEM CSL_CITATION {"citationID":"a1f6hnhapu2","properties":{"formattedCitation":"(3)","plainCitation":"(3)","noteIndex":0},"citationItems":[{"id":1107,"uris":["http://zotero.org/users/local/qnIpXHeo/items/K74LYJ5V"],"itemData":{"id":1107,"type":"article-journal","container-title":"Cochrane Database of Systematic Reviews","DOI":"10.1002/14651858.CD005139.pub3","ISSN":"1465-1858","issue":"8","language":"en","note":"publisher: John Wiley &amp; Sons, Ltd","source":"www.cochranelibrary.com","title":"Anti</w:instrText>
      </w:r>
      <w:r>
        <w:rPr>
          <w:rFonts w:ascii="Cambria Math" w:hAnsi="Cambria Math" w:cs="Cambria Math"/>
          <w:i w:val="0"/>
          <w:iCs w:val="0"/>
          <w:color w:val="000000" w:themeColor="text1"/>
          <w:sz w:val="24"/>
          <w:szCs w:val="24"/>
        </w:rPr>
        <w:instrText>‐</w:instrText>
      </w:r>
      <w:r>
        <w:rPr>
          <w:rFonts w:ascii="Arial" w:hAnsi="Arial" w:cs="Arial"/>
          <w:i w:val="0"/>
          <w:iCs w:val="0"/>
          <w:color w:val="000000" w:themeColor="text1"/>
          <w:sz w:val="24"/>
          <w:szCs w:val="24"/>
        </w:rPr>
        <w:instrText>vascular endothelial growth factor for neovascular age</w:instrText>
      </w:r>
      <w:r>
        <w:rPr>
          <w:rFonts w:ascii="Cambria Math" w:hAnsi="Cambria Math" w:cs="Cambria Math"/>
          <w:i w:val="0"/>
          <w:iCs w:val="0"/>
          <w:color w:val="000000" w:themeColor="text1"/>
          <w:sz w:val="24"/>
          <w:szCs w:val="24"/>
        </w:rPr>
        <w:instrText>‐</w:instrText>
      </w:r>
      <w:r>
        <w:rPr>
          <w:rFonts w:ascii="Arial" w:hAnsi="Arial" w:cs="Arial"/>
          <w:i w:val="0"/>
          <w:iCs w:val="0"/>
          <w:color w:val="000000" w:themeColor="text1"/>
          <w:sz w:val="24"/>
          <w:szCs w:val="24"/>
        </w:rPr>
        <w:instrText xml:space="preserve">related macular degeneration","URL":"https://www.cochranelibrary.com/cdsr/doi/10.1002/14651858.CD005139.pub3/full","author":[{"family":"Solomon","given":"Sharon D."},{"family":"Lindsley","given":"Kristina"},{"family":"Vedula","given":"Satyanarayana S."},{"family":"Krzystolik","given":"Magdalena G."},{"family":"Hawkins","given":"Barbara S."}],"accessed":{"date-parts":[["2024",4,3]]},"issued":{"date-parts":[["2014"]]}}}],"schema":"https://github.com/citation-style-language/schema/raw/master/csl-citation.json"} </w:instrText>
      </w:r>
      <w:r w:rsidRPr="00FE7FD3">
        <w:rPr>
          <w:rFonts w:ascii="Arial" w:hAnsi="Arial" w:cs="Arial"/>
          <w:i w:val="0"/>
          <w:iCs w:val="0"/>
          <w:color w:val="000000" w:themeColor="text1"/>
          <w:sz w:val="24"/>
          <w:szCs w:val="24"/>
        </w:rPr>
        <w:fldChar w:fldCharType="separate"/>
      </w:r>
      <w:r>
        <w:rPr>
          <w:rFonts w:ascii="Arial" w:hAnsi="Arial" w:cs="Arial"/>
          <w:i w:val="0"/>
          <w:iCs w:val="0"/>
          <w:color w:val="000000"/>
          <w:sz w:val="24"/>
          <w:lang w:val="en-GB"/>
        </w:rPr>
        <w:t>(3)</w:t>
      </w:r>
      <w:r w:rsidRPr="00FE7FD3">
        <w:rPr>
          <w:rFonts w:ascii="Arial" w:hAnsi="Arial" w:cs="Arial"/>
          <w:i w:val="0"/>
          <w:iCs w:val="0"/>
          <w:color w:val="000000" w:themeColor="text1"/>
          <w:sz w:val="24"/>
          <w:szCs w:val="24"/>
        </w:rPr>
        <w:fldChar w:fldCharType="end"/>
      </w:r>
      <w:r w:rsidRPr="00FE7FD3">
        <w:rPr>
          <w:rFonts w:ascii="Arial" w:hAnsi="Arial" w:cs="Arial"/>
          <w:i w:val="0"/>
          <w:iCs w:val="0"/>
          <w:color w:val="000000" w:themeColor="text1"/>
          <w:sz w:val="24"/>
          <w:szCs w:val="24"/>
        </w:rPr>
        <w:t xml:space="preserve"> for aflibercept, and retrieved from the Archway phase 3 trial</w:t>
      </w:r>
      <w:r w:rsidRPr="00FE7FD3">
        <w:rPr>
          <w:rFonts w:ascii="Arial" w:hAnsi="Arial" w:cs="Arial"/>
          <w:i w:val="0"/>
          <w:iCs w:val="0"/>
          <w:color w:val="000000" w:themeColor="text1"/>
          <w:sz w:val="24"/>
          <w:szCs w:val="24"/>
        </w:rPr>
        <w:fldChar w:fldCharType="begin"/>
      </w:r>
      <w:r>
        <w:rPr>
          <w:rFonts w:ascii="Arial" w:hAnsi="Arial" w:cs="Arial"/>
          <w:i w:val="0"/>
          <w:iCs w:val="0"/>
          <w:color w:val="000000" w:themeColor="text1"/>
          <w:sz w:val="24"/>
          <w:szCs w:val="24"/>
        </w:rPr>
        <w:instrText xml:space="preserve"> ADDIN ZOTERO_ITEM CSL_CITATION {"citationID":"apj1407p51","properties":{"formattedCitation":"(4)","plainCitation":"(4)","noteIndex":0},"citationItems":[{"id":26,"uris":["http://zotero.org/users/local/qnIpXHeo/items/SP5B4LER"],"itemData":{"id":26,"type":"article-journal","abstract":"PURPOSE: To report 2-year results from the Archway clinical trial of the Port Delivery System with ranibizumab (PDS) for treatment of neovascular age-related macular degeneration (nAMD).\nDESIGN: Phase 3, randomized, multicenter, open-label, active-comparator-controlled trial.\nPARTICIPANTS: Patients with previously treated nAMD diagnosed within 9 months of screening and responsive to anti-vascular endothelial growth factor therapy.\nMETHODS: Patients were randomized 3:2 to PDS with ranibizumab 100 mg/ml with fixed refill-exchanges every 24 weeks (PDS Q24W) or intravitreal ranibizumab 0.5 mg injections every 4 weeks (monthly ranibizumab). Patients were followed through 4 complete refill-exchange intervals (</w:instrText>
      </w:r>
      <w:r>
        <w:rPr>
          <w:rFonts w:ascii="Cambria Math" w:hAnsi="Cambria Math" w:cs="Cambria Math"/>
          <w:i w:val="0"/>
          <w:iCs w:val="0"/>
          <w:color w:val="000000" w:themeColor="text1"/>
          <w:sz w:val="24"/>
          <w:szCs w:val="24"/>
        </w:rPr>
        <w:instrText>∼</w:instrText>
      </w:r>
      <w:r>
        <w:rPr>
          <w:rFonts w:ascii="Arial" w:hAnsi="Arial" w:cs="Arial"/>
          <w:i w:val="0"/>
          <w:iCs w:val="0"/>
          <w:color w:val="000000" w:themeColor="text1"/>
          <w:sz w:val="24"/>
          <w:szCs w:val="24"/>
        </w:rPr>
        <w:instrText xml:space="preserve">2 years).\nMAIN OUTCOME MEASURES: Change in best-corrected visual acuity (BCVA) Early Treatment Diabetic Retinopathy Study (ETDRS) letter score from baseline averaged over weeks 44 and 48, weeks 60 and 64, and weeks 88 and 92 (noninferiority margin, -3.9 ETDRS letters).\nRESULTS: The PDS Q24W was noninferior to monthly ranibizumab, with differences in adjusted mean change in BCVA score from baseline averaged over weeks 44/48, 60/64 and 88/92 of -0.2 (95% confidence interval [CI], -1.8 to +1.3), +0.4 (95% CI, -1.4 to +2.1) and -0.6 ETDRS letters (95% CI, -2.5 to +1.3), respectively. Anatomic outcomes were generally comparable between arms through week 96. Through each of 4 PDS refill-exchange intervals, 98.4%, 94.6%, 94.8%, and 94.7% of PDS Q24W patients assessed did not receive supplemental ranibizumab treatment. The PDS ocular safety profile was generally unchanged from primary analysis. Prespecified ocular adverse events of special interest (AESI) were reported in 59 (23.8%) PDS and 17 (10.2%) monthly ranibizumab patients. The most common AESI reported in both arms was cataract (PDS Q24W, 22 [8.9%]; monthly ranibizumab, 10 [6.0%]). Events in the PDS Q24W arm included (patient incidence) 10 (4.0%) conjunctival erosions, 6 (2.4%) conjunctival retractions, 4 (1.6%) endophthalmitis cases, and 4 (1.6%) implant dislocations. Serum ranibizumab sampling showed that the PDS continuously released ranibizumab over the 24-week refill-exchange interval and ranibizumab serum concentrations were within the range experienced with monthly ranibizumab.\nCONCLUSIONS: The PDS Q24W showed noninferior efficacy to monthly ranibizumab through approximately 2 years, with approximately 95% of PDS Q24W patients not receiving supplemental ranibizumab treatment in each refill-exchange interval. The AESIs were generally manageable, with learnings continually implemented to minimize PDS-related AEs.\nFINANCIAL DISCLOSURE(S): Proprietary or commercial disclosure may be found after the references.","container-title":"Ophthalmology","DOI":"10.1016/j.ophtha.2023.02.024","ISSN":"1549-4713","issue":"7","journalAbbreviation":"Ophthalmology","language":"eng","note":"PMID: 36870451","page":"735-747","source":"PubMed","title":"Archway Phase 3 Trial of the Port Delivery System with Ranibizumab for Neovascular Age-Related Macular Degeneration 2-Year Results","volume":"130","author":[{"family":"Regillo","given":"Carl"},{"family":"Berger","given":"Brian"},{"family":"Brooks","given":"Logan"},{"family":"Clark","given":"W. Lloyd"},{"family":"Mittra","given":"Robert"},{"family":"Wykoff","given":"Charles C."},{"family":"Callaway","given":"Natalia F."},{"family":"DeGraaf","given":"Stephanie"},{"family":"Ding","given":"Han Ting"},{"family":"Fung","given":"Anne E."},{"family":"Gune","given":"Shamika"},{"family":"Le Pogam","given":"Sophie"},{"family":"Smith","given":"Robert"},{"family":"Willis","given":"Jeffrey R."},{"family":"Barteselli","given":"Giulio"}],"issued":{"date-parts":[["2023",7]]}}}],"schema":"https://github.com/citation-style-language/schema/raw/master/csl-citation.json"} </w:instrText>
      </w:r>
      <w:r w:rsidRPr="00FE7FD3">
        <w:rPr>
          <w:rFonts w:ascii="Arial" w:hAnsi="Arial" w:cs="Arial"/>
          <w:i w:val="0"/>
          <w:iCs w:val="0"/>
          <w:color w:val="000000" w:themeColor="text1"/>
          <w:sz w:val="24"/>
          <w:szCs w:val="24"/>
        </w:rPr>
        <w:fldChar w:fldCharType="separate"/>
      </w:r>
      <w:r>
        <w:rPr>
          <w:rFonts w:ascii="Arial" w:hAnsi="Arial" w:cs="Arial"/>
          <w:i w:val="0"/>
          <w:iCs w:val="0"/>
          <w:color w:val="000000"/>
          <w:sz w:val="24"/>
          <w:lang w:val="en-GB"/>
        </w:rPr>
        <w:t>(4)</w:t>
      </w:r>
      <w:r w:rsidRPr="00FE7FD3">
        <w:rPr>
          <w:rFonts w:ascii="Arial" w:hAnsi="Arial" w:cs="Arial"/>
          <w:i w:val="0"/>
          <w:iCs w:val="0"/>
          <w:color w:val="000000" w:themeColor="text1"/>
          <w:sz w:val="24"/>
          <w:szCs w:val="24"/>
        </w:rPr>
        <w:fldChar w:fldCharType="end"/>
      </w:r>
      <w:r w:rsidRPr="00FE7FD3">
        <w:rPr>
          <w:rFonts w:ascii="Arial" w:hAnsi="Arial" w:cs="Arial"/>
          <w:i w:val="0"/>
          <w:iCs w:val="0"/>
          <w:color w:val="000000" w:themeColor="text1"/>
          <w:sz w:val="24"/>
          <w:szCs w:val="24"/>
        </w:rPr>
        <w:t xml:space="preserve"> for the PDP. </w:t>
      </w:r>
    </w:p>
    <w:p w14:paraId="6B88471A" w14:textId="77777777" w:rsidR="0024324B" w:rsidRPr="00FE7FD3" w:rsidRDefault="0024324B" w:rsidP="0024324B">
      <w:pPr>
        <w:pStyle w:val="Caption"/>
        <w:keepNext/>
        <w:jc w:val="both"/>
        <w:rPr>
          <w:rFonts w:ascii="Arial" w:hAnsi="Arial" w:cs="Arial"/>
          <w:i w:val="0"/>
          <w:iCs w:val="0"/>
          <w:color w:val="000000" w:themeColor="text1"/>
          <w:sz w:val="24"/>
          <w:szCs w:val="24"/>
        </w:rPr>
      </w:pPr>
      <w:r w:rsidRPr="00FE7FD3">
        <w:rPr>
          <w:rFonts w:ascii="Arial" w:hAnsi="Arial" w:cs="Arial"/>
          <w:i w:val="0"/>
          <w:iCs w:val="0"/>
          <w:color w:val="000000" w:themeColor="text1"/>
          <w:sz w:val="24"/>
          <w:szCs w:val="24"/>
        </w:rPr>
        <w:t>eTable3. Adverse events probabilities and probabilistic analysis distributions.</w:t>
      </w:r>
    </w:p>
    <w:p w14:paraId="661CAB53" w14:textId="77777777" w:rsidR="0024324B" w:rsidRPr="00FE7FD3" w:rsidRDefault="0024324B" w:rsidP="0024324B">
      <w:pPr>
        <w:pStyle w:val="Caption"/>
        <w:keepNext/>
        <w:jc w:val="both"/>
        <w:rPr>
          <w:rFonts w:ascii="Arial" w:hAnsi="Arial" w:cs="Arial"/>
          <w:i w:val="0"/>
          <w:iCs w:val="0"/>
          <w:color w:val="000000" w:themeColor="text1"/>
          <w:sz w:val="24"/>
          <w:szCs w:val="24"/>
        </w:rPr>
      </w:pPr>
      <w:r w:rsidRPr="00FE7FD3">
        <w:rPr>
          <w:rFonts w:ascii="Arial" w:hAnsi="Arial" w:cs="Arial"/>
          <w:i w:val="0"/>
          <w:iCs w:val="0"/>
          <w:color w:val="000000" w:themeColor="text1"/>
          <w:sz w:val="24"/>
          <w:szCs w:val="24"/>
        </w:rPr>
        <w:t>eTable4. Age-dependent health-related quality of life (</w:t>
      </w:r>
      <w:proofErr w:type="spellStart"/>
      <w:r w:rsidRPr="00FE7FD3">
        <w:rPr>
          <w:rFonts w:ascii="Arial" w:hAnsi="Arial" w:cs="Arial"/>
          <w:i w:val="0"/>
          <w:iCs w:val="0"/>
          <w:color w:val="000000" w:themeColor="text1"/>
          <w:sz w:val="24"/>
          <w:szCs w:val="24"/>
        </w:rPr>
        <w:t>HRQoL</w:t>
      </w:r>
      <w:proofErr w:type="spellEnd"/>
      <w:r w:rsidRPr="00FE7FD3">
        <w:rPr>
          <w:rFonts w:ascii="Arial" w:hAnsi="Arial" w:cs="Arial"/>
          <w:i w:val="0"/>
          <w:iCs w:val="0"/>
          <w:color w:val="000000" w:themeColor="text1"/>
          <w:sz w:val="24"/>
          <w:szCs w:val="24"/>
        </w:rPr>
        <w:t>) values per health state, retrieved by the time trade-off method and based on Brown.</w:t>
      </w:r>
      <w:r w:rsidRPr="00FE7FD3">
        <w:rPr>
          <w:rFonts w:ascii="Arial" w:hAnsi="Arial" w:cs="Arial"/>
          <w:i w:val="0"/>
          <w:iCs w:val="0"/>
          <w:color w:val="000000" w:themeColor="text1"/>
          <w:sz w:val="24"/>
          <w:szCs w:val="24"/>
        </w:rPr>
        <w:fldChar w:fldCharType="begin"/>
      </w:r>
      <w:r>
        <w:rPr>
          <w:rFonts w:ascii="Arial" w:hAnsi="Arial" w:cs="Arial"/>
          <w:i w:val="0"/>
          <w:iCs w:val="0"/>
          <w:color w:val="000000" w:themeColor="text1"/>
          <w:sz w:val="24"/>
          <w:szCs w:val="24"/>
        </w:rPr>
        <w:instrText xml:space="preserve"> ADDIN ZOTERO_ITEM CSL_CITATION {"citationID":"as1r3q83hk","properties":{"formattedCitation":"(5,6)","plainCitation":"(5,6)","noteIndex":0},"citationItems":[{"id":405,"uris":["http://zotero.org/users/local/qnIpXHeo/items/9GDG2LNP"],"itemData":{"id":405,"type":"article-journal","abstract":"Objective: To determine the relationship of visual acuity loss to quality of life. Design: Three hundred twenty-five patients with visual loss to a minimum of 20/40 or greater in at least 1 eye were interviewed in a standardized fashion using a modified VF-14, questionnaire. Utility values were also obtained using both the time trade-off and standard gamble methods of utility assessment. Main Outcome Measures: Best-corrected visual acuity was correlated with the visual function score on the modified VF-14 questionnaire, as well as with utility values obtained using both the time trade-off and standard gamble methods. Results: Decreasing levels of vision in the eye with better acuity correlated directly with decreasing visual function scores on the modified VF-14 questionnaire, as did decreasing utility values using the time trade-off method of utility evaluation. The standard gamble method of utility evaluation was not as directly correlated with vision as the time trade-off method. Age, level of education, gender race, length of time of visual loss, and the number of associated systemic comorbidities did not significantly affect the time trade-off utility values associated with visual loss in the better eye. The level of reduced vision in the better eye, rather than the specific disease process causing reduced vision, was related to mean utility values. The average person with 20/40 vision in the better seeing eye was willing to trade 2 of every 10 years of life in return for perfect vision (utility value of 0.8), while the average person with counting fingers vision in the better eye was willing to trade approximately 5 of every 10 remaining years of life (utility value of 0.52) in return for perfect vision. Conclusions: The time trade-off method of utility evaluation appears to be an effective method for assessing quality of life associated with visual loss. Time trade-off utility values decrease in direct conjunction with decreasing vision in the better-seeing eye. Unlike the modified VF-14 test and its counterparts, utility values allow the quality of life associated with visual loss to be more readily compared to the quality of life associated with other health (disease) states. This information can be employed for cost-effective analyses that objectively compare evidence-based medicine, patient-based preferences and sound econometric principles across all specialties in health care.","archive":"Scopus","container-title":"Transactions of the American Ophthalmological Society","ISSN":"0065-9533","language":"English","page":"473-511","source":"Scopus","title":"Vision and quality-of-life","volume":"97","author":[{"family":"Brown","given":"G.C."}],"issued":{"date-parts":[["1999"]]}}},{"id":493,"uris":["http://zotero.org/users/local/qnIpXHeo/items/8FPP26UU"],"itemData":{"id":493,"type":"article-journal","abstract":"To ascertain the utility values associated with age-related macular degeneration and varying degrees of visual loss.A cross-sectional study.Eighty white patients with unilateral or bilateral age-related macular degeneration in 1 or both eyes, and visual loss to a minimum of the 20/40 level in at least 1 eye.Utility values were measured in 5 groups according to the visual acuity in the better-seeing eye, 1 (20/20 to 20/25), 2 (20/30 to 20/50), 3 (20/60 to 20/100), 4 (20/200 to 20/400), and 5 (counting fingers to light perception), using the time trade-off and the standard gamble methods. Conventionally assigned anchor utility values were 1.0 for perfect health and 0.0 for death.The mean utility value for the total group with age-related macular degeneration was 0.72 (95% confidence interval [CI], 0.66-0.78) using the time trade-off method and 0.81 (95% CI, 0.76-0.86) using the standard gamble method. Using the time trade-off method correlated with the visual acuity in the better-seeing eye, the results were as follow: group 1, 0.89 (95% CI, 0.82-0.96), group 2, 0.81 (95% CI, 0.73-0.89), group 3, 0.57 (95% CI, 0.47-0.67), group 4, 0.52 (95% CI, 0.38-0.66), and group 5, 0.40 (95% CI, 0.29-0.50). Thus, those patients in group 1 were willing to trade 11% of their remaining lifetime in return for perfect vision in each eye, whereas those in group 5 were willing to trade 60% of their remaining lifetime in return for perfect vision in each eye.Age-related macular degeneration causes a substantial decrease in patient utility values and is highly dependent on the degree of visual loss in the better-seeing eye.Arch Ophthalmol. 2000;118:47-51--&gt;","container-title":"Archives of Ophthalmology","DOI":"10.1001/archopht.118.1.47","ISSN":"0003-9950","issue":"1","journalAbbreviation":"Archives of Ophthalmology","page":"47-51","source":"Silverchair","title":"Utility Values and Age-related Macular Degeneration","volume":"118","author":[{"family":"Brown","given":"Gary C."},{"family":"Sharma","given":"Sanjay"},{"family":"Brown","given":"Melissa M."},{"family":"Kistler","given":"Jonathan"}],"issued":{"date-parts":[["2000",1,1]]}}}],"schema":"https://github.com/citation-style-language/schema/raw/master/csl-citation.json"} </w:instrText>
      </w:r>
      <w:r w:rsidRPr="00FE7FD3">
        <w:rPr>
          <w:rFonts w:ascii="Arial" w:hAnsi="Arial" w:cs="Arial"/>
          <w:i w:val="0"/>
          <w:iCs w:val="0"/>
          <w:color w:val="000000" w:themeColor="text1"/>
          <w:sz w:val="24"/>
          <w:szCs w:val="24"/>
        </w:rPr>
        <w:fldChar w:fldCharType="separate"/>
      </w:r>
      <w:r>
        <w:rPr>
          <w:rFonts w:ascii="Arial" w:hAnsi="Arial" w:cs="Arial"/>
          <w:i w:val="0"/>
          <w:iCs w:val="0"/>
          <w:color w:val="000000"/>
          <w:sz w:val="24"/>
          <w:lang w:val="en-GB"/>
        </w:rPr>
        <w:t>(5,6)</w:t>
      </w:r>
      <w:r w:rsidRPr="00FE7FD3">
        <w:rPr>
          <w:rFonts w:ascii="Arial" w:hAnsi="Arial" w:cs="Arial"/>
          <w:i w:val="0"/>
          <w:iCs w:val="0"/>
          <w:color w:val="000000" w:themeColor="text1"/>
          <w:sz w:val="24"/>
          <w:szCs w:val="24"/>
        </w:rPr>
        <w:fldChar w:fldCharType="end"/>
      </w:r>
      <w:r w:rsidRPr="00FE7FD3">
        <w:rPr>
          <w:rFonts w:ascii="Arial" w:hAnsi="Arial" w:cs="Arial"/>
          <w:i w:val="0"/>
          <w:iCs w:val="0"/>
          <w:color w:val="000000" w:themeColor="text1"/>
          <w:sz w:val="24"/>
          <w:szCs w:val="24"/>
          <w:vertAlign w:val="superscript"/>
        </w:rPr>
        <w:t>,a</w:t>
      </w:r>
    </w:p>
    <w:p w14:paraId="74E58B28" w14:textId="77777777" w:rsidR="0024324B" w:rsidRPr="00FE7FD3" w:rsidRDefault="0024324B" w:rsidP="0024324B">
      <w:pPr>
        <w:pStyle w:val="Caption"/>
        <w:keepNext/>
        <w:jc w:val="both"/>
        <w:rPr>
          <w:rFonts w:ascii="Arial" w:hAnsi="Arial" w:cs="Arial"/>
          <w:i w:val="0"/>
          <w:iCs w:val="0"/>
          <w:color w:val="000000" w:themeColor="text1"/>
          <w:sz w:val="24"/>
          <w:szCs w:val="24"/>
        </w:rPr>
      </w:pPr>
      <w:r w:rsidRPr="00FE7FD3">
        <w:rPr>
          <w:rFonts w:ascii="Arial" w:hAnsi="Arial" w:cs="Arial"/>
          <w:i w:val="0"/>
          <w:iCs w:val="0"/>
          <w:color w:val="000000" w:themeColor="text1"/>
          <w:sz w:val="24"/>
          <w:szCs w:val="24"/>
        </w:rPr>
        <w:t>eTable5. Adverse event health-related quality of life (</w:t>
      </w:r>
      <w:proofErr w:type="spellStart"/>
      <w:r w:rsidRPr="00FE7FD3">
        <w:rPr>
          <w:rFonts w:ascii="Arial" w:hAnsi="Arial" w:cs="Arial"/>
          <w:i w:val="0"/>
          <w:iCs w:val="0"/>
          <w:color w:val="000000" w:themeColor="text1"/>
          <w:sz w:val="24"/>
          <w:szCs w:val="24"/>
        </w:rPr>
        <w:t>HRQoL</w:t>
      </w:r>
      <w:proofErr w:type="spellEnd"/>
      <w:r w:rsidRPr="00FE7FD3">
        <w:rPr>
          <w:rFonts w:ascii="Arial" w:hAnsi="Arial" w:cs="Arial"/>
          <w:i w:val="0"/>
          <w:iCs w:val="0"/>
          <w:color w:val="000000" w:themeColor="text1"/>
          <w:sz w:val="24"/>
          <w:szCs w:val="24"/>
        </w:rPr>
        <w:t xml:space="preserve">) decrement values, durations and corresponding QALY loss per </w:t>
      </w:r>
      <w:r w:rsidRPr="00FE7FD3">
        <w:rPr>
          <w:rFonts w:ascii="Arial" w:hAnsi="Arial" w:cs="Arial"/>
          <w:i w:val="0"/>
          <w:iCs w:val="0"/>
          <w:noProof/>
          <w:color w:val="000000" w:themeColor="text1"/>
          <w:sz w:val="24"/>
          <w:szCs w:val="24"/>
        </w:rPr>
        <w:t>event.</w:t>
      </w:r>
    </w:p>
    <w:p w14:paraId="25186EFA" w14:textId="77777777" w:rsidR="0024324B" w:rsidRPr="00FE7FD3" w:rsidRDefault="0024324B" w:rsidP="0024324B">
      <w:pPr>
        <w:pStyle w:val="Caption"/>
        <w:keepNext/>
        <w:jc w:val="both"/>
        <w:rPr>
          <w:rFonts w:ascii="Arial" w:hAnsi="Arial" w:cs="Arial"/>
          <w:i w:val="0"/>
          <w:iCs w:val="0"/>
          <w:color w:val="000000" w:themeColor="text1"/>
          <w:sz w:val="24"/>
          <w:szCs w:val="24"/>
        </w:rPr>
      </w:pPr>
      <w:r w:rsidRPr="00FE7FD3">
        <w:rPr>
          <w:rFonts w:ascii="Arial" w:hAnsi="Arial" w:cs="Arial"/>
          <w:i w:val="0"/>
          <w:iCs w:val="0"/>
          <w:color w:val="000000" w:themeColor="text1"/>
          <w:sz w:val="24"/>
          <w:szCs w:val="24"/>
        </w:rPr>
        <w:t>eTable6. Health-related quality of life (</w:t>
      </w:r>
      <w:proofErr w:type="spellStart"/>
      <w:r w:rsidRPr="00FE7FD3">
        <w:rPr>
          <w:rFonts w:ascii="Arial" w:hAnsi="Arial" w:cs="Arial"/>
          <w:i w:val="0"/>
          <w:iCs w:val="0"/>
          <w:color w:val="000000" w:themeColor="text1"/>
          <w:sz w:val="24"/>
          <w:szCs w:val="24"/>
        </w:rPr>
        <w:t>HRQoL</w:t>
      </w:r>
      <w:proofErr w:type="spellEnd"/>
      <w:r w:rsidRPr="00FE7FD3">
        <w:rPr>
          <w:rFonts w:ascii="Arial" w:hAnsi="Arial" w:cs="Arial"/>
          <w:i w:val="0"/>
          <w:iCs w:val="0"/>
          <w:color w:val="000000" w:themeColor="text1"/>
          <w:sz w:val="24"/>
          <w:szCs w:val="24"/>
        </w:rPr>
        <w:t xml:space="preserve">) decrement values with probabilistic analysis distributions. </w:t>
      </w:r>
    </w:p>
    <w:p w14:paraId="35662072" w14:textId="77777777" w:rsidR="0024324B" w:rsidRDefault="0024324B" w:rsidP="0024324B">
      <w:pPr>
        <w:rPr>
          <w:rFonts w:ascii="Arial" w:hAnsi="Arial" w:cs="Arial"/>
          <w:color w:val="000000" w:themeColor="text1"/>
        </w:rPr>
      </w:pPr>
      <w:r w:rsidRPr="00FE7FD3">
        <w:rPr>
          <w:rFonts w:ascii="Arial" w:hAnsi="Arial" w:cs="Arial"/>
          <w:color w:val="000000" w:themeColor="text1"/>
          <w:lang w:val="en-US"/>
        </w:rPr>
        <w:t>eTable7. Frequency of aflibercept treatment (number of injections per year).</w:t>
      </w:r>
      <w:r w:rsidRPr="00FE7FD3">
        <w:rPr>
          <w:rFonts w:ascii="Arial" w:hAnsi="Arial" w:cs="Arial"/>
          <w:color w:val="000000" w:themeColor="text1"/>
        </w:rPr>
        <w:t xml:space="preserve"> RWD = real-world data. T&amp;E = treat-and-extend.</w:t>
      </w:r>
    </w:p>
    <w:p w14:paraId="29F79506" w14:textId="77777777" w:rsidR="0024324B" w:rsidRPr="00FE7FD3" w:rsidRDefault="0024324B" w:rsidP="0024324B">
      <w:pPr>
        <w:rPr>
          <w:rFonts w:ascii="Arial" w:hAnsi="Arial" w:cs="Arial"/>
          <w:color w:val="000000" w:themeColor="text1"/>
        </w:rPr>
      </w:pPr>
    </w:p>
    <w:p w14:paraId="1A1CD854" w14:textId="77777777" w:rsidR="0024324B" w:rsidRPr="008747D4" w:rsidRDefault="0024324B" w:rsidP="0024324B">
      <w:pPr>
        <w:pStyle w:val="Caption"/>
        <w:keepNext/>
        <w:jc w:val="both"/>
        <w:rPr>
          <w:rFonts w:ascii="Arial" w:hAnsi="Arial" w:cs="Arial"/>
          <w:i w:val="0"/>
          <w:iCs w:val="0"/>
          <w:color w:val="000000" w:themeColor="text1"/>
          <w:sz w:val="24"/>
          <w:szCs w:val="24"/>
        </w:rPr>
      </w:pPr>
      <w:r w:rsidRPr="00FE7FD3">
        <w:rPr>
          <w:rFonts w:ascii="Arial" w:hAnsi="Arial" w:cs="Arial"/>
          <w:i w:val="0"/>
          <w:iCs w:val="0"/>
          <w:color w:val="000000" w:themeColor="text1"/>
          <w:sz w:val="24"/>
          <w:szCs w:val="24"/>
        </w:rPr>
        <w:t xml:space="preserve">eTable8. Input values for treatment-related and health state-related costs including probabilistic analysis distributions. </w:t>
      </w:r>
    </w:p>
    <w:p w14:paraId="5FA3DD7D" w14:textId="77777777" w:rsidR="0024324B" w:rsidRPr="00FE7FD3" w:rsidRDefault="0024324B" w:rsidP="0024324B">
      <w:pPr>
        <w:pStyle w:val="Caption"/>
        <w:keepNext/>
        <w:jc w:val="both"/>
        <w:rPr>
          <w:rFonts w:ascii="Arial" w:hAnsi="Arial" w:cs="Arial"/>
          <w:i w:val="0"/>
          <w:iCs w:val="0"/>
          <w:color w:val="000000" w:themeColor="text1"/>
          <w:sz w:val="24"/>
          <w:szCs w:val="24"/>
        </w:rPr>
      </w:pPr>
      <w:r w:rsidRPr="00FE7FD3">
        <w:rPr>
          <w:rFonts w:ascii="Arial" w:hAnsi="Arial" w:cs="Arial"/>
          <w:i w:val="0"/>
          <w:iCs w:val="0"/>
          <w:color w:val="000000" w:themeColor="text1"/>
          <w:sz w:val="24"/>
          <w:szCs w:val="24"/>
        </w:rPr>
        <w:t xml:space="preserve">eTable9. Input values for transport or lost leisure time-related costs including probabilistic analysis distributions. </w:t>
      </w:r>
    </w:p>
    <w:p w14:paraId="2C74EF7C" w14:textId="74A67454" w:rsidR="00E61562" w:rsidRDefault="0024324B" w:rsidP="0024324B">
      <w:pPr>
        <w:pStyle w:val="Caption"/>
        <w:keepNext/>
        <w:jc w:val="both"/>
        <w:rPr>
          <w:rFonts w:ascii="Arial" w:hAnsi="Arial" w:cs="Arial"/>
          <w:i w:val="0"/>
          <w:iCs w:val="0"/>
          <w:color w:val="000000" w:themeColor="text1"/>
          <w:sz w:val="24"/>
          <w:szCs w:val="24"/>
        </w:rPr>
      </w:pPr>
      <w:r w:rsidRPr="00FE7FD3">
        <w:rPr>
          <w:rFonts w:ascii="Arial" w:hAnsi="Arial" w:cs="Arial"/>
          <w:i w:val="0"/>
          <w:iCs w:val="0"/>
          <w:color w:val="000000" w:themeColor="text1"/>
          <w:sz w:val="24"/>
          <w:szCs w:val="24"/>
        </w:rPr>
        <w:t xml:space="preserve">eTable10. Input values for adverse event-related costs including probabilistic analysis distributions. </w:t>
      </w:r>
    </w:p>
    <w:p w14:paraId="30C9A30B" w14:textId="77777777" w:rsidR="00E61562" w:rsidRDefault="00E61562">
      <w:pPr>
        <w:rPr>
          <w:rFonts w:ascii="Arial" w:hAnsi="Arial" w:cs="Arial"/>
          <w:color w:val="000000" w:themeColor="text1"/>
          <w:lang w:val="en-US"/>
        </w:rPr>
      </w:pPr>
      <w:r>
        <w:rPr>
          <w:rFonts w:ascii="Arial" w:hAnsi="Arial" w:cs="Arial"/>
          <w:i/>
          <w:iCs/>
          <w:color w:val="000000" w:themeColor="text1"/>
        </w:rPr>
        <w:br w:type="page"/>
      </w:r>
    </w:p>
    <w:p w14:paraId="1376F0B2" w14:textId="073672CE" w:rsidR="00E61562" w:rsidRPr="005169D5" w:rsidRDefault="00E61562" w:rsidP="00E61562">
      <w:pPr>
        <w:pStyle w:val="Caption"/>
        <w:keepNext/>
        <w:jc w:val="both"/>
        <w:rPr>
          <w:rFonts w:ascii="Arial" w:hAnsi="Arial" w:cs="Arial"/>
          <w:b/>
          <w:bCs/>
          <w:i w:val="0"/>
          <w:iCs w:val="0"/>
          <w:color w:val="000000" w:themeColor="text1"/>
          <w:sz w:val="24"/>
          <w:szCs w:val="24"/>
          <w:vertAlign w:val="superscript"/>
        </w:rPr>
      </w:pPr>
      <w:bookmarkStart w:id="0" w:name="_Toc168139196"/>
      <w:r w:rsidRPr="005169D5">
        <w:rPr>
          <w:rFonts w:ascii="Arial" w:hAnsi="Arial" w:cs="Arial"/>
          <w:b/>
          <w:bCs/>
          <w:i w:val="0"/>
          <w:iCs w:val="0"/>
          <w:color w:val="000000" w:themeColor="text1"/>
          <w:sz w:val="24"/>
          <w:szCs w:val="24"/>
        </w:rPr>
        <w:lastRenderedPageBreak/>
        <w:t>eTable1. Yearly transition probabilities retrieved from Ferrante et al.</w:t>
      </w:r>
      <w:r w:rsidRPr="005169D5">
        <w:rPr>
          <w:rFonts w:ascii="Arial" w:hAnsi="Arial" w:cs="Arial"/>
          <w:b/>
          <w:bCs/>
          <w:i w:val="0"/>
          <w:iCs w:val="0"/>
          <w:color w:val="000000" w:themeColor="text1"/>
          <w:sz w:val="24"/>
          <w:szCs w:val="24"/>
          <w:vertAlign w:val="superscript"/>
        </w:rPr>
        <w:fldChar w:fldCharType="begin"/>
      </w:r>
      <w:r w:rsidRPr="005169D5">
        <w:rPr>
          <w:rFonts w:ascii="Arial" w:hAnsi="Arial" w:cs="Arial"/>
          <w:b/>
          <w:bCs/>
          <w:i w:val="0"/>
          <w:iCs w:val="0"/>
          <w:color w:val="000000" w:themeColor="text1"/>
          <w:sz w:val="24"/>
          <w:szCs w:val="24"/>
          <w:vertAlign w:val="superscript"/>
        </w:rPr>
        <w:instrText xml:space="preserve"> ADDIN ZOTERO_ITEM CSL_CITATION {"citationID":"SyZegjN3","properties":{"formattedCitation":"(1)","plainCitation":"(1)","noteIndex":0},"citationItems":[{"id":97,"uris":["http://zotero.org/users/local/qnIpXHeo/items/8ETN8IEK"],"itemData":{"id":97,"type":"article-journal","abstract":"Age-related macular degeneration (AMD) is a common and chronic eye condition characterized by the presence of progressive degenerative abnormalities in the central retina (macula). Notably, neovascular, or wet, AMD (nAMD) occurs when new, abnormal blood vessels grow under the macula causing scarring of the macula itself and resulting in a loss of central vision, visual distortion, and an impaired capacity of perceiving colour contrast and intensity. Brolucizumab, a new generation anti-vascular endothelial growth factor (anti-VEGF) monoclonal antibody, was approved by the European Medicines Agency for the treatment of nAMD. The aim of this analysis is to evaluate the cost-effectiveness profile of brolucizumab, compared to the main therapeutic alternative available (aflibercept), for the treatment of nAMD.","container-title":"BMC Health Services Research","DOI":"10.1186/s12913-022-07972-w","ISSN":"1472-6963","issue":"1","journalAbbreviation":"BMC Health Services Research","page":"573","source":"BioMed Central","title":"Cost-effectiveness analysis of brolucizumab versus aflibercept for the treatment of neovascular age-related macular degeneration (nAMD) in Italy","volume":"22","author":[{"family":"Ferrante","given":"Nicola"},{"family":"Ritrovato","given":"Daniela"},{"family":"Bitonti","given":"Rossella"},{"family":"Furneri","given":"Gianluca"}],"issued":{"date-parts":[["2022",4,29]]}}}],"schema":"https://github.com/citation-style-language/schema/raw/master/csl-citation.json"} </w:instrText>
      </w:r>
      <w:r w:rsidRPr="005169D5">
        <w:rPr>
          <w:rFonts w:ascii="Arial" w:hAnsi="Arial" w:cs="Arial"/>
          <w:b/>
          <w:bCs/>
          <w:i w:val="0"/>
          <w:iCs w:val="0"/>
          <w:color w:val="000000" w:themeColor="text1"/>
          <w:sz w:val="24"/>
          <w:szCs w:val="24"/>
          <w:vertAlign w:val="superscript"/>
        </w:rPr>
        <w:fldChar w:fldCharType="separate"/>
      </w:r>
      <w:r w:rsidRPr="005169D5">
        <w:rPr>
          <w:rFonts w:ascii="Arial" w:hAnsi="Arial" w:cs="Arial"/>
          <w:b/>
          <w:bCs/>
          <w:i w:val="0"/>
          <w:iCs w:val="0"/>
          <w:color w:val="000000"/>
          <w:sz w:val="24"/>
          <w:lang w:val="en-GB"/>
        </w:rPr>
        <w:t>(1)</w:t>
      </w:r>
      <w:r w:rsidRPr="005169D5">
        <w:rPr>
          <w:rFonts w:ascii="Arial" w:hAnsi="Arial" w:cs="Arial"/>
          <w:b/>
          <w:bCs/>
          <w:i w:val="0"/>
          <w:iCs w:val="0"/>
          <w:color w:val="000000" w:themeColor="text1"/>
          <w:sz w:val="24"/>
          <w:szCs w:val="24"/>
          <w:vertAlign w:val="superscript"/>
        </w:rPr>
        <w:fldChar w:fldCharType="end"/>
      </w:r>
      <w:bookmarkEnd w:id="0"/>
      <w:r w:rsidRPr="005169D5">
        <w:rPr>
          <w:rFonts w:ascii="Arial" w:hAnsi="Arial" w:cs="Arial"/>
          <w:b/>
          <w:bCs/>
          <w:i w:val="0"/>
          <w:iCs w:val="0"/>
          <w:color w:val="000000" w:themeColor="text1"/>
          <w:sz w:val="24"/>
          <w:szCs w:val="24"/>
          <w:vertAlign w:val="superscript"/>
        </w:rPr>
        <w:t>,a</w:t>
      </w:r>
    </w:p>
    <w:tbl>
      <w:tblPr>
        <w:tblStyle w:val="TableGrid"/>
        <w:tblW w:w="98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6"/>
        <w:gridCol w:w="1736"/>
        <w:gridCol w:w="1103"/>
        <w:gridCol w:w="1103"/>
        <w:gridCol w:w="1102"/>
        <w:gridCol w:w="1103"/>
        <w:gridCol w:w="1103"/>
        <w:gridCol w:w="1232"/>
      </w:tblGrid>
      <w:tr w:rsidR="00E61562" w:rsidRPr="0030308C" w14:paraId="5A95BA5E" w14:textId="77777777" w:rsidTr="000E0C52">
        <w:trPr>
          <w:jc w:val="center"/>
        </w:trPr>
        <w:tc>
          <w:tcPr>
            <w:tcW w:w="1098" w:type="dxa"/>
            <w:tcBorders>
              <w:bottom w:val="single" w:sz="4" w:space="0" w:color="auto"/>
            </w:tcBorders>
          </w:tcPr>
          <w:p w14:paraId="54FCA74B" w14:textId="77777777" w:rsidR="00E61562" w:rsidRPr="0030308C" w:rsidRDefault="00E61562" w:rsidP="000E0C52">
            <w:pPr>
              <w:jc w:val="both"/>
              <w:rPr>
                <w:rFonts w:ascii="Arial" w:hAnsi="Arial" w:cs="Arial"/>
                <w:b/>
                <w:bCs/>
                <w:color w:val="000000" w:themeColor="text1"/>
                <w:sz w:val="20"/>
                <w:szCs w:val="20"/>
                <w:lang w:val="en-US"/>
              </w:rPr>
            </w:pPr>
            <w:r w:rsidRPr="0030308C">
              <w:rPr>
                <w:rFonts w:ascii="Arial" w:hAnsi="Arial" w:cs="Arial"/>
                <w:b/>
                <w:bCs/>
                <w:color w:val="000000" w:themeColor="text1"/>
                <w:sz w:val="20"/>
                <w:szCs w:val="20"/>
                <w:lang w:val="en-US"/>
              </w:rPr>
              <w:t xml:space="preserve">Transition probabilities </w:t>
            </w:r>
          </w:p>
        </w:tc>
        <w:tc>
          <w:tcPr>
            <w:tcW w:w="1844" w:type="dxa"/>
            <w:tcBorders>
              <w:bottom w:val="single" w:sz="4" w:space="0" w:color="auto"/>
            </w:tcBorders>
          </w:tcPr>
          <w:p w14:paraId="7BAACA49" w14:textId="77777777" w:rsidR="00E61562" w:rsidRPr="0030308C" w:rsidRDefault="00E61562" w:rsidP="000E0C52">
            <w:pPr>
              <w:jc w:val="both"/>
              <w:rPr>
                <w:rFonts w:ascii="Arial" w:hAnsi="Arial" w:cs="Arial"/>
                <w:b/>
                <w:bCs/>
                <w:color w:val="000000" w:themeColor="text1"/>
                <w:sz w:val="20"/>
                <w:szCs w:val="20"/>
                <w:lang w:val="en-US"/>
              </w:rPr>
            </w:pPr>
            <w:r w:rsidRPr="0030308C">
              <w:rPr>
                <w:rFonts w:ascii="Arial" w:hAnsi="Arial" w:cs="Arial"/>
                <w:b/>
                <w:bCs/>
                <w:color w:val="000000" w:themeColor="text1"/>
                <w:sz w:val="20"/>
                <w:szCs w:val="20"/>
                <w:lang w:val="en-US"/>
              </w:rPr>
              <w:t>From \ to</w:t>
            </w:r>
          </w:p>
        </w:tc>
        <w:tc>
          <w:tcPr>
            <w:tcW w:w="1134" w:type="dxa"/>
            <w:tcBorders>
              <w:left w:val="nil"/>
              <w:bottom w:val="single" w:sz="4" w:space="0" w:color="auto"/>
            </w:tcBorders>
          </w:tcPr>
          <w:p w14:paraId="621F598A" w14:textId="77777777" w:rsidR="00E61562" w:rsidRPr="0030308C" w:rsidRDefault="00E61562" w:rsidP="000E0C52">
            <w:pPr>
              <w:jc w:val="center"/>
              <w:rPr>
                <w:rFonts w:ascii="Arial" w:hAnsi="Arial" w:cs="Arial"/>
                <w:b/>
                <w:bCs/>
                <w:color w:val="000000" w:themeColor="text1"/>
                <w:sz w:val="20"/>
                <w:szCs w:val="20"/>
                <w:lang w:val="en-US"/>
              </w:rPr>
            </w:pPr>
            <w:r w:rsidRPr="0030308C">
              <w:rPr>
                <w:rFonts w:ascii="Arial" w:hAnsi="Arial" w:cs="Arial"/>
                <w:b/>
                <w:bCs/>
                <w:color w:val="000000" w:themeColor="text1"/>
                <w:sz w:val="20"/>
                <w:szCs w:val="20"/>
                <w:lang w:val="en-US"/>
              </w:rPr>
              <w:t>100 – 86 letters</w:t>
            </w:r>
          </w:p>
        </w:tc>
        <w:tc>
          <w:tcPr>
            <w:tcW w:w="1134" w:type="dxa"/>
            <w:tcBorders>
              <w:bottom w:val="single" w:sz="4" w:space="0" w:color="auto"/>
            </w:tcBorders>
          </w:tcPr>
          <w:p w14:paraId="67BAE91C" w14:textId="77777777" w:rsidR="00E61562" w:rsidRPr="0030308C" w:rsidRDefault="00E61562" w:rsidP="000E0C52">
            <w:pPr>
              <w:jc w:val="center"/>
              <w:rPr>
                <w:rFonts w:ascii="Arial" w:hAnsi="Arial" w:cs="Arial"/>
                <w:b/>
                <w:bCs/>
                <w:color w:val="000000" w:themeColor="text1"/>
                <w:sz w:val="20"/>
                <w:szCs w:val="20"/>
                <w:lang w:val="en-US"/>
              </w:rPr>
            </w:pPr>
            <w:r w:rsidRPr="0030308C">
              <w:rPr>
                <w:rFonts w:ascii="Arial" w:hAnsi="Arial" w:cs="Arial"/>
                <w:b/>
                <w:bCs/>
                <w:color w:val="000000" w:themeColor="text1"/>
                <w:sz w:val="20"/>
                <w:szCs w:val="20"/>
                <w:lang w:val="en-US"/>
              </w:rPr>
              <w:t>85 – 71 letters</w:t>
            </w:r>
          </w:p>
        </w:tc>
        <w:tc>
          <w:tcPr>
            <w:tcW w:w="1133" w:type="dxa"/>
            <w:tcBorders>
              <w:bottom w:val="single" w:sz="4" w:space="0" w:color="auto"/>
            </w:tcBorders>
          </w:tcPr>
          <w:p w14:paraId="088DB92F" w14:textId="77777777" w:rsidR="00E61562" w:rsidRPr="0030308C" w:rsidRDefault="00E61562" w:rsidP="000E0C52">
            <w:pPr>
              <w:jc w:val="center"/>
              <w:rPr>
                <w:rFonts w:ascii="Arial" w:hAnsi="Arial" w:cs="Arial"/>
                <w:b/>
                <w:bCs/>
                <w:color w:val="000000" w:themeColor="text1"/>
                <w:sz w:val="20"/>
                <w:szCs w:val="20"/>
                <w:lang w:val="en-US"/>
              </w:rPr>
            </w:pPr>
            <w:r w:rsidRPr="0030308C">
              <w:rPr>
                <w:rFonts w:ascii="Arial" w:hAnsi="Arial" w:cs="Arial"/>
                <w:b/>
                <w:bCs/>
                <w:color w:val="000000" w:themeColor="text1"/>
                <w:sz w:val="20"/>
                <w:szCs w:val="20"/>
                <w:lang w:val="en-US"/>
              </w:rPr>
              <w:t>70 – 56 letters</w:t>
            </w:r>
          </w:p>
        </w:tc>
        <w:tc>
          <w:tcPr>
            <w:tcW w:w="1134" w:type="dxa"/>
            <w:tcBorders>
              <w:bottom w:val="single" w:sz="4" w:space="0" w:color="auto"/>
            </w:tcBorders>
          </w:tcPr>
          <w:p w14:paraId="4005E3AA" w14:textId="77777777" w:rsidR="00E61562" w:rsidRPr="0030308C" w:rsidRDefault="00E61562" w:rsidP="000E0C52">
            <w:pPr>
              <w:jc w:val="center"/>
              <w:rPr>
                <w:rFonts w:ascii="Arial" w:hAnsi="Arial" w:cs="Arial"/>
                <w:b/>
                <w:bCs/>
                <w:color w:val="000000" w:themeColor="text1"/>
                <w:sz w:val="20"/>
                <w:szCs w:val="20"/>
                <w:lang w:val="en-US"/>
              </w:rPr>
            </w:pPr>
            <w:r w:rsidRPr="0030308C">
              <w:rPr>
                <w:rFonts w:ascii="Arial" w:hAnsi="Arial" w:cs="Arial"/>
                <w:b/>
                <w:bCs/>
                <w:color w:val="000000" w:themeColor="text1"/>
                <w:sz w:val="20"/>
                <w:szCs w:val="20"/>
                <w:lang w:val="en-US"/>
              </w:rPr>
              <w:t>55 – 41 letters</w:t>
            </w:r>
          </w:p>
        </w:tc>
        <w:tc>
          <w:tcPr>
            <w:tcW w:w="1134" w:type="dxa"/>
            <w:tcBorders>
              <w:bottom w:val="single" w:sz="4" w:space="0" w:color="auto"/>
            </w:tcBorders>
          </w:tcPr>
          <w:p w14:paraId="3CFBD550" w14:textId="77777777" w:rsidR="00E61562" w:rsidRPr="0030308C" w:rsidRDefault="00E61562" w:rsidP="000E0C52">
            <w:pPr>
              <w:jc w:val="center"/>
              <w:rPr>
                <w:rFonts w:ascii="Arial" w:hAnsi="Arial" w:cs="Arial"/>
                <w:b/>
                <w:bCs/>
                <w:color w:val="000000" w:themeColor="text1"/>
                <w:sz w:val="20"/>
                <w:szCs w:val="20"/>
                <w:lang w:val="en-US"/>
              </w:rPr>
            </w:pPr>
            <w:r w:rsidRPr="0030308C">
              <w:rPr>
                <w:rFonts w:ascii="Arial" w:hAnsi="Arial" w:cs="Arial"/>
                <w:b/>
                <w:bCs/>
                <w:color w:val="000000" w:themeColor="text1"/>
                <w:sz w:val="20"/>
                <w:szCs w:val="20"/>
                <w:lang w:val="en-US"/>
              </w:rPr>
              <w:t>40 – 26 letters</w:t>
            </w:r>
          </w:p>
        </w:tc>
        <w:tc>
          <w:tcPr>
            <w:tcW w:w="1277" w:type="dxa"/>
            <w:tcBorders>
              <w:bottom w:val="single" w:sz="4" w:space="0" w:color="auto"/>
            </w:tcBorders>
          </w:tcPr>
          <w:p w14:paraId="24332EC3" w14:textId="77777777" w:rsidR="00E61562" w:rsidRPr="0030308C" w:rsidRDefault="00E61562" w:rsidP="000E0C52">
            <w:pPr>
              <w:jc w:val="center"/>
              <w:rPr>
                <w:rFonts w:ascii="Arial" w:hAnsi="Arial" w:cs="Arial"/>
                <w:b/>
                <w:bCs/>
                <w:color w:val="000000" w:themeColor="text1"/>
                <w:sz w:val="20"/>
                <w:szCs w:val="20"/>
                <w:lang w:val="en-US"/>
              </w:rPr>
            </w:pPr>
            <w:r w:rsidRPr="0030308C">
              <w:rPr>
                <w:rFonts w:ascii="Arial" w:hAnsi="Arial" w:cs="Arial"/>
                <w:b/>
                <w:bCs/>
                <w:color w:val="000000" w:themeColor="text1"/>
                <w:sz w:val="20"/>
                <w:szCs w:val="20"/>
                <w:lang w:val="en-US"/>
              </w:rPr>
              <w:t>25 – 0 letters</w:t>
            </w:r>
          </w:p>
        </w:tc>
      </w:tr>
      <w:tr w:rsidR="00E61562" w:rsidRPr="0030308C" w14:paraId="776512D5" w14:textId="77777777" w:rsidTr="000E0C52">
        <w:trPr>
          <w:jc w:val="center"/>
        </w:trPr>
        <w:tc>
          <w:tcPr>
            <w:tcW w:w="1098" w:type="dxa"/>
            <w:vMerge w:val="restart"/>
            <w:tcBorders>
              <w:top w:val="single" w:sz="4" w:space="0" w:color="auto"/>
            </w:tcBorders>
          </w:tcPr>
          <w:p w14:paraId="3D1B8596" w14:textId="77777777" w:rsidR="00E61562" w:rsidRPr="008E6C2B" w:rsidRDefault="00E61562" w:rsidP="000E0C52">
            <w:pPr>
              <w:jc w:val="both"/>
              <w:rPr>
                <w:rFonts w:ascii="Arial" w:hAnsi="Arial" w:cs="Arial"/>
                <w:b/>
                <w:bCs/>
                <w:color w:val="000000" w:themeColor="text1"/>
                <w:sz w:val="20"/>
                <w:szCs w:val="20"/>
                <w:lang w:val="en-US"/>
              </w:rPr>
            </w:pPr>
            <w:r w:rsidRPr="008E6C2B">
              <w:rPr>
                <w:rFonts w:ascii="Arial" w:hAnsi="Arial" w:cs="Arial"/>
                <w:b/>
                <w:bCs/>
                <w:color w:val="000000" w:themeColor="text1"/>
                <w:sz w:val="20"/>
                <w:szCs w:val="20"/>
                <w:lang w:val="en-US"/>
              </w:rPr>
              <w:t>Year 1</w:t>
            </w:r>
          </w:p>
        </w:tc>
        <w:tc>
          <w:tcPr>
            <w:tcW w:w="1844" w:type="dxa"/>
            <w:tcBorders>
              <w:top w:val="single" w:sz="4" w:space="0" w:color="auto"/>
            </w:tcBorders>
          </w:tcPr>
          <w:p w14:paraId="63E0925F"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100 – 86 letters</w:t>
            </w:r>
          </w:p>
        </w:tc>
        <w:tc>
          <w:tcPr>
            <w:tcW w:w="1134" w:type="dxa"/>
            <w:tcBorders>
              <w:top w:val="single" w:sz="4" w:space="0" w:color="auto"/>
              <w:left w:val="nil"/>
            </w:tcBorders>
          </w:tcPr>
          <w:p w14:paraId="395C4045"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87%</w:t>
            </w:r>
          </w:p>
        </w:tc>
        <w:tc>
          <w:tcPr>
            <w:tcW w:w="1134" w:type="dxa"/>
            <w:tcBorders>
              <w:top w:val="single" w:sz="4" w:space="0" w:color="auto"/>
            </w:tcBorders>
          </w:tcPr>
          <w:p w14:paraId="231A7747"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12%</w:t>
            </w:r>
          </w:p>
        </w:tc>
        <w:tc>
          <w:tcPr>
            <w:tcW w:w="1133" w:type="dxa"/>
            <w:tcBorders>
              <w:top w:val="single" w:sz="4" w:space="0" w:color="auto"/>
            </w:tcBorders>
          </w:tcPr>
          <w:p w14:paraId="495E9AF6"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1%</w:t>
            </w:r>
          </w:p>
        </w:tc>
        <w:tc>
          <w:tcPr>
            <w:tcW w:w="1134" w:type="dxa"/>
            <w:tcBorders>
              <w:top w:val="single" w:sz="4" w:space="0" w:color="auto"/>
            </w:tcBorders>
          </w:tcPr>
          <w:p w14:paraId="4D6BA3BC"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134" w:type="dxa"/>
            <w:tcBorders>
              <w:top w:val="single" w:sz="4" w:space="0" w:color="auto"/>
            </w:tcBorders>
          </w:tcPr>
          <w:p w14:paraId="3575515E"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277" w:type="dxa"/>
            <w:tcBorders>
              <w:top w:val="single" w:sz="4" w:space="0" w:color="auto"/>
            </w:tcBorders>
          </w:tcPr>
          <w:p w14:paraId="70BF5677"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r>
      <w:tr w:rsidR="00E61562" w:rsidRPr="0030308C" w14:paraId="2610EBDB" w14:textId="77777777" w:rsidTr="000E0C52">
        <w:trPr>
          <w:jc w:val="center"/>
        </w:trPr>
        <w:tc>
          <w:tcPr>
            <w:tcW w:w="1098" w:type="dxa"/>
            <w:vMerge/>
          </w:tcPr>
          <w:p w14:paraId="7B905C1A" w14:textId="77777777" w:rsidR="00E61562" w:rsidRPr="0030308C" w:rsidRDefault="00E61562" w:rsidP="000E0C52">
            <w:pPr>
              <w:jc w:val="both"/>
              <w:rPr>
                <w:rFonts w:ascii="Arial" w:hAnsi="Arial" w:cs="Arial"/>
                <w:color w:val="000000" w:themeColor="text1"/>
                <w:sz w:val="20"/>
                <w:szCs w:val="20"/>
                <w:lang w:val="en-US"/>
              </w:rPr>
            </w:pPr>
          </w:p>
        </w:tc>
        <w:tc>
          <w:tcPr>
            <w:tcW w:w="1844" w:type="dxa"/>
          </w:tcPr>
          <w:p w14:paraId="6C2A52D8"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85 – 71 letters</w:t>
            </w:r>
          </w:p>
        </w:tc>
        <w:tc>
          <w:tcPr>
            <w:tcW w:w="1134" w:type="dxa"/>
            <w:tcBorders>
              <w:left w:val="nil"/>
            </w:tcBorders>
          </w:tcPr>
          <w:p w14:paraId="2EB91CFC"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49%</w:t>
            </w:r>
          </w:p>
        </w:tc>
        <w:tc>
          <w:tcPr>
            <w:tcW w:w="1134" w:type="dxa"/>
          </w:tcPr>
          <w:p w14:paraId="0E99B469"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37%</w:t>
            </w:r>
          </w:p>
        </w:tc>
        <w:tc>
          <w:tcPr>
            <w:tcW w:w="1133" w:type="dxa"/>
          </w:tcPr>
          <w:p w14:paraId="39AAD0D9"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12%</w:t>
            </w:r>
          </w:p>
        </w:tc>
        <w:tc>
          <w:tcPr>
            <w:tcW w:w="1134" w:type="dxa"/>
          </w:tcPr>
          <w:p w14:paraId="691AF137"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1%</w:t>
            </w:r>
          </w:p>
        </w:tc>
        <w:tc>
          <w:tcPr>
            <w:tcW w:w="1134" w:type="dxa"/>
          </w:tcPr>
          <w:p w14:paraId="49A4C9C2"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277" w:type="dxa"/>
          </w:tcPr>
          <w:p w14:paraId="51DCFE34"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r>
      <w:tr w:rsidR="00E61562" w:rsidRPr="0030308C" w14:paraId="77503818" w14:textId="77777777" w:rsidTr="000E0C52">
        <w:trPr>
          <w:jc w:val="center"/>
        </w:trPr>
        <w:tc>
          <w:tcPr>
            <w:tcW w:w="1098" w:type="dxa"/>
            <w:vMerge/>
          </w:tcPr>
          <w:p w14:paraId="7234F7AA" w14:textId="77777777" w:rsidR="00E61562" w:rsidRPr="0030308C" w:rsidRDefault="00E61562" w:rsidP="000E0C52">
            <w:pPr>
              <w:jc w:val="both"/>
              <w:rPr>
                <w:rFonts w:ascii="Arial" w:hAnsi="Arial" w:cs="Arial"/>
                <w:color w:val="000000" w:themeColor="text1"/>
                <w:sz w:val="20"/>
                <w:szCs w:val="20"/>
                <w:lang w:val="en-US"/>
              </w:rPr>
            </w:pPr>
          </w:p>
        </w:tc>
        <w:tc>
          <w:tcPr>
            <w:tcW w:w="1844" w:type="dxa"/>
          </w:tcPr>
          <w:p w14:paraId="750E1D0E"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70 – 56 letters</w:t>
            </w:r>
          </w:p>
        </w:tc>
        <w:tc>
          <w:tcPr>
            <w:tcW w:w="1134" w:type="dxa"/>
            <w:tcBorders>
              <w:left w:val="nil"/>
            </w:tcBorders>
          </w:tcPr>
          <w:p w14:paraId="397D9C4B"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13%</w:t>
            </w:r>
          </w:p>
        </w:tc>
        <w:tc>
          <w:tcPr>
            <w:tcW w:w="1134" w:type="dxa"/>
          </w:tcPr>
          <w:p w14:paraId="22E1CCFA"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36%</w:t>
            </w:r>
          </w:p>
        </w:tc>
        <w:tc>
          <w:tcPr>
            <w:tcW w:w="1133" w:type="dxa"/>
          </w:tcPr>
          <w:p w14:paraId="4B816398"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37%</w:t>
            </w:r>
          </w:p>
        </w:tc>
        <w:tc>
          <w:tcPr>
            <w:tcW w:w="1134" w:type="dxa"/>
          </w:tcPr>
          <w:p w14:paraId="3DD690B7"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13%</w:t>
            </w:r>
          </w:p>
        </w:tc>
        <w:tc>
          <w:tcPr>
            <w:tcW w:w="1134" w:type="dxa"/>
          </w:tcPr>
          <w:p w14:paraId="6B7A95CB"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1%</w:t>
            </w:r>
          </w:p>
        </w:tc>
        <w:tc>
          <w:tcPr>
            <w:tcW w:w="1277" w:type="dxa"/>
          </w:tcPr>
          <w:p w14:paraId="58D17A5D"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r>
      <w:tr w:rsidR="00E61562" w:rsidRPr="0030308C" w14:paraId="42C65675" w14:textId="77777777" w:rsidTr="000E0C52">
        <w:trPr>
          <w:jc w:val="center"/>
        </w:trPr>
        <w:tc>
          <w:tcPr>
            <w:tcW w:w="1098" w:type="dxa"/>
            <w:vMerge/>
          </w:tcPr>
          <w:p w14:paraId="5B84E9A7" w14:textId="77777777" w:rsidR="00E61562" w:rsidRPr="0030308C" w:rsidRDefault="00E61562" w:rsidP="000E0C52">
            <w:pPr>
              <w:jc w:val="both"/>
              <w:rPr>
                <w:rFonts w:ascii="Arial" w:hAnsi="Arial" w:cs="Arial"/>
                <w:color w:val="000000" w:themeColor="text1"/>
                <w:sz w:val="20"/>
                <w:szCs w:val="20"/>
                <w:lang w:val="en-US"/>
              </w:rPr>
            </w:pPr>
          </w:p>
        </w:tc>
        <w:tc>
          <w:tcPr>
            <w:tcW w:w="1844" w:type="dxa"/>
          </w:tcPr>
          <w:p w14:paraId="15048BF4"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55 – 41 letters</w:t>
            </w:r>
          </w:p>
        </w:tc>
        <w:tc>
          <w:tcPr>
            <w:tcW w:w="1134" w:type="dxa"/>
            <w:tcBorders>
              <w:left w:val="nil"/>
            </w:tcBorders>
          </w:tcPr>
          <w:p w14:paraId="6A79D2C6"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134" w:type="dxa"/>
          </w:tcPr>
          <w:p w14:paraId="5E97EC8A"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18%</w:t>
            </w:r>
          </w:p>
        </w:tc>
        <w:tc>
          <w:tcPr>
            <w:tcW w:w="1133" w:type="dxa"/>
          </w:tcPr>
          <w:p w14:paraId="055A5895"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41%</w:t>
            </w:r>
          </w:p>
        </w:tc>
        <w:tc>
          <w:tcPr>
            <w:tcW w:w="1134" w:type="dxa"/>
          </w:tcPr>
          <w:p w14:paraId="7604F590"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28%</w:t>
            </w:r>
          </w:p>
        </w:tc>
        <w:tc>
          <w:tcPr>
            <w:tcW w:w="1134" w:type="dxa"/>
          </w:tcPr>
          <w:p w14:paraId="374D8050"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12%</w:t>
            </w:r>
          </w:p>
        </w:tc>
        <w:tc>
          <w:tcPr>
            <w:tcW w:w="1277" w:type="dxa"/>
          </w:tcPr>
          <w:p w14:paraId="33403F3A"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1%</w:t>
            </w:r>
          </w:p>
        </w:tc>
      </w:tr>
      <w:tr w:rsidR="00E61562" w:rsidRPr="0030308C" w14:paraId="13B0998D" w14:textId="77777777" w:rsidTr="000E0C52">
        <w:trPr>
          <w:jc w:val="center"/>
        </w:trPr>
        <w:tc>
          <w:tcPr>
            <w:tcW w:w="1098" w:type="dxa"/>
            <w:vMerge/>
          </w:tcPr>
          <w:p w14:paraId="4DEF9DCB" w14:textId="77777777" w:rsidR="00E61562" w:rsidRPr="0030308C" w:rsidRDefault="00E61562" w:rsidP="000E0C52">
            <w:pPr>
              <w:jc w:val="both"/>
              <w:rPr>
                <w:rFonts w:ascii="Arial" w:hAnsi="Arial" w:cs="Arial"/>
                <w:color w:val="000000" w:themeColor="text1"/>
                <w:sz w:val="20"/>
                <w:szCs w:val="20"/>
                <w:lang w:val="en-US"/>
              </w:rPr>
            </w:pPr>
          </w:p>
        </w:tc>
        <w:tc>
          <w:tcPr>
            <w:tcW w:w="1844" w:type="dxa"/>
          </w:tcPr>
          <w:p w14:paraId="7C856609"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40 – 26 letters</w:t>
            </w:r>
          </w:p>
        </w:tc>
        <w:tc>
          <w:tcPr>
            <w:tcW w:w="1134" w:type="dxa"/>
            <w:tcBorders>
              <w:left w:val="nil"/>
            </w:tcBorders>
          </w:tcPr>
          <w:p w14:paraId="24A859B0"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134" w:type="dxa"/>
          </w:tcPr>
          <w:p w14:paraId="6985767F"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133" w:type="dxa"/>
          </w:tcPr>
          <w:p w14:paraId="401FE3DE"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22%</w:t>
            </w:r>
          </w:p>
        </w:tc>
        <w:tc>
          <w:tcPr>
            <w:tcW w:w="1134" w:type="dxa"/>
          </w:tcPr>
          <w:p w14:paraId="22758D8C"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45%</w:t>
            </w:r>
          </w:p>
        </w:tc>
        <w:tc>
          <w:tcPr>
            <w:tcW w:w="1134" w:type="dxa"/>
          </w:tcPr>
          <w:p w14:paraId="12C3FBCB"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26%</w:t>
            </w:r>
          </w:p>
        </w:tc>
        <w:tc>
          <w:tcPr>
            <w:tcW w:w="1277" w:type="dxa"/>
          </w:tcPr>
          <w:p w14:paraId="039F5C9D"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7%</w:t>
            </w:r>
          </w:p>
        </w:tc>
      </w:tr>
      <w:tr w:rsidR="00E61562" w:rsidRPr="0030308C" w14:paraId="6FFB7F4D" w14:textId="77777777" w:rsidTr="000E0C52">
        <w:trPr>
          <w:jc w:val="center"/>
        </w:trPr>
        <w:tc>
          <w:tcPr>
            <w:tcW w:w="1098" w:type="dxa"/>
            <w:vMerge/>
            <w:tcBorders>
              <w:bottom w:val="single" w:sz="4" w:space="0" w:color="auto"/>
            </w:tcBorders>
          </w:tcPr>
          <w:p w14:paraId="78FF77A2" w14:textId="77777777" w:rsidR="00E61562" w:rsidRPr="0030308C" w:rsidRDefault="00E61562" w:rsidP="000E0C52">
            <w:pPr>
              <w:jc w:val="both"/>
              <w:rPr>
                <w:rFonts w:ascii="Arial" w:hAnsi="Arial" w:cs="Arial"/>
                <w:color w:val="000000" w:themeColor="text1"/>
                <w:sz w:val="20"/>
                <w:szCs w:val="20"/>
                <w:lang w:val="en-US"/>
              </w:rPr>
            </w:pPr>
          </w:p>
        </w:tc>
        <w:tc>
          <w:tcPr>
            <w:tcW w:w="1844" w:type="dxa"/>
            <w:tcBorders>
              <w:bottom w:val="single" w:sz="4" w:space="0" w:color="auto"/>
            </w:tcBorders>
          </w:tcPr>
          <w:p w14:paraId="7B9D71A4"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25 – 0 letters</w:t>
            </w:r>
          </w:p>
        </w:tc>
        <w:tc>
          <w:tcPr>
            <w:tcW w:w="1134" w:type="dxa"/>
            <w:tcBorders>
              <w:left w:val="nil"/>
              <w:bottom w:val="single" w:sz="4" w:space="0" w:color="auto"/>
            </w:tcBorders>
          </w:tcPr>
          <w:p w14:paraId="621DA114"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134" w:type="dxa"/>
            <w:tcBorders>
              <w:bottom w:val="single" w:sz="4" w:space="0" w:color="auto"/>
            </w:tcBorders>
          </w:tcPr>
          <w:p w14:paraId="25B969E3"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133" w:type="dxa"/>
            <w:tcBorders>
              <w:bottom w:val="single" w:sz="4" w:space="0" w:color="auto"/>
            </w:tcBorders>
          </w:tcPr>
          <w:p w14:paraId="551FF956"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134" w:type="dxa"/>
            <w:tcBorders>
              <w:bottom w:val="single" w:sz="4" w:space="0" w:color="auto"/>
            </w:tcBorders>
          </w:tcPr>
          <w:p w14:paraId="46AD4A35"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22%</w:t>
            </w:r>
          </w:p>
        </w:tc>
        <w:tc>
          <w:tcPr>
            <w:tcW w:w="1134" w:type="dxa"/>
            <w:tcBorders>
              <w:bottom w:val="single" w:sz="4" w:space="0" w:color="auto"/>
            </w:tcBorders>
          </w:tcPr>
          <w:p w14:paraId="0104B7A9"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45%</w:t>
            </w:r>
          </w:p>
        </w:tc>
        <w:tc>
          <w:tcPr>
            <w:tcW w:w="1277" w:type="dxa"/>
            <w:tcBorders>
              <w:bottom w:val="single" w:sz="4" w:space="0" w:color="auto"/>
            </w:tcBorders>
          </w:tcPr>
          <w:p w14:paraId="2D069128"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33%</w:t>
            </w:r>
          </w:p>
        </w:tc>
      </w:tr>
      <w:tr w:rsidR="00E61562" w:rsidRPr="0030308C" w14:paraId="040144A3" w14:textId="77777777" w:rsidTr="000E0C52">
        <w:trPr>
          <w:jc w:val="center"/>
        </w:trPr>
        <w:tc>
          <w:tcPr>
            <w:tcW w:w="1098" w:type="dxa"/>
            <w:vMerge w:val="restart"/>
            <w:tcBorders>
              <w:top w:val="single" w:sz="4" w:space="0" w:color="auto"/>
            </w:tcBorders>
          </w:tcPr>
          <w:p w14:paraId="1E4F952A" w14:textId="77777777" w:rsidR="00E61562" w:rsidRPr="008E6C2B" w:rsidRDefault="00E61562" w:rsidP="000E0C52">
            <w:pPr>
              <w:jc w:val="both"/>
              <w:rPr>
                <w:rFonts w:ascii="Arial" w:hAnsi="Arial" w:cs="Arial"/>
                <w:b/>
                <w:bCs/>
                <w:color w:val="000000" w:themeColor="text1"/>
                <w:sz w:val="20"/>
                <w:szCs w:val="20"/>
                <w:lang w:val="en-US"/>
              </w:rPr>
            </w:pPr>
            <w:r w:rsidRPr="008E6C2B">
              <w:rPr>
                <w:rFonts w:ascii="Arial" w:hAnsi="Arial" w:cs="Arial"/>
                <w:b/>
                <w:bCs/>
                <w:color w:val="000000" w:themeColor="text1"/>
                <w:sz w:val="20"/>
                <w:szCs w:val="20"/>
                <w:lang w:val="en-US"/>
              </w:rPr>
              <w:t>Years 2+</w:t>
            </w:r>
          </w:p>
        </w:tc>
        <w:tc>
          <w:tcPr>
            <w:tcW w:w="1844" w:type="dxa"/>
            <w:tcBorders>
              <w:top w:val="single" w:sz="4" w:space="0" w:color="auto"/>
            </w:tcBorders>
          </w:tcPr>
          <w:p w14:paraId="6E1A226E"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100 – 86 letters</w:t>
            </w:r>
          </w:p>
        </w:tc>
        <w:tc>
          <w:tcPr>
            <w:tcW w:w="1134" w:type="dxa"/>
            <w:tcBorders>
              <w:top w:val="single" w:sz="4" w:space="0" w:color="auto"/>
              <w:left w:val="nil"/>
            </w:tcBorders>
          </w:tcPr>
          <w:p w14:paraId="7BA7BC4F"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78%</w:t>
            </w:r>
          </w:p>
        </w:tc>
        <w:tc>
          <w:tcPr>
            <w:tcW w:w="1134" w:type="dxa"/>
            <w:tcBorders>
              <w:top w:val="single" w:sz="4" w:space="0" w:color="auto"/>
            </w:tcBorders>
          </w:tcPr>
          <w:p w14:paraId="6CF0278B"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22%</w:t>
            </w:r>
          </w:p>
        </w:tc>
        <w:tc>
          <w:tcPr>
            <w:tcW w:w="1133" w:type="dxa"/>
            <w:tcBorders>
              <w:top w:val="single" w:sz="4" w:space="0" w:color="auto"/>
            </w:tcBorders>
          </w:tcPr>
          <w:p w14:paraId="542A01A5"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134" w:type="dxa"/>
            <w:tcBorders>
              <w:top w:val="single" w:sz="4" w:space="0" w:color="auto"/>
            </w:tcBorders>
          </w:tcPr>
          <w:p w14:paraId="6A8E0469"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134" w:type="dxa"/>
            <w:tcBorders>
              <w:top w:val="single" w:sz="4" w:space="0" w:color="auto"/>
            </w:tcBorders>
          </w:tcPr>
          <w:p w14:paraId="654C1871"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277" w:type="dxa"/>
            <w:tcBorders>
              <w:top w:val="single" w:sz="4" w:space="0" w:color="auto"/>
            </w:tcBorders>
          </w:tcPr>
          <w:p w14:paraId="3352A143"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r>
      <w:tr w:rsidR="00E61562" w:rsidRPr="0030308C" w14:paraId="63D8C701" w14:textId="77777777" w:rsidTr="000E0C52">
        <w:trPr>
          <w:jc w:val="center"/>
        </w:trPr>
        <w:tc>
          <w:tcPr>
            <w:tcW w:w="1098" w:type="dxa"/>
            <w:vMerge/>
          </w:tcPr>
          <w:p w14:paraId="3FB2C4A8" w14:textId="77777777" w:rsidR="00E61562" w:rsidRPr="0030308C" w:rsidRDefault="00E61562" w:rsidP="000E0C52">
            <w:pPr>
              <w:jc w:val="both"/>
              <w:rPr>
                <w:rFonts w:ascii="Arial" w:hAnsi="Arial" w:cs="Arial"/>
                <w:color w:val="000000" w:themeColor="text1"/>
                <w:sz w:val="20"/>
                <w:szCs w:val="20"/>
                <w:lang w:val="en-US"/>
              </w:rPr>
            </w:pPr>
          </w:p>
        </w:tc>
        <w:tc>
          <w:tcPr>
            <w:tcW w:w="1844" w:type="dxa"/>
          </w:tcPr>
          <w:p w14:paraId="482F37A6"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85 – 71 letters</w:t>
            </w:r>
          </w:p>
        </w:tc>
        <w:tc>
          <w:tcPr>
            <w:tcW w:w="1134" w:type="dxa"/>
            <w:tcBorders>
              <w:left w:val="nil"/>
            </w:tcBorders>
          </w:tcPr>
          <w:p w14:paraId="5676B43E"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14%</w:t>
            </w:r>
          </w:p>
        </w:tc>
        <w:tc>
          <w:tcPr>
            <w:tcW w:w="1134" w:type="dxa"/>
          </w:tcPr>
          <w:p w14:paraId="22ED9FAB"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64%</w:t>
            </w:r>
          </w:p>
        </w:tc>
        <w:tc>
          <w:tcPr>
            <w:tcW w:w="1133" w:type="dxa"/>
          </w:tcPr>
          <w:p w14:paraId="1113213D"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22%</w:t>
            </w:r>
          </w:p>
        </w:tc>
        <w:tc>
          <w:tcPr>
            <w:tcW w:w="1134" w:type="dxa"/>
          </w:tcPr>
          <w:p w14:paraId="25EEEAE4"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134" w:type="dxa"/>
          </w:tcPr>
          <w:p w14:paraId="59B5FC7A"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277" w:type="dxa"/>
          </w:tcPr>
          <w:p w14:paraId="35A3B162"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r>
      <w:tr w:rsidR="00E61562" w:rsidRPr="0030308C" w14:paraId="080E97EC" w14:textId="77777777" w:rsidTr="000E0C52">
        <w:trPr>
          <w:jc w:val="center"/>
        </w:trPr>
        <w:tc>
          <w:tcPr>
            <w:tcW w:w="1098" w:type="dxa"/>
            <w:vMerge/>
          </w:tcPr>
          <w:p w14:paraId="0E57595E" w14:textId="77777777" w:rsidR="00E61562" w:rsidRPr="0030308C" w:rsidRDefault="00E61562" w:rsidP="000E0C52">
            <w:pPr>
              <w:jc w:val="both"/>
              <w:rPr>
                <w:rFonts w:ascii="Arial" w:hAnsi="Arial" w:cs="Arial"/>
                <w:color w:val="000000" w:themeColor="text1"/>
                <w:sz w:val="20"/>
                <w:szCs w:val="20"/>
                <w:lang w:val="en-US"/>
              </w:rPr>
            </w:pPr>
          </w:p>
        </w:tc>
        <w:tc>
          <w:tcPr>
            <w:tcW w:w="1844" w:type="dxa"/>
          </w:tcPr>
          <w:p w14:paraId="480C231F"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70 – 56 letters</w:t>
            </w:r>
          </w:p>
        </w:tc>
        <w:tc>
          <w:tcPr>
            <w:tcW w:w="1134" w:type="dxa"/>
            <w:tcBorders>
              <w:left w:val="nil"/>
            </w:tcBorders>
          </w:tcPr>
          <w:p w14:paraId="14AC2A0A"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134" w:type="dxa"/>
          </w:tcPr>
          <w:p w14:paraId="2BD589F1"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14%</w:t>
            </w:r>
          </w:p>
        </w:tc>
        <w:tc>
          <w:tcPr>
            <w:tcW w:w="1133" w:type="dxa"/>
          </w:tcPr>
          <w:p w14:paraId="3A19A0E4"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64%</w:t>
            </w:r>
          </w:p>
        </w:tc>
        <w:tc>
          <w:tcPr>
            <w:tcW w:w="1134" w:type="dxa"/>
          </w:tcPr>
          <w:p w14:paraId="043E2977"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22%</w:t>
            </w:r>
          </w:p>
        </w:tc>
        <w:tc>
          <w:tcPr>
            <w:tcW w:w="1134" w:type="dxa"/>
          </w:tcPr>
          <w:p w14:paraId="5FC97D84"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277" w:type="dxa"/>
          </w:tcPr>
          <w:p w14:paraId="4FE10F23"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r>
      <w:tr w:rsidR="00E61562" w:rsidRPr="0030308C" w14:paraId="24599375" w14:textId="77777777" w:rsidTr="000E0C52">
        <w:trPr>
          <w:jc w:val="center"/>
        </w:trPr>
        <w:tc>
          <w:tcPr>
            <w:tcW w:w="1098" w:type="dxa"/>
            <w:vMerge/>
          </w:tcPr>
          <w:p w14:paraId="32E6E2EC" w14:textId="77777777" w:rsidR="00E61562" w:rsidRPr="0030308C" w:rsidRDefault="00E61562" w:rsidP="000E0C52">
            <w:pPr>
              <w:jc w:val="both"/>
              <w:rPr>
                <w:rFonts w:ascii="Arial" w:hAnsi="Arial" w:cs="Arial"/>
                <w:color w:val="000000" w:themeColor="text1"/>
                <w:sz w:val="20"/>
                <w:szCs w:val="20"/>
                <w:lang w:val="en-US"/>
              </w:rPr>
            </w:pPr>
          </w:p>
        </w:tc>
        <w:tc>
          <w:tcPr>
            <w:tcW w:w="1844" w:type="dxa"/>
          </w:tcPr>
          <w:p w14:paraId="5E9C3553"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55 – 41 letters</w:t>
            </w:r>
          </w:p>
        </w:tc>
        <w:tc>
          <w:tcPr>
            <w:tcW w:w="1134" w:type="dxa"/>
            <w:tcBorders>
              <w:left w:val="nil"/>
            </w:tcBorders>
          </w:tcPr>
          <w:p w14:paraId="29B696D5"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134" w:type="dxa"/>
          </w:tcPr>
          <w:p w14:paraId="5CC52F83"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133" w:type="dxa"/>
          </w:tcPr>
          <w:p w14:paraId="13BC8F08"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14%</w:t>
            </w:r>
          </w:p>
        </w:tc>
        <w:tc>
          <w:tcPr>
            <w:tcW w:w="1134" w:type="dxa"/>
          </w:tcPr>
          <w:p w14:paraId="43C7E299"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64%</w:t>
            </w:r>
          </w:p>
        </w:tc>
        <w:tc>
          <w:tcPr>
            <w:tcW w:w="1134" w:type="dxa"/>
          </w:tcPr>
          <w:p w14:paraId="664CE65D"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22%</w:t>
            </w:r>
          </w:p>
        </w:tc>
        <w:tc>
          <w:tcPr>
            <w:tcW w:w="1277" w:type="dxa"/>
          </w:tcPr>
          <w:p w14:paraId="2F2E755F"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r>
      <w:tr w:rsidR="00E61562" w:rsidRPr="0030308C" w14:paraId="657322E6" w14:textId="77777777" w:rsidTr="000E0C52">
        <w:trPr>
          <w:jc w:val="center"/>
        </w:trPr>
        <w:tc>
          <w:tcPr>
            <w:tcW w:w="1098" w:type="dxa"/>
            <w:vMerge/>
          </w:tcPr>
          <w:p w14:paraId="1B7AB018" w14:textId="77777777" w:rsidR="00E61562" w:rsidRPr="0030308C" w:rsidRDefault="00E61562" w:rsidP="000E0C52">
            <w:pPr>
              <w:jc w:val="both"/>
              <w:rPr>
                <w:rFonts w:ascii="Arial" w:hAnsi="Arial" w:cs="Arial"/>
                <w:color w:val="000000" w:themeColor="text1"/>
                <w:sz w:val="20"/>
                <w:szCs w:val="20"/>
                <w:lang w:val="en-US"/>
              </w:rPr>
            </w:pPr>
          </w:p>
        </w:tc>
        <w:tc>
          <w:tcPr>
            <w:tcW w:w="1844" w:type="dxa"/>
          </w:tcPr>
          <w:p w14:paraId="4CC25239"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40 – 26 letters</w:t>
            </w:r>
          </w:p>
        </w:tc>
        <w:tc>
          <w:tcPr>
            <w:tcW w:w="1134" w:type="dxa"/>
            <w:tcBorders>
              <w:left w:val="nil"/>
            </w:tcBorders>
          </w:tcPr>
          <w:p w14:paraId="55D935D0"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134" w:type="dxa"/>
          </w:tcPr>
          <w:p w14:paraId="08F255FE"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133" w:type="dxa"/>
          </w:tcPr>
          <w:p w14:paraId="53D99430"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134" w:type="dxa"/>
          </w:tcPr>
          <w:p w14:paraId="5D16E800"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14%</w:t>
            </w:r>
          </w:p>
        </w:tc>
        <w:tc>
          <w:tcPr>
            <w:tcW w:w="1134" w:type="dxa"/>
          </w:tcPr>
          <w:p w14:paraId="52CF3DC9"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64%</w:t>
            </w:r>
          </w:p>
        </w:tc>
        <w:tc>
          <w:tcPr>
            <w:tcW w:w="1277" w:type="dxa"/>
          </w:tcPr>
          <w:p w14:paraId="73823689"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22%</w:t>
            </w:r>
          </w:p>
        </w:tc>
      </w:tr>
      <w:tr w:rsidR="00E61562" w:rsidRPr="0030308C" w14:paraId="6522F7C4" w14:textId="77777777" w:rsidTr="000E0C52">
        <w:trPr>
          <w:jc w:val="center"/>
        </w:trPr>
        <w:tc>
          <w:tcPr>
            <w:tcW w:w="1098" w:type="dxa"/>
            <w:vMerge/>
          </w:tcPr>
          <w:p w14:paraId="0D0EB86F" w14:textId="77777777" w:rsidR="00E61562" w:rsidRPr="0030308C" w:rsidRDefault="00E61562" w:rsidP="000E0C52">
            <w:pPr>
              <w:jc w:val="both"/>
              <w:rPr>
                <w:rFonts w:ascii="Arial" w:hAnsi="Arial" w:cs="Arial"/>
                <w:color w:val="000000" w:themeColor="text1"/>
                <w:sz w:val="20"/>
                <w:szCs w:val="20"/>
                <w:lang w:val="en-US"/>
              </w:rPr>
            </w:pPr>
          </w:p>
        </w:tc>
        <w:tc>
          <w:tcPr>
            <w:tcW w:w="1844" w:type="dxa"/>
          </w:tcPr>
          <w:p w14:paraId="08C63CDD"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25 – 0 letters</w:t>
            </w:r>
          </w:p>
        </w:tc>
        <w:tc>
          <w:tcPr>
            <w:tcW w:w="1134" w:type="dxa"/>
            <w:tcBorders>
              <w:left w:val="nil"/>
            </w:tcBorders>
          </w:tcPr>
          <w:p w14:paraId="3819A927"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134" w:type="dxa"/>
          </w:tcPr>
          <w:p w14:paraId="4B7AFFDB"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133" w:type="dxa"/>
          </w:tcPr>
          <w:p w14:paraId="48B6415C"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134" w:type="dxa"/>
          </w:tcPr>
          <w:p w14:paraId="12F6473B"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1134" w:type="dxa"/>
          </w:tcPr>
          <w:p w14:paraId="0D176FFD"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14%</w:t>
            </w:r>
          </w:p>
        </w:tc>
        <w:tc>
          <w:tcPr>
            <w:tcW w:w="1277" w:type="dxa"/>
          </w:tcPr>
          <w:p w14:paraId="572FF04F" w14:textId="77777777" w:rsidR="00E61562" w:rsidRPr="0030308C" w:rsidRDefault="00E61562" w:rsidP="000E0C52">
            <w:pPr>
              <w:jc w:val="center"/>
              <w:rPr>
                <w:rFonts w:ascii="Arial" w:hAnsi="Arial" w:cs="Arial"/>
                <w:color w:val="000000" w:themeColor="text1"/>
                <w:sz w:val="20"/>
                <w:szCs w:val="20"/>
                <w:lang w:val="en-US"/>
              </w:rPr>
            </w:pPr>
            <w:r w:rsidRPr="0030308C">
              <w:rPr>
                <w:rFonts w:ascii="Arial" w:hAnsi="Arial" w:cs="Arial"/>
                <w:color w:val="000000" w:themeColor="text1"/>
                <w:sz w:val="20"/>
                <w:szCs w:val="20"/>
                <w:lang w:val="en-US"/>
              </w:rPr>
              <w:t>86%</w:t>
            </w:r>
          </w:p>
        </w:tc>
      </w:tr>
    </w:tbl>
    <w:p w14:paraId="0987F7B8" w14:textId="77777777" w:rsidR="00E61562" w:rsidRPr="0030308C" w:rsidRDefault="00E61562" w:rsidP="00E61562">
      <w:pPr>
        <w:jc w:val="both"/>
        <w:rPr>
          <w:rFonts w:ascii="Arial" w:hAnsi="Arial" w:cs="Arial"/>
          <w:color w:val="000000" w:themeColor="text1"/>
          <w:sz w:val="16"/>
          <w:szCs w:val="16"/>
          <w:vertAlign w:val="superscript"/>
          <w:lang w:val="en-US"/>
        </w:rPr>
      </w:pPr>
    </w:p>
    <w:p w14:paraId="4036F555" w14:textId="77777777" w:rsidR="00E61562" w:rsidRPr="0030308C" w:rsidRDefault="00E61562" w:rsidP="00E61562">
      <w:pPr>
        <w:jc w:val="both"/>
        <w:rPr>
          <w:rFonts w:ascii="Arial" w:hAnsi="Arial" w:cs="Arial"/>
          <w:color w:val="000000" w:themeColor="text1"/>
          <w:sz w:val="16"/>
          <w:szCs w:val="16"/>
          <w:lang w:val="en-US"/>
        </w:rPr>
      </w:pPr>
      <w:proofErr w:type="spellStart"/>
      <w:r w:rsidRPr="0030308C">
        <w:rPr>
          <w:rFonts w:ascii="Arial" w:hAnsi="Arial" w:cs="Arial"/>
          <w:color w:val="000000" w:themeColor="text1"/>
          <w:sz w:val="16"/>
          <w:szCs w:val="16"/>
          <w:vertAlign w:val="superscript"/>
          <w:lang w:val="en-US"/>
        </w:rPr>
        <w:t>a</w:t>
      </w:r>
      <w:proofErr w:type="spellEnd"/>
      <w:r>
        <w:rPr>
          <w:rFonts w:ascii="Arial" w:hAnsi="Arial" w:cs="Arial"/>
          <w:color w:val="000000" w:themeColor="text1"/>
          <w:sz w:val="16"/>
          <w:szCs w:val="16"/>
          <w:vertAlign w:val="superscript"/>
          <w:lang w:val="en-US"/>
        </w:rPr>
        <w:t xml:space="preserve"> </w:t>
      </w:r>
      <w:proofErr w:type="gramStart"/>
      <w:r w:rsidRPr="0030308C">
        <w:rPr>
          <w:rFonts w:ascii="Arial" w:hAnsi="Arial" w:cs="Arial"/>
          <w:color w:val="000000" w:themeColor="text1"/>
          <w:sz w:val="16"/>
          <w:szCs w:val="16"/>
          <w:lang w:val="en-US"/>
        </w:rPr>
        <w:t>All transition</w:t>
      </w:r>
      <w:proofErr w:type="gramEnd"/>
      <w:r w:rsidRPr="0030308C">
        <w:rPr>
          <w:rFonts w:ascii="Arial" w:hAnsi="Arial" w:cs="Arial"/>
          <w:color w:val="000000" w:themeColor="text1"/>
          <w:sz w:val="16"/>
          <w:szCs w:val="16"/>
          <w:lang w:val="en-US"/>
        </w:rPr>
        <w:t xml:space="preserve"> probabilities assume a beta distribution for the probabilistic analyses and a standard error of 20%.</w:t>
      </w:r>
    </w:p>
    <w:p w14:paraId="176E8D28" w14:textId="77777777" w:rsidR="00E61562" w:rsidRPr="0030308C" w:rsidRDefault="00E61562" w:rsidP="00E61562">
      <w:pPr>
        <w:jc w:val="both"/>
        <w:rPr>
          <w:rFonts w:ascii="Arial" w:hAnsi="Arial" w:cs="Arial"/>
          <w:color w:val="000000" w:themeColor="text1"/>
          <w:sz w:val="16"/>
          <w:szCs w:val="16"/>
          <w:lang w:val="en-US"/>
        </w:rPr>
      </w:pPr>
    </w:p>
    <w:p w14:paraId="0729F1C1" w14:textId="77777777" w:rsidR="00E61562" w:rsidRPr="0030308C" w:rsidRDefault="00E61562" w:rsidP="00E61562">
      <w:pPr>
        <w:rPr>
          <w:rFonts w:ascii="Arial" w:hAnsi="Arial" w:cs="Arial"/>
          <w:i/>
          <w:iCs/>
          <w:color w:val="000000" w:themeColor="text1"/>
          <w:sz w:val="20"/>
          <w:szCs w:val="20"/>
        </w:rPr>
      </w:pPr>
    </w:p>
    <w:p w14:paraId="6F2C31C2" w14:textId="77777777" w:rsidR="00E61562" w:rsidRPr="0030308C" w:rsidRDefault="00E61562" w:rsidP="00E61562">
      <w:pPr>
        <w:pStyle w:val="Caption"/>
        <w:keepNext/>
        <w:jc w:val="both"/>
        <w:rPr>
          <w:rFonts w:ascii="Arial" w:hAnsi="Arial" w:cs="Arial"/>
          <w:color w:val="000000" w:themeColor="text1"/>
          <w:sz w:val="20"/>
          <w:szCs w:val="20"/>
        </w:rPr>
      </w:pPr>
    </w:p>
    <w:p w14:paraId="72BB1B05" w14:textId="77777777" w:rsidR="00F75E57" w:rsidRDefault="00F75E57">
      <w:pPr>
        <w:rPr>
          <w:rFonts w:ascii="Arial" w:hAnsi="Arial" w:cs="Arial"/>
          <w:b/>
          <w:bCs/>
          <w:color w:val="000000" w:themeColor="text1"/>
          <w:lang w:val="en-US"/>
        </w:rPr>
      </w:pPr>
      <w:r>
        <w:rPr>
          <w:rFonts w:ascii="Arial" w:hAnsi="Arial" w:cs="Arial"/>
          <w:b/>
          <w:bCs/>
          <w:i/>
          <w:iCs/>
          <w:color w:val="000000" w:themeColor="text1"/>
        </w:rPr>
        <w:br w:type="page"/>
      </w:r>
    </w:p>
    <w:p w14:paraId="0D7DC59B" w14:textId="60E2AAB0" w:rsidR="00E61562" w:rsidRPr="00FE7FD3" w:rsidRDefault="00E61562" w:rsidP="00E61562">
      <w:pPr>
        <w:pStyle w:val="Caption"/>
        <w:keepNext/>
        <w:jc w:val="both"/>
        <w:rPr>
          <w:rFonts w:ascii="Arial" w:hAnsi="Arial" w:cs="Arial"/>
          <w:b/>
          <w:bCs/>
          <w:i w:val="0"/>
          <w:iCs w:val="0"/>
          <w:color w:val="000000" w:themeColor="text1"/>
          <w:sz w:val="24"/>
          <w:szCs w:val="24"/>
        </w:rPr>
      </w:pPr>
      <w:r w:rsidRPr="00FE7FD3">
        <w:rPr>
          <w:rFonts w:ascii="Arial" w:hAnsi="Arial" w:cs="Arial"/>
          <w:b/>
          <w:bCs/>
          <w:i w:val="0"/>
          <w:iCs w:val="0"/>
          <w:color w:val="000000" w:themeColor="text1"/>
          <w:sz w:val="24"/>
          <w:szCs w:val="24"/>
        </w:rPr>
        <w:lastRenderedPageBreak/>
        <w:t>eTable2. One year probability (%) of adverse events, retrieved from NICE</w:t>
      </w:r>
      <w:r w:rsidRPr="00FE7FD3">
        <w:rPr>
          <w:rFonts w:ascii="Arial" w:hAnsi="Arial" w:cs="Arial"/>
          <w:b/>
          <w:bCs/>
          <w:i w:val="0"/>
          <w:iCs w:val="0"/>
          <w:color w:val="000000" w:themeColor="text1"/>
          <w:sz w:val="24"/>
          <w:szCs w:val="24"/>
        </w:rPr>
        <w:fldChar w:fldCharType="begin"/>
      </w:r>
      <w:r w:rsidRPr="00FE7FD3">
        <w:rPr>
          <w:rFonts w:ascii="Arial" w:hAnsi="Arial" w:cs="Arial"/>
          <w:b/>
          <w:bCs/>
          <w:i w:val="0"/>
          <w:iCs w:val="0"/>
          <w:color w:val="000000" w:themeColor="text1"/>
          <w:sz w:val="24"/>
          <w:szCs w:val="24"/>
        </w:rPr>
        <w:instrText xml:space="preserve"> ADDIN ZOTERO_ITEM CSL_CITATION {"citationID":"8trEpcLR","properties":{"formattedCitation":"(2)","plainCitation":"(2)","noteIndex":0},"citationItems":[{"id":910,"uris":["http://zotero.org/users/local/qnIpXHeo/items/M4K2DEY2"],"itemData":{"id":910,"type":"document","title":"Macula degeneration Appendix G: Network meta-analysis","author":[{"family":"NICE","given":""}],"issued":{"date-parts":[["2018"]]}}}],"schema":"https://github.com/citation-style-language/schema/raw/master/csl-citation.json"} </w:instrText>
      </w:r>
      <w:r w:rsidRPr="00FE7FD3">
        <w:rPr>
          <w:rFonts w:ascii="Arial" w:hAnsi="Arial" w:cs="Arial"/>
          <w:b/>
          <w:bCs/>
          <w:i w:val="0"/>
          <w:iCs w:val="0"/>
          <w:color w:val="000000" w:themeColor="text1"/>
          <w:sz w:val="24"/>
          <w:szCs w:val="24"/>
        </w:rPr>
        <w:fldChar w:fldCharType="separate"/>
      </w:r>
      <w:r w:rsidRPr="00FE7FD3">
        <w:rPr>
          <w:rFonts w:ascii="Arial" w:hAnsi="Arial" w:cs="Arial"/>
          <w:b/>
          <w:bCs/>
          <w:i w:val="0"/>
          <w:iCs w:val="0"/>
          <w:color w:val="000000"/>
          <w:sz w:val="24"/>
          <w:lang w:val="en-GB"/>
        </w:rPr>
        <w:t>(2)</w:t>
      </w:r>
      <w:r w:rsidRPr="00FE7FD3">
        <w:rPr>
          <w:rFonts w:ascii="Arial" w:hAnsi="Arial" w:cs="Arial"/>
          <w:b/>
          <w:bCs/>
          <w:i w:val="0"/>
          <w:iCs w:val="0"/>
          <w:color w:val="000000" w:themeColor="text1"/>
          <w:sz w:val="24"/>
          <w:szCs w:val="24"/>
        </w:rPr>
        <w:fldChar w:fldCharType="end"/>
      </w:r>
      <w:r w:rsidRPr="00FE7FD3">
        <w:rPr>
          <w:rFonts w:ascii="Arial" w:hAnsi="Arial" w:cs="Arial"/>
          <w:b/>
          <w:bCs/>
          <w:i w:val="0"/>
          <w:iCs w:val="0"/>
          <w:color w:val="000000" w:themeColor="text1"/>
          <w:sz w:val="24"/>
          <w:szCs w:val="24"/>
        </w:rPr>
        <w:t xml:space="preserve"> and Solomon et al.</w:t>
      </w:r>
      <w:r w:rsidRPr="00FE7FD3">
        <w:rPr>
          <w:rFonts w:ascii="Arial" w:hAnsi="Arial" w:cs="Arial"/>
          <w:b/>
          <w:bCs/>
          <w:i w:val="0"/>
          <w:iCs w:val="0"/>
          <w:color w:val="000000" w:themeColor="text1"/>
          <w:sz w:val="24"/>
          <w:szCs w:val="24"/>
        </w:rPr>
        <w:fldChar w:fldCharType="begin"/>
      </w:r>
      <w:r w:rsidRPr="00FE7FD3">
        <w:rPr>
          <w:rFonts w:ascii="Arial" w:hAnsi="Arial" w:cs="Arial"/>
          <w:b/>
          <w:bCs/>
          <w:i w:val="0"/>
          <w:iCs w:val="0"/>
          <w:color w:val="000000" w:themeColor="text1"/>
          <w:sz w:val="24"/>
          <w:szCs w:val="24"/>
        </w:rPr>
        <w:instrText xml:space="preserve"> ADDIN ZOTERO_ITEM CSL_CITATION {"citationID":"Nm3uK4Lk","properties":{"formattedCitation":"(3)","plainCitation":"(3)","noteIndex":0},"citationItems":[{"id":1107,"uris":["http://zotero.org/users/local/qnIpXHeo/items/K74LYJ5V"],"itemData":{"id":1107,"type":"article-journal","container-title":"Cochrane Database of Systematic Reviews","DOI":"10.1002/14651858.CD005139.pub3","ISSN":"1465-1858","issue":"8","language":"en","note":"publisher: John Wiley &amp; Sons, Ltd","source":"www.cochranelibrary.com","title":"Anti</w:instrText>
      </w:r>
      <w:r w:rsidRPr="00FE7FD3">
        <w:rPr>
          <w:rFonts w:ascii="Cambria Math" w:hAnsi="Cambria Math" w:cs="Cambria Math"/>
          <w:b/>
          <w:bCs/>
          <w:i w:val="0"/>
          <w:iCs w:val="0"/>
          <w:color w:val="000000" w:themeColor="text1"/>
          <w:sz w:val="24"/>
          <w:szCs w:val="24"/>
        </w:rPr>
        <w:instrText>‐</w:instrText>
      </w:r>
      <w:r w:rsidRPr="00FE7FD3">
        <w:rPr>
          <w:rFonts w:ascii="Arial" w:hAnsi="Arial" w:cs="Arial"/>
          <w:b/>
          <w:bCs/>
          <w:i w:val="0"/>
          <w:iCs w:val="0"/>
          <w:color w:val="000000" w:themeColor="text1"/>
          <w:sz w:val="24"/>
          <w:szCs w:val="24"/>
        </w:rPr>
        <w:instrText>vascular endothelial growth factor for neovascular age</w:instrText>
      </w:r>
      <w:r w:rsidRPr="00FE7FD3">
        <w:rPr>
          <w:rFonts w:ascii="Cambria Math" w:hAnsi="Cambria Math" w:cs="Cambria Math"/>
          <w:b/>
          <w:bCs/>
          <w:i w:val="0"/>
          <w:iCs w:val="0"/>
          <w:color w:val="000000" w:themeColor="text1"/>
          <w:sz w:val="24"/>
          <w:szCs w:val="24"/>
        </w:rPr>
        <w:instrText>‐</w:instrText>
      </w:r>
      <w:r w:rsidRPr="00FE7FD3">
        <w:rPr>
          <w:rFonts w:ascii="Arial" w:hAnsi="Arial" w:cs="Arial"/>
          <w:b/>
          <w:bCs/>
          <w:i w:val="0"/>
          <w:iCs w:val="0"/>
          <w:color w:val="000000" w:themeColor="text1"/>
          <w:sz w:val="24"/>
          <w:szCs w:val="24"/>
        </w:rPr>
        <w:instrText xml:space="preserve">related macular degeneration","URL":"https://www.cochranelibrary.com/cdsr/doi/10.1002/14651858.CD005139.pub3/full","author":[{"family":"Solomon","given":"Sharon D."},{"family":"Lindsley","given":"Kristina"},{"family":"Vedula","given":"Satyanarayana S."},{"family":"Krzystolik","given":"Magdalena G."},{"family":"Hawkins","given":"Barbara S."}],"accessed":{"date-parts":[["2024",4,3]]},"issued":{"date-parts":[["2014"]]}}}],"schema":"https://github.com/citation-style-language/schema/raw/master/csl-citation.json"} </w:instrText>
      </w:r>
      <w:r w:rsidRPr="00FE7FD3">
        <w:rPr>
          <w:rFonts w:ascii="Arial" w:hAnsi="Arial" w:cs="Arial"/>
          <w:b/>
          <w:bCs/>
          <w:i w:val="0"/>
          <w:iCs w:val="0"/>
          <w:color w:val="000000" w:themeColor="text1"/>
          <w:sz w:val="24"/>
          <w:szCs w:val="24"/>
        </w:rPr>
        <w:fldChar w:fldCharType="separate"/>
      </w:r>
      <w:r w:rsidRPr="00FE7FD3">
        <w:rPr>
          <w:rFonts w:ascii="Arial" w:hAnsi="Arial" w:cs="Arial"/>
          <w:b/>
          <w:bCs/>
          <w:i w:val="0"/>
          <w:iCs w:val="0"/>
          <w:color w:val="000000"/>
          <w:sz w:val="24"/>
          <w:lang w:val="en-GB"/>
        </w:rPr>
        <w:t>(3)</w:t>
      </w:r>
      <w:r w:rsidRPr="00FE7FD3">
        <w:rPr>
          <w:rFonts w:ascii="Arial" w:hAnsi="Arial" w:cs="Arial"/>
          <w:b/>
          <w:bCs/>
          <w:i w:val="0"/>
          <w:iCs w:val="0"/>
          <w:color w:val="000000" w:themeColor="text1"/>
          <w:sz w:val="24"/>
          <w:szCs w:val="24"/>
        </w:rPr>
        <w:fldChar w:fldCharType="end"/>
      </w:r>
      <w:r w:rsidRPr="00FE7FD3">
        <w:rPr>
          <w:rFonts w:ascii="Arial" w:hAnsi="Arial" w:cs="Arial"/>
          <w:b/>
          <w:bCs/>
          <w:i w:val="0"/>
          <w:iCs w:val="0"/>
          <w:color w:val="000000" w:themeColor="text1"/>
          <w:sz w:val="24"/>
          <w:szCs w:val="24"/>
        </w:rPr>
        <w:t xml:space="preserve"> for aflibercept, and retrieved from the Archway phase 3 trial</w:t>
      </w:r>
      <w:r w:rsidRPr="00FE7FD3">
        <w:rPr>
          <w:rFonts w:ascii="Arial" w:hAnsi="Arial" w:cs="Arial"/>
          <w:b/>
          <w:bCs/>
          <w:i w:val="0"/>
          <w:iCs w:val="0"/>
          <w:color w:val="000000" w:themeColor="text1"/>
          <w:sz w:val="24"/>
          <w:szCs w:val="24"/>
        </w:rPr>
        <w:fldChar w:fldCharType="begin"/>
      </w:r>
      <w:r w:rsidRPr="00FE7FD3">
        <w:rPr>
          <w:rFonts w:ascii="Arial" w:hAnsi="Arial" w:cs="Arial"/>
          <w:b/>
          <w:bCs/>
          <w:i w:val="0"/>
          <w:iCs w:val="0"/>
          <w:color w:val="000000" w:themeColor="text1"/>
          <w:sz w:val="24"/>
          <w:szCs w:val="24"/>
        </w:rPr>
        <w:instrText xml:space="preserve"> ADDIN ZOTERO_ITEM CSL_CITATION {"citationID":"F7F7W24X","properties":{"formattedCitation":"(4)","plainCitation":"(4)","noteIndex":0},"citationItems":[{"id":26,"uris":["http://zotero.org/users/local/qnIpXHeo/items/SP5B4LER"],"itemData":{"id":26,"type":"article-journal","abstract":"PURPOSE: To report 2-year results from the Archway clinical trial of the Port Delivery System with ranibizumab (PDS) for treatment of neovascular age-related macular degeneration (nAMD).\nDESIGN: Phase 3, randomized, multicenter, open-label, active-comparator-controlled trial.\nPARTICIPANTS: Patients with previously treated nAMD diagnosed within 9 months of screening and responsive to anti-vascular endothelial growth factor therapy.\nMETHODS: Patients were randomized 3:2 to PDS with ranibizumab 100 mg/ml with fixed refill-exchanges every 24 weeks (PDS Q24W) or intravitreal ranibizumab 0.5 mg injections every 4 weeks (monthly ranibizumab). Patients were followed through 4 complete refill-exchange intervals (</w:instrText>
      </w:r>
      <w:r w:rsidRPr="00FE7FD3">
        <w:rPr>
          <w:rFonts w:ascii="Cambria Math" w:hAnsi="Cambria Math" w:cs="Cambria Math"/>
          <w:b/>
          <w:bCs/>
          <w:i w:val="0"/>
          <w:iCs w:val="0"/>
          <w:color w:val="000000" w:themeColor="text1"/>
          <w:sz w:val="24"/>
          <w:szCs w:val="24"/>
        </w:rPr>
        <w:instrText>∼</w:instrText>
      </w:r>
      <w:r w:rsidRPr="00FE7FD3">
        <w:rPr>
          <w:rFonts w:ascii="Arial" w:hAnsi="Arial" w:cs="Arial"/>
          <w:b/>
          <w:bCs/>
          <w:i w:val="0"/>
          <w:iCs w:val="0"/>
          <w:color w:val="000000" w:themeColor="text1"/>
          <w:sz w:val="24"/>
          <w:szCs w:val="24"/>
        </w:rPr>
        <w:instrText xml:space="preserve">2 years).\nMAIN OUTCOME MEASURES: Change in best-corrected visual acuity (BCVA) Early Treatment Diabetic Retinopathy Study (ETDRS) letter score from baseline averaged over weeks 44 and 48, weeks 60 and 64, and weeks 88 and 92 (noninferiority margin, -3.9 ETDRS letters).\nRESULTS: The PDS Q24W was noninferior to monthly ranibizumab, with differences in adjusted mean change in BCVA score from baseline averaged over weeks 44/48, 60/64 and 88/92 of -0.2 (95% confidence interval [CI], -1.8 to +1.3), +0.4 (95% CI, -1.4 to +2.1) and -0.6 ETDRS letters (95% CI, -2.5 to +1.3), respectively. Anatomic outcomes were generally comparable between arms through week 96. Through each of 4 PDS refill-exchange intervals, 98.4%, 94.6%, 94.8%, and 94.7% of PDS Q24W patients assessed did not receive supplemental ranibizumab treatment. The PDS ocular safety profile was generally unchanged from primary analysis. Prespecified ocular adverse events of special interest (AESI) were reported in 59 (23.8%) PDS and 17 (10.2%) monthly ranibizumab patients. The most common AESI reported in both arms was cataract (PDS Q24W, 22 [8.9%]; monthly ranibizumab, 10 [6.0%]). Events in the PDS Q24W arm included (patient incidence) 10 (4.0%) conjunctival erosions, 6 (2.4%) conjunctival retractions, 4 (1.6%) endophthalmitis cases, and 4 (1.6%) implant dislocations. Serum ranibizumab sampling showed that the PDS continuously released ranibizumab over the 24-week refill-exchange interval and ranibizumab serum concentrations were within the range experienced with monthly ranibizumab.\nCONCLUSIONS: The PDS Q24W showed noninferior efficacy to monthly ranibizumab through approximately 2 years, with approximately 95% of PDS Q24W patients not receiving supplemental ranibizumab treatment in each refill-exchange interval. The AESIs were generally manageable, with learnings continually implemented to minimize PDS-related AEs.\nFINANCIAL DISCLOSURE(S): Proprietary or commercial disclosure may be found after the references.","container-title":"Ophthalmology","DOI":"10.1016/j.ophtha.2023.02.024","ISSN":"1549-4713","issue":"7","journalAbbreviation":"Ophthalmology","language":"eng","note":"PMID: 36870451","page":"735-747","source":"PubMed","title":"Archway Phase 3 Trial of the Port Delivery System with Ranibizumab for Neovascular Age-Related Macular Degeneration 2-Year Results","volume":"130","author":[{"family":"Regillo","given":"Carl"},{"family":"Berger","given":"Brian"},{"family":"Brooks","given":"Logan"},{"family":"Clark","given":"W. Lloyd"},{"family":"Mittra","given":"Robert"},{"family":"Wykoff","given":"Charles C."},{"family":"Callaway","given":"Natalia F."},{"family":"DeGraaf","given":"Stephanie"},{"family":"Ding","given":"Han Ting"},{"family":"Fung","given":"Anne E."},{"family":"Gune","given":"Shamika"},{"family":"Le Pogam","given":"Sophie"},{"family":"Smith","given":"Robert"},{"family":"Willis","given":"Jeffrey R."},{"family":"Barteselli","given":"Giulio"}],"issued":{"date-parts":[["2023",7]]}}}],"schema":"https://github.com/citation-style-language/schema/raw/master/csl-citation.json"} </w:instrText>
      </w:r>
      <w:r w:rsidRPr="00FE7FD3">
        <w:rPr>
          <w:rFonts w:ascii="Arial" w:hAnsi="Arial" w:cs="Arial"/>
          <w:b/>
          <w:bCs/>
          <w:i w:val="0"/>
          <w:iCs w:val="0"/>
          <w:color w:val="000000" w:themeColor="text1"/>
          <w:sz w:val="24"/>
          <w:szCs w:val="24"/>
        </w:rPr>
        <w:fldChar w:fldCharType="separate"/>
      </w:r>
      <w:r w:rsidRPr="00FE7FD3">
        <w:rPr>
          <w:rFonts w:ascii="Arial" w:hAnsi="Arial" w:cs="Arial"/>
          <w:b/>
          <w:bCs/>
          <w:i w:val="0"/>
          <w:iCs w:val="0"/>
          <w:color w:val="000000"/>
          <w:sz w:val="24"/>
          <w:lang w:val="en-GB"/>
        </w:rPr>
        <w:t>(4)</w:t>
      </w:r>
      <w:r w:rsidRPr="00FE7FD3">
        <w:rPr>
          <w:rFonts w:ascii="Arial" w:hAnsi="Arial" w:cs="Arial"/>
          <w:b/>
          <w:bCs/>
          <w:i w:val="0"/>
          <w:iCs w:val="0"/>
          <w:color w:val="000000" w:themeColor="text1"/>
          <w:sz w:val="24"/>
          <w:szCs w:val="24"/>
        </w:rPr>
        <w:fldChar w:fldCharType="end"/>
      </w:r>
      <w:r w:rsidRPr="00FE7FD3">
        <w:rPr>
          <w:rFonts w:ascii="Arial" w:hAnsi="Arial" w:cs="Arial"/>
          <w:b/>
          <w:bCs/>
          <w:i w:val="0"/>
          <w:iCs w:val="0"/>
          <w:color w:val="000000" w:themeColor="text1"/>
          <w:sz w:val="24"/>
          <w:szCs w:val="24"/>
        </w:rPr>
        <w:t xml:space="preserve"> for the PDP. </w:t>
      </w:r>
    </w:p>
    <w:tbl>
      <w:tblPr>
        <w:tblStyle w:val="TableGridLight"/>
        <w:tblpPr w:leftFromText="180" w:rightFromText="180" w:vertAnchor="text" w:horzAnchor="margin" w:tblpXSpec="center" w:tblpY="185"/>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1134"/>
        <w:gridCol w:w="1701"/>
        <w:gridCol w:w="1276"/>
        <w:gridCol w:w="1701"/>
      </w:tblGrid>
      <w:tr w:rsidR="00E61562" w:rsidRPr="0030308C" w14:paraId="18724D65" w14:textId="77777777" w:rsidTr="000E0C52">
        <w:tc>
          <w:tcPr>
            <w:tcW w:w="4536" w:type="dxa"/>
            <w:tcBorders>
              <w:bottom w:val="single" w:sz="4" w:space="0" w:color="auto"/>
              <w:right w:val="single" w:sz="4" w:space="0" w:color="auto"/>
            </w:tcBorders>
          </w:tcPr>
          <w:p w14:paraId="2D1294F7" w14:textId="77777777" w:rsidR="00E61562" w:rsidRPr="0030308C" w:rsidRDefault="00E61562" w:rsidP="000E0C52">
            <w:pPr>
              <w:jc w:val="both"/>
              <w:rPr>
                <w:rFonts w:ascii="Arial" w:hAnsi="Arial" w:cs="Arial"/>
                <w:b/>
                <w:bCs/>
                <w:color w:val="000000" w:themeColor="text1"/>
                <w:sz w:val="20"/>
                <w:szCs w:val="20"/>
              </w:rPr>
            </w:pPr>
            <w:r w:rsidRPr="0030308C">
              <w:rPr>
                <w:rFonts w:ascii="Arial" w:hAnsi="Arial" w:cs="Arial"/>
                <w:b/>
                <w:bCs/>
                <w:color w:val="000000" w:themeColor="text1"/>
                <w:sz w:val="20"/>
                <w:szCs w:val="20"/>
              </w:rPr>
              <w:t>Adverse event</w:t>
            </w:r>
          </w:p>
        </w:tc>
        <w:tc>
          <w:tcPr>
            <w:tcW w:w="1134" w:type="dxa"/>
            <w:tcBorders>
              <w:left w:val="single" w:sz="4" w:space="0" w:color="auto"/>
              <w:bottom w:val="single" w:sz="4" w:space="0" w:color="auto"/>
            </w:tcBorders>
          </w:tcPr>
          <w:p w14:paraId="3CE99069" w14:textId="77777777" w:rsidR="00E61562" w:rsidRPr="0030308C" w:rsidRDefault="00E61562" w:rsidP="000E0C52">
            <w:pPr>
              <w:jc w:val="center"/>
              <w:rPr>
                <w:rFonts w:ascii="Arial" w:hAnsi="Arial" w:cs="Arial"/>
                <w:b/>
                <w:bCs/>
                <w:color w:val="000000" w:themeColor="text1"/>
                <w:sz w:val="20"/>
                <w:szCs w:val="20"/>
              </w:rPr>
            </w:pPr>
            <w:r w:rsidRPr="0030308C">
              <w:rPr>
                <w:rFonts w:ascii="Arial" w:hAnsi="Arial" w:cs="Arial"/>
                <w:b/>
                <w:bCs/>
                <w:color w:val="000000" w:themeColor="text1"/>
                <w:sz w:val="20"/>
                <w:szCs w:val="20"/>
              </w:rPr>
              <w:t>PDP year 1</w:t>
            </w:r>
          </w:p>
        </w:tc>
        <w:tc>
          <w:tcPr>
            <w:tcW w:w="1701" w:type="dxa"/>
            <w:tcBorders>
              <w:bottom w:val="single" w:sz="4" w:space="0" w:color="auto"/>
            </w:tcBorders>
          </w:tcPr>
          <w:p w14:paraId="6755ED53" w14:textId="77777777" w:rsidR="00E61562" w:rsidRPr="0030308C" w:rsidRDefault="00E61562" w:rsidP="000E0C52">
            <w:pPr>
              <w:jc w:val="center"/>
              <w:rPr>
                <w:rFonts w:ascii="Arial" w:hAnsi="Arial" w:cs="Arial"/>
                <w:b/>
                <w:bCs/>
                <w:color w:val="000000" w:themeColor="text1"/>
                <w:sz w:val="20"/>
                <w:szCs w:val="20"/>
              </w:rPr>
            </w:pPr>
            <w:r w:rsidRPr="0030308C">
              <w:rPr>
                <w:rFonts w:ascii="Arial" w:hAnsi="Arial" w:cs="Arial"/>
                <w:b/>
                <w:bCs/>
                <w:color w:val="000000" w:themeColor="text1"/>
                <w:sz w:val="20"/>
                <w:szCs w:val="20"/>
              </w:rPr>
              <w:t>Aflibercept year 1</w:t>
            </w:r>
          </w:p>
        </w:tc>
        <w:tc>
          <w:tcPr>
            <w:tcW w:w="1276" w:type="dxa"/>
            <w:tcBorders>
              <w:bottom w:val="single" w:sz="4" w:space="0" w:color="auto"/>
            </w:tcBorders>
          </w:tcPr>
          <w:p w14:paraId="667E798B" w14:textId="77777777" w:rsidR="00E61562" w:rsidRPr="0030308C" w:rsidRDefault="00E61562" w:rsidP="000E0C52">
            <w:pPr>
              <w:jc w:val="center"/>
              <w:rPr>
                <w:rFonts w:ascii="Arial" w:hAnsi="Arial" w:cs="Arial"/>
                <w:b/>
                <w:bCs/>
                <w:color w:val="000000" w:themeColor="text1"/>
                <w:sz w:val="20"/>
                <w:szCs w:val="20"/>
              </w:rPr>
            </w:pPr>
            <w:r w:rsidRPr="0030308C">
              <w:rPr>
                <w:rFonts w:ascii="Arial" w:hAnsi="Arial" w:cs="Arial"/>
                <w:b/>
                <w:bCs/>
                <w:color w:val="000000" w:themeColor="text1"/>
                <w:sz w:val="20"/>
                <w:szCs w:val="20"/>
              </w:rPr>
              <w:t>PDP years 2+</w:t>
            </w:r>
          </w:p>
        </w:tc>
        <w:tc>
          <w:tcPr>
            <w:tcW w:w="1701" w:type="dxa"/>
            <w:tcBorders>
              <w:bottom w:val="single" w:sz="4" w:space="0" w:color="auto"/>
            </w:tcBorders>
          </w:tcPr>
          <w:p w14:paraId="1D09B505" w14:textId="77777777" w:rsidR="00E61562" w:rsidRPr="0030308C" w:rsidRDefault="00E61562" w:rsidP="000E0C52">
            <w:pPr>
              <w:jc w:val="center"/>
              <w:rPr>
                <w:rFonts w:ascii="Arial" w:hAnsi="Arial" w:cs="Arial"/>
                <w:b/>
                <w:bCs/>
                <w:color w:val="000000" w:themeColor="text1"/>
                <w:sz w:val="20"/>
                <w:szCs w:val="20"/>
              </w:rPr>
            </w:pPr>
            <w:r w:rsidRPr="0030308C">
              <w:rPr>
                <w:rFonts w:ascii="Arial" w:hAnsi="Arial" w:cs="Arial"/>
                <w:b/>
                <w:bCs/>
                <w:color w:val="000000" w:themeColor="text1"/>
                <w:sz w:val="20"/>
                <w:szCs w:val="20"/>
              </w:rPr>
              <w:t>Aflibercept years 2+</w:t>
            </w:r>
          </w:p>
        </w:tc>
      </w:tr>
      <w:tr w:rsidR="00E61562" w:rsidRPr="0030308C" w14:paraId="58958763" w14:textId="77777777" w:rsidTr="000E0C52">
        <w:tc>
          <w:tcPr>
            <w:tcW w:w="4536" w:type="dxa"/>
            <w:tcBorders>
              <w:top w:val="single" w:sz="4" w:space="0" w:color="auto"/>
              <w:right w:val="single" w:sz="4" w:space="0" w:color="auto"/>
            </w:tcBorders>
          </w:tcPr>
          <w:p w14:paraId="740FE797"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Conjunctival bleb or conjunctival filtering bleb leak</w:t>
            </w:r>
          </w:p>
        </w:tc>
        <w:tc>
          <w:tcPr>
            <w:tcW w:w="1134" w:type="dxa"/>
            <w:tcBorders>
              <w:top w:val="single" w:sz="4" w:space="0" w:color="auto"/>
              <w:left w:val="single" w:sz="4" w:space="0" w:color="auto"/>
            </w:tcBorders>
          </w:tcPr>
          <w:p w14:paraId="21348C23"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5.6%</w:t>
            </w:r>
          </w:p>
        </w:tc>
        <w:tc>
          <w:tcPr>
            <w:tcW w:w="1701" w:type="dxa"/>
            <w:tcBorders>
              <w:top w:val="single" w:sz="4" w:space="0" w:color="auto"/>
            </w:tcBorders>
          </w:tcPr>
          <w:p w14:paraId="77F0CCFD" w14:textId="77777777" w:rsidR="00E61562" w:rsidRPr="0030308C" w:rsidRDefault="00E61562" w:rsidP="000E0C52">
            <w:pPr>
              <w:jc w:val="center"/>
              <w:rPr>
                <w:rFonts w:ascii="Arial" w:hAnsi="Arial" w:cs="Arial"/>
                <w:color w:val="000000" w:themeColor="text1"/>
                <w:sz w:val="20"/>
                <w:szCs w:val="20"/>
              </w:rPr>
            </w:pPr>
          </w:p>
        </w:tc>
        <w:tc>
          <w:tcPr>
            <w:tcW w:w="1276" w:type="dxa"/>
            <w:tcBorders>
              <w:top w:val="single" w:sz="4" w:space="0" w:color="auto"/>
            </w:tcBorders>
          </w:tcPr>
          <w:p w14:paraId="6BF5018A"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1.5%</w:t>
            </w:r>
          </w:p>
        </w:tc>
        <w:tc>
          <w:tcPr>
            <w:tcW w:w="1701" w:type="dxa"/>
            <w:tcBorders>
              <w:top w:val="single" w:sz="4" w:space="0" w:color="auto"/>
            </w:tcBorders>
          </w:tcPr>
          <w:p w14:paraId="31490019" w14:textId="77777777" w:rsidR="00E61562" w:rsidRPr="0030308C" w:rsidRDefault="00E61562" w:rsidP="000E0C52">
            <w:pPr>
              <w:jc w:val="center"/>
              <w:rPr>
                <w:rFonts w:ascii="Arial" w:hAnsi="Arial" w:cs="Arial"/>
                <w:color w:val="000000" w:themeColor="text1"/>
                <w:sz w:val="20"/>
                <w:szCs w:val="20"/>
              </w:rPr>
            </w:pPr>
          </w:p>
        </w:tc>
      </w:tr>
      <w:tr w:rsidR="00E61562" w:rsidRPr="0030308C" w14:paraId="639F635A" w14:textId="77777777" w:rsidTr="000E0C52">
        <w:tc>
          <w:tcPr>
            <w:tcW w:w="4536" w:type="dxa"/>
            <w:tcBorders>
              <w:right w:val="single" w:sz="4" w:space="0" w:color="auto"/>
            </w:tcBorders>
          </w:tcPr>
          <w:p w14:paraId="7B77C5AA"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Vitreous hemorrhage, any grade</w:t>
            </w:r>
          </w:p>
        </w:tc>
        <w:tc>
          <w:tcPr>
            <w:tcW w:w="1134" w:type="dxa"/>
            <w:tcBorders>
              <w:left w:val="single" w:sz="4" w:space="0" w:color="auto"/>
            </w:tcBorders>
          </w:tcPr>
          <w:p w14:paraId="3CE70FC2"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5.2%</w:t>
            </w:r>
          </w:p>
        </w:tc>
        <w:tc>
          <w:tcPr>
            <w:tcW w:w="1701" w:type="dxa"/>
          </w:tcPr>
          <w:p w14:paraId="075448D7" w14:textId="77777777" w:rsidR="00E61562" w:rsidRPr="0030308C" w:rsidRDefault="00E61562" w:rsidP="000E0C52">
            <w:pPr>
              <w:jc w:val="center"/>
              <w:rPr>
                <w:rFonts w:ascii="Arial" w:hAnsi="Arial" w:cs="Arial"/>
                <w:color w:val="000000" w:themeColor="text1"/>
                <w:sz w:val="20"/>
                <w:szCs w:val="20"/>
              </w:rPr>
            </w:pPr>
          </w:p>
        </w:tc>
        <w:tc>
          <w:tcPr>
            <w:tcW w:w="1276" w:type="dxa"/>
          </w:tcPr>
          <w:p w14:paraId="477B1EE5"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0.6%</w:t>
            </w:r>
          </w:p>
        </w:tc>
        <w:tc>
          <w:tcPr>
            <w:tcW w:w="1701" w:type="dxa"/>
          </w:tcPr>
          <w:p w14:paraId="595D1945" w14:textId="77777777" w:rsidR="00E61562" w:rsidRPr="0030308C" w:rsidRDefault="00E61562" w:rsidP="000E0C52">
            <w:pPr>
              <w:jc w:val="center"/>
              <w:rPr>
                <w:rFonts w:ascii="Arial" w:hAnsi="Arial" w:cs="Arial"/>
                <w:color w:val="000000" w:themeColor="text1"/>
                <w:sz w:val="20"/>
                <w:szCs w:val="20"/>
              </w:rPr>
            </w:pPr>
          </w:p>
        </w:tc>
      </w:tr>
      <w:tr w:rsidR="00E61562" w:rsidRPr="0030308C" w14:paraId="7390589A" w14:textId="77777777" w:rsidTr="000E0C52">
        <w:tc>
          <w:tcPr>
            <w:tcW w:w="4536" w:type="dxa"/>
            <w:tcBorders>
              <w:right w:val="single" w:sz="4" w:space="0" w:color="auto"/>
            </w:tcBorders>
          </w:tcPr>
          <w:p w14:paraId="74B35420"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Cataract</w:t>
            </w:r>
          </w:p>
        </w:tc>
        <w:tc>
          <w:tcPr>
            <w:tcW w:w="1134" w:type="dxa"/>
            <w:tcBorders>
              <w:left w:val="single" w:sz="4" w:space="0" w:color="auto"/>
            </w:tcBorders>
          </w:tcPr>
          <w:p w14:paraId="1EAF4710"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4.5%</w:t>
            </w:r>
          </w:p>
        </w:tc>
        <w:tc>
          <w:tcPr>
            <w:tcW w:w="1701" w:type="dxa"/>
          </w:tcPr>
          <w:p w14:paraId="4545F8D2"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0.2%</w:t>
            </w:r>
          </w:p>
        </w:tc>
        <w:tc>
          <w:tcPr>
            <w:tcW w:w="1276" w:type="dxa"/>
          </w:tcPr>
          <w:p w14:paraId="2867591F"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4.6%</w:t>
            </w:r>
          </w:p>
        </w:tc>
        <w:tc>
          <w:tcPr>
            <w:tcW w:w="1701" w:type="dxa"/>
          </w:tcPr>
          <w:p w14:paraId="1FD2C305"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0.2%</w:t>
            </w:r>
          </w:p>
        </w:tc>
      </w:tr>
      <w:tr w:rsidR="00E61562" w:rsidRPr="0030308C" w14:paraId="695A6E70" w14:textId="77777777" w:rsidTr="000E0C52">
        <w:tc>
          <w:tcPr>
            <w:tcW w:w="4536" w:type="dxa"/>
            <w:tcBorders>
              <w:right w:val="single" w:sz="4" w:space="0" w:color="auto"/>
            </w:tcBorders>
          </w:tcPr>
          <w:p w14:paraId="03A3F839"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Conjunctival erosion</w:t>
            </w:r>
          </w:p>
        </w:tc>
        <w:tc>
          <w:tcPr>
            <w:tcW w:w="1134" w:type="dxa"/>
            <w:tcBorders>
              <w:left w:val="single" w:sz="4" w:space="0" w:color="auto"/>
            </w:tcBorders>
          </w:tcPr>
          <w:p w14:paraId="447641F4"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2.1%</w:t>
            </w:r>
          </w:p>
        </w:tc>
        <w:tc>
          <w:tcPr>
            <w:tcW w:w="1701" w:type="dxa"/>
          </w:tcPr>
          <w:p w14:paraId="07CCFDAB" w14:textId="77777777" w:rsidR="00E61562" w:rsidRPr="0030308C" w:rsidRDefault="00E61562" w:rsidP="000E0C52">
            <w:pPr>
              <w:jc w:val="center"/>
              <w:rPr>
                <w:rFonts w:ascii="Arial" w:hAnsi="Arial" w:cs="Arial"/>
                <w:color w:val="000000" w:themeColor="text1"/>
                <w:sz w:val="20"/>
                <w:szCs w:val="20"/>
              </w:rPr>
            </w:pPr>
          </w:p>
        </w:tc>
        <w:tc>
          <w:tcPr>
            <w:tcW w:w="1276" w:type="dxa"/>
          </w:tcPr>
          <w:p w14:paraId="5E2C3C4C"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1.9%</w:t>
            </w:r>
          </w:p>
        </w:tc>
        <w:tc>
          <w:tcPr>
            <w:tcW w:w="1701" w:type="dxa"/>
          </w:tcPr>
          <w:p w14:paraId="62120BC5" w14:textId="77777777" w:rsidR="00E61562" w:rsidRPr="0030308C" w:rsidRDefault="00E61562" w:rsidP="000E0C52">
            <w:pPr>
              <w:jc w:val="center"/>
              <w:rPr>
                <w:rFonts w:ascii="Arial" w:hAnsi="Arial" w:cs="Arial"/>
                <w:color w:val="000000" w:themeColor="text1"/>
                <w:sz w:val="20"/>
                <w:szCs w:val="20"/>
              </w:rPr>
            </w:pPr>
          </w:p>
        </w:tc>
      </w:tr>
      <w:tr w:rsidR="00E61562" w:rsidRPr="0030308C" w14:paraId="31BE4154" w14:textId="77777777" w:rsidTr="000E0C52">
        <w:tc>
          <w:tcPr>
            <w:tcW w:w="4536" w:type="dxa"/>
            <w:tcBorders>
              <w:right w:val="single" w:sz="4" w:space="0" w:color="auto"/>
            </w:tcBorders>
          </w:tcPr>
          <w:p w14:paraId="4D4BB1C7"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Conjunctival retraction</w:t>
            </w:r>
          </w:p>
        </w:tc>
        <w:tc>
          <w:tcPr>
            <w:tcW w:w="1134" w:type="dxa"/>
            <w:tcBorders>
              <w:left w:val="single" w:sz="4" w:space="0" w:color="auto"/>
            </w:tcBorders>
          </w:tcPr>
          <w:p w14:paraId="6BEFF921"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1.3%</w:t>
            </w:r>
          </w:p>
        </w:tc>
        <w:tc>
          <w:tcPr>
            <w:tcW w:w="1701" w:type="dxa"/>
          </w:tcPr>
          <w:p w14:paraId="70355F05" w14:textId="77777777" w:rsidR="00E61562" w:rsidRPr="0030308C" w:rsidRDefault="00E61562" w:rsidP="000E0C52">
            <w:pPr>
              <w:jc w:val="center"/>
              <w:rPr>
                <w:rFonts w:ascii="Arial" w:hAnsi="Arial" w:cs="Arial"/>
                <w:color w:val="000000" w:themeColor="text1"/>
                <w:sz w:val="20"/>
                <w:szCs w:val="20"/>
              </w:rPr>
            </w:pPr>
          </w:p>
        </w:tc>
        <w:tc>
          <w:tcPr>
            <w:tcW w:w="1276" w:type="dxa"/>
          </w:tcPr>
          <w:p w14:paraId="4A8B4292"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1.0%</w:t>
            </w:r>
          </w:p>
        </w:tc>
        <w:tc>
          <w:tcPr>
            <w:tcW w:w="1701" w:type="dxa"/>
          </w:tcPr>
          <w:p w14:paraId="5B85A956" w14:textId="77777777" w:rsidR="00E61562" w:rsidRPr="0030308C" w:rsidRDefault="00E61562" w:rsidP="000E0C52">
            <w:pPr>
              <w:jc w:val="center"/>
              <w:rPr>
                <w:rFonts w:ascii="Arial" w:hAnsi="Arial" w:cs="Arial"/>
                <w:color w:val="000000" w:themeColor="text1"/>
                <w:sz w:val="20"/>
                <w:szCs w:val="20"/>
              </w:rPr>
            </w:pPr>
          </w:p>
        </w:tc>
      </w:tr>
      <w:tr w:rsidR="00E61562" w:rsidRPr="0030308C" w14:paraId="70CB6CB4" w14:textId="77777777" w:rsidTr="000E0C52">
        <w:tc>
          <w:tcPr>
            <w:tcW w:w="4536" w:type="dxa"/>
            <w:tcBorders>
              <w:right w:val="single" w:sz="4" w:space="0" w:color="auto"/>
            </w:tcBorders>
          </w:tcPr>
          <w:p w14:paraId="6ADCFB5F"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Endophthalmitis</w:t>
            </w:r>
          </w:p>
        </w:tc>
        <w:tc>
          <w:tcPr>
            <w:tcW w:w="1134" w:type="dxa"/>
            <w:tcBorders>
              <w:left w:val="single" w:sz="4" w:space="0" w:color="auto"/>
            </w:tcBorders>
          </w:tcPr>
          <w:p w14:paraId="3AA44CC5"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0.8%</w:t>
            </w:r>
          </w:p>
        </w:tc>
        <w:tc>
          <w:tcPr>
            <w:tcW w:w="1701" w:type="dxa"/>
          </w:tcPr>
          <w:p w14:paraId="4C21F290"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0.47%</w:t>
            </w:r>
          </w:p>
        </w:tc>
        <w:tc>
          <w:tcPr>
            <w:tcW w:w="1276" w:type="dxa"/>
          </w:tcPr>
          <w:p w14:paraId="4D6365B7"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0.8%</w:t>
            </w:r>
          </w:p>
        </w:tc>
        <w:tc>
          <w:tcPr>
            <w:tcW w:w="1701" w:type="dxa"/>
          </w:tcPr>
          <w:p w14:paraId="7941EA6E"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0.47%</w:t>
            </w:r>
          </w:p>
        </w:tc>
      </w:tr>
      <w:tr w:rsidR="00E61562" w:rsidRPr="0030308C" w14:paraId="0AC74D9A" w14:textId="77777777" w:rsidTr="000E0C52">
        <w:tc>
          <w:tcPr>
            <w:tcW w:w="4536" w:type="dxa"/>
            <w:tcBorders>
              <w:right w:val="single" w:sz="4" w:space="0" w:color="auto"/>
            </w:tcBorders>
          </w:tcPr>
          <w:p w14:paraId="47162110"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Retinal detachment (Rhegmatogenous)</w:t>
            </w:r>
          </w:p>
        </w:tc>
        <w:tc>
          <w:tcPr>
            <w:tcW w:w="1134" w:type="dxa"/>
            <w:tcBorders>
              <w:left w:val="single" w:sz="4" w:space="0" w:color="auto"/>
            </w:tcBorders>
          </w:tcPr>
          <w:p w14:paraId="36FF3D67"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0.6%</w:t>
            </w:r>
          </w:p>
        </w:tc>
        <w:tc>
          <w:tcPr>
            <w:tcW w:w="1701" w:type="dxa"/>
          </w:tcPr>
          <w:p w14:paraId="78E3630B"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0.1%</w:t>
            </w:r>
          </w:p>
        </w:tc>
        <w:tc>
          <w:tcPr>
            <w:tcW w:w="1276" w:type="dxa"/>
          </w:tcPr>
          <w:p w14:paraId="465B99E7"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0.2%</w:t>
            </w:r>
          </w:p>
        </w:tc>
        <w:tc>
          <w:tcPr>
            <w:tcW w:w="1701" w:type="dxa"/>
          </w:tcPr>
          <w:p w14:paraId="432C04F7"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0.1%</w:t>
            </w:r>
          </w:p>
        </w:tc>
      </w:tr>
      <w:tr w:rsidR="00E61562" w:rsidRPr="0030308C" w14:paraId="691ED764" w14:textId="77777777" w:rsidTr="000E0C52">
        <w:tc>
          <w:tcPr>
            <w:tcW w:w="4536" w:type="dxa"/>
            <w:tcBorders>
              <w:right w:val="single" w:sz="4" w:space="0" w:color="auto"/>
            </w:tcBorders>
          </w:tcPr>
          <w:p w14:paraId="1AF8C691" w14:textId="77777777" w:rsidR="00E61562" w:rsidRPr="0030308C" w:rsidRDefault="00E61562" w:rsidP="000E0C52">
            <w:pPr>
              <w:rPr>
                <w:rFonts w:ascii="Arial" w:hAnsi="Arial" w:cs="Arial"/>
                <w:color w:val="000000" w:themeColor="text1"/>
                <w:sz w:val="20"/>
                <w:szCs w:val="20"/>
              </w:rPr>
            </w:pPr>
            <w:proofErr w:type="spellStart"/>
            <w:r w:rsidRPr="0030308C">
              <w:rPr>
                <w:rFonts w:ascii="Arial" w:hAnsi="Arial" w:cs="Arial"/>
                <w:color w:val="000000" w:themeColor="text1"/>
                <w:sz w:val="20"/>
                <w:szCs w:val="20"/>
              </w:rPr>
              <w:t>Hyphema</w:t>
            </w:r>
            <w:proofErr w:type="spellEnd"/>
          </w:p>
        </w:tc>
        <w:tc>
          <w:tcPr>
            <w:tcW w:w="1134" w:type="dxa"/>
            <w:tcBorders>
              <w:left w:val="single" w:sz="4" w:space="0" w:color="auto"/>
            </w:tcBorders>
          </w:tcPr>
          <w:p w14:paraId="54E6764D"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0.4%</w:t>
            </w:r>
          </w:p>
        </w:tc>
        <w:tc>
          <w:tcPr>
            <w:tcW w:w="1701" w:type="dxa"/>
          </w:tcPr>
          <w:p w14:paraId="285548B5" w14:textId="77777777" w:rsidR="00E61562" w:rsidRPr="0030308C" w:rsidRDefault="00E61562" w:rsidP="000E0C52">
            <w:pPr>
              <w:jc w:val="center"/>
              <w:rPr>
                <w:rFonts w:ascii="Arial" w:hAnsi="Arial" w:cs="Arial"/>
                <w:color w:val="000000" w:themeColor="text1"/>
                <w:sz w:val="20"/>
                <w:szCs w:val="20"/>
              </w:rPr>
            </w:pPr>
          </w:p>
        </w:tc>
        <w:tc>
          <w:tcPr>
            <w:tcW w:w="1276" w:type="dxa"/>
          </w:tcPr>
          <w:p w14:paraId="6AD30E56"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w:t>
            </w:r>
          </w:p>
        </w:tc>
        <w:tc>
          <w:tcPr>
            <w:tcW w:w="1701" w:type="dxa"/>
          </w:tcPr>
          <w:p w14:paraId="3DD9D721" w14:textId="77777777" w:rsidR="00E61562" w:rsidRPr="0030308C" w:rsidRDefault="00E61562" w:rsidP="000E0C52">
            <w:pPr>
              <w:jc w:val="center"/>
              <w:rPr>
                <w:rFonts w:ascii="Arial" w:hAnsi="Arial" w:cs="Arial"/>
                <w:color w:val="000000" w:themeColor="text1"/>
                <w:sz w:val="20"/>
                <w:szCs w:val="20"/>
              </w:rPr>
            </w:pPr>
          </w:p>
        </w:tc>
      </w:tr>
      <w:tr w:rsidR="00E61562" w:rsidRPr="0030308C" w14:paraId="5CD53321" w14:textId="77777777" w:rsidTr="000E0C52">
        <w:tc>
          <w:tcPr>
            <w:tcW w:w="4536" w:type="dxa"/>
            <w:tcBorders>
              <w:right w:val="single" w:sz="4" w:space="0" w:color="auto"/>
            </w:tcBorders>
          </w:tcPr>
          <w:p w14:paraId="5F39FF54"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Implant dislocation</w:t>
            </w:r>
          </w:p>
        </w:tc>
        <w:tc>
          <w:tcPr>
            <w:tcW w:w="1134" w:type="dxa"/>
            <w:tcBorders>
              <w:left w:val="single" w:sz="4" w:space="0" w:color="auto"/>
            </w:tcBorders>
          </w:tcPr>
          <w:p w14:paraId="4F0517DA"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0.8%</w:t>
            </w:r>
          </w:p>
        </w:tc>
        <w:tc>
          <w:tcPr>
            <w:tcW w:w="1701" w:type="dxa"/>
          </w:tcPr>
          <w:p w14:paraId="1170D3F9" w14:textId="77777777" w:rsidR="00E61562" w:rsidRPr="0030308C" w:rsidRDefault="00E61562" w:rsidP="000E0C52">
            <w:pPr>
              <w:jc w:val="center"/>
              <w:rPr>
                <w:rFonts w:ascii="Arial" w:hAnsi="Arial" w:cs="Arial"/>
                <w:color w:val="000000" w:themeColor="text1"/>
                <w:sz w:val="20"/>
                <w:szCs w:val="20"/>
              </w:rPr>
            </w:pPr>
          </w:p>
        </w:tc>
        <w:tc>
          <w:tcPr>
            <w:tcW w:w="1276" w:type="dxa"/>
          </w:tcPr>
          <w:p w14:paraId="3080BFC4"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0.8%</w:t>
            </w:r>
          </w:p>
        </w:tc>
        <w:tc>
          <w:tcPr>
            <w:tcW w:w="1701" w:type="dxa"/>
          </w:tcPr>
          <w:p w14:paraId="5649808B" w14:textId="77777777" w:rsidR="00E61562" w:rsidRPr="0030308C" w:rsidRDefault="00E61562" w:rsidP="000E0C52">
            <w:pPr>
              <w:jc w:val="center"/>
              <w:rPr>
                <w:rFonts w:ascii="Arial" w:hAnsi="Arial" w:cs="Arial"/>
                <w:color w:val="000000" w:themeColor="text1"/>
                <w:sz w:val="20"/>
                <w:szCs w:val="20"/>
              </w:rPr>
            </w:pPr>
          </w:p>
        </w:tc>
      </w:tr>
      <w:tr w:rsidR="00E61562" w:rsidRPr="0030308C" w14:paraId="43BB329F" w14:textId="77777777" w:rsidTr="000E0C52">
        <w:tc>
          <w:tcPr>
            <w:tcW w:w="4536" w:type="dxa"/>
            <w:tcBorders>
              <w:right w:val="single" w:sz="4" w:space="0" w:color="auto"/>
            </w:tcBorders>
          </w:tcPr>
          <w:p w14:paraId="7A1762A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Retinal tear</w:t>
            </w:r>
          </w:p>
        </w:tc>
        <w:tc>
          <w:tcPr>
            <w:tcW w:w="1134" w:type="dxa"/>
            <w:tcBorders>
              <w:left w:val="single" w:sz="4" w:space="0" w:color="auto"/>
            </w:tcBorders>
          </w:tcPr>
          <w:p w14:paraId="6E2FE566"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N/A</w:t>
            </w:r>
          </w:p>
        </w:tc>
        <w:tc>
          <w:tcPr>
            <w:tcW w:w="1701" w:type="dxa"/>
          </w:tcPr>
          <w:p w14:paraId="3E806055"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0.3%</w:t>
            </w:r>
          </w:p>
        </w:tc>
        <w:tc>
          <w:tcPr>
            <w:tcW w:w="1276" w:type="dxa"/>
          </w:tcPr>
          <w:p w14:paraId="5DFC7478"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N/A</w:t>
            </w:r>
          </w:p>
        </w:tc>
        <w:tc>
          <w:tcPr>
            <w:tcW w:w="1701" w:type="dxa"/>
          </w:tcPr>
          <w:p w14:paraId="390D0665"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0.3%</w:t>
            </w:r>
          </w:p>
        </w:tc>
      </w:tr>
    </w:tbl>
    <w:p w14:paraId="7F91E71B" w14:textId="77777777" w:rsidR="00E61562" w:rsidRPr="0030308C" w:rsidRDefault="00E61562" w:rsidP="00E61562">
      <w:pPr>
        <w:pStyle w:val="Caption"/>
        <w:keepNext/>
        <w:jc w:val="both"/>
        <w:rPr>
          <w:rFonts w:ascii="Arial" w:hAnsi="Arial" w:cs="Arial"/>
          <w:color w:val="000000" w:themeColor="text1"/>
          <w:sz w:val="20"/>
          <w:szCs w:val="20"/>
        </w:rPr>
        <w:sectPr w:rsidR="00E61562" w:rsidRPr="0030308C" w:rsidSect="00E61562">
          <w:footerReference w:type="even" r:id="rId5"/>
          <w:footerReference w:type="default" r:id="rId6"/>
          <w:pgSz w:w="11906" w:h="16838"/>
          <w:pgMar w:top="1440" w:right="1440" w:bottom="1440" w:left="1440" w:header="708" w:footer="708" w:gutter="0"/>
          <w:cols w:space="708"/>
          <w:titlePg/>
          <w:docGrid w:linePitch="360"/>
        </w:sectPr>
      </w:pPr>
    </w:p>
    <w:p w14:paraId="1B5C05D9" w14:textId="77777777" w:rsidR="00E61562" w:rsidRPr="0030308C" w:rsidRDefault="00E61562" w:rsidP="00E61562">
      <w:pPr>
        <w:pStyle w:val="Caption"/>
        <w:keepNext/>
        <w:jc w:val="both"/>
        <w:rPr>
          <w:rFonts w:ascii="Arial" w:hAnsi="Arial" w:cs="Arial"/>
          <w:b/>
          <w:bCs/>
          <w:i w:val="0"/>
          <w:iCs w:val="0"/>
          <w:color w:val="000000" w:themeColor="text1"/>
          <w:sz w:val="24"/>
          <w:szCs w:val="24"/>
        </w:rPr>
      </w:pPr>
      <w:bookmarkStart w:id="1" w:name="_Ref168136694"/>
      <w:bookmarkStart w:id="2" w:name="_Toc168139198"/>
      <w:bookmarkStart w:id="3" w:name="_Ref166749328"/>
      <w:bookmarkStart w:id="4" w:name="_Ref166800351"/>
      <w:r>
        <w:rPr>
          <w:rFonts w:ascii="Arial" w:hAnsi="Arial" w:cs="Arial"/>
          <w:b/>
          <w:bCs/>
          <w:i w:val="0"/>
          <w:iCs w:val="0"/>
          <w:color w:val="000000" w:themeColor="text1"/>
          <w:sz w:val="24"/>
          <w:szCs w:val="24"/>
        </w:rPr>
        <w:lastRenderedPageBreak/>
        <w:t>eTable3</w:t>
      </w:r>
      <w:r w:rsidRPr="0030308C">
        <w:rPr>
          <w:rFonts w:ascii="Arial" w:hAnsi="Arial" w:cs="Arial"/>
          <w:b/>
          <w:bCs/>
          <w:i w:val="0"/>
          <w:iCs w:val="0"/>
          <w:color w:val="000000" w:themeColor="text1"/>
          <w:sz w:val="24"/>
          <w:szCs w:val="24"/>
        </w:rPr>
        <w:t>. Adverse events probabilities and probabilistic analysis distributions.</w:t>
      </w:r>
      <w:bookmarkEnd w:id="1"/>
      <w:bookmarkEnd w:id="2"/>
    </w:p>
    <w:tbl>
      <w:tblPr>
        <w:tblStyle w:val="TableGrid"/>
        <w:tblpPr w:leftFromText="180" w:rightFromText="180" w:vertAnchor="page" w:horzAnchor="margin" w:tblpXSpec="center" w:tblpY="2311"/>
        <w:tblW w:w="16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1451"/>
        <w:gridCol w:w="2375"/>
        <w:gridCol w:w="2318"/>
        <w:gridCol w:w="2254"/>
        <w:gridCol w:w="3368"/>
      </w:tblGrid>
      <w:tr w:rsidR="00E61562" w:rsidRPr="0030308C" w14:paraId="7F69DC94" w14:textId="77777777" w:rsidTr="000E0C52">
        <w:tc>
          <w:tcPr>
            <w:tcW w:w="4536" w:type="dxa"/>
            <w:tcBorders>
              <w:bottom w:val="single" w:sz="4" w:space="0" w:color="auto"/>
            </w:tcBorders>
          </w:tcPr>
          <w:p w14:paraId="3459263B" w14:textId="77777777" w:rsidR="00E61562" w:rsidRPr="0030308C" w:rsidRDefault="00E61562" w:rsidP="000E0C52">
            <w:pPr>
              <w:jc w:val="both"/>
              <w:rPr>
                <w:rFonts w:ascii="Arial" w:hAnsi="Arial" w:cs="Arial"/>
                <w:b/>
                <w:bCs/>
                <w:color w:val="000000" w:themeColor="text1"/>
                <w:sz w:val="20"/>
                <w:szCs w:val="20"/>
                <w:lang w:val="en-US"/>
              </w:rPr>
            </w:pPr>
            <w:r w:rsidRPr="0030308C">
              <w:rPr>
                <w:rFonts w:ascii="Arial" w:hAnsi="Arial" w:cs="Arial"/>
                <w:b/>
                <w:bCs/>
                <w:color w:val="000000" w:themeColor="text1"/>
                <w:sz w:val="20"/>
                <w:szCs w:val="20"/>
                <w:lang w:val="en-US"/>
              </w:rPr>
              <w:t xml:space="preserve">Adverse events probabilities </w:t>
            </w:r>
          </w:p>
        </w:tc>
        <w:tc>
          <w:tcPr>
            <w:tcW w:w="1451" w:type="dxa"/>
            <w:tcBorders>
              <w:bottom w:val="single" w:sz="4" w:space="0" w:color="auto"/>
            </w:tcBorders>
          </w:tcPr>
          <w:p w14:paraId="5B1C7B73" w14:textId="77777777" w:rsidR="00E61562" w:rsidRPr="0030308C" w:rsidRDefault="00E61562" w:rsidP="000E0C52">
            <w:pPr>
              <w:jc w:val="both"/>
              <w:rPr>
                <w:rFonts w:ascii="Arial" w:hAnsi="Arial" w:cs="Arial"/>
                <w:b/>
                <w:bCs/>
                <w:color w:val="000000" w:themeColor="text1"/>
                <w:sz w:val="20"/>
                <w:szCs w:val="20"/>
                <w:lang w:val="en-US"/>
              </w:rPr>
            </w:pPr>
            <w:r w:rsidRPr="0030308C">
              <w:rPr>
                <w:rFonts w:ascii="Arial" w:hAnsi="Arial" w:cs="Arial"/>
                <w:b/>
                <w:bCs/>
                <w:color w:val="000000" w:themeColor="text1"/>
                <w:sz w:val="20"/>
                <w:szCs w:val="20"/>
                <w:lang w:val="en-US"/>
              </w:rPr>
              <w:t>Value</w:t>
            </w:r>
          </w:p>
        </w:tc>
        <w:tc>
          <w:tcPr>
            <w:tcW w:w="2375" w:type="dxa"/>
            <w:tcBorders>
              <w:bottom w:val="single" w:sz="4" w:space="0" w:color="auto"/>
            </w:tcBorders>
          </w:tcPr>
          <w:p w14:paraId="6EB8D8B2" w14:textId="77777777" w:rsidR="00E61562" w:rsidRPr="0030308C" w:rsidRDefault="00E61562" w:rsidP="000E0C52">
            <w:pPr>
              <w:jc w:val="both"/>
              <w:rPr>
                <w:rFonts w:ascii="Arial" w:hAnsi="Arial" w:cs="Arial"/>
                <w:b/>
                <w:bCs/>
                <w:color w:val="000000" w:themeColor="text1"/>
                <w:sz w:val="20"/>
                <w:szCs w:val="20"/>
                <w:lang w:val="en-US"/>
              </w:rPr>
            </w:pPr>
            <w:r w:rsidRPr="0030308C">
              <w:rPr>
                <w:rFonts w:ascii="Arial" w:hAnsi="Arial" w:cs="Arial"/>
                <w:b/>
                <w:bCs/>
                <w:color w:val="000000" w:themeColor="text1"/>
                <w:sz w:val="20"/>
                <w:szCs w:val="20"/>
                <w:lang w:val="en-US"/>
              </w:rPr>
              <w:t>Distribution</w:t>
            </w:r>
          </w:p>
        </w:tc>
        <w:tc>
          <w:tcPr>
            <w:tcW w:w="2318" w:type="dxa"/>
            <w:tcBorders>
              <w:bottom w:val="single" w:sz="4" w:space="0" w:color="auto"/>
            </w:tcBorders>
          </w:tcPr>
          <w:p w14:paraId="445E1069" w14:textId="77777777" w:rsidR="00E61562" w:rsidRPr="0030308C" w:rsidRDefault="00E61562" w:rsidP="000E0C52">
            <w:pPr>
              <w:jc w:val="both"/>
              <w:rPr>
                <w:rFonts w:ascii="Arial" w:hAnsi="Arial" w:cs="Arial"/>
                <w:b/>
                <w:bCs/>
                <w:color w:val="000000" w:themeColor="text1"/>
                <w:sz w:val="20"/>
                <w:szCs w:val="20"/>
                <w:lang w:val="en-US"/>
              </w:rPr>
            </w:pPr>
            <w:r w:rsidRPr="0030308C">
              <w:rPr>
                <w:rFonts w:ascii="Arial" w:hAnsi="Arial" w:cs="Arial"/>
                <w:b/>
                <w:bCs/>
                <w:color w:val="000000" w:themeColor="text1"/>
                <w:sz w:val="20"/>
                <w:szCs w:val="20"/>
                <w:lang w:val="en-US"/>
              </w:rPr>
              <w:t>Alpha</w:t>
            </w:r>
          </w:p>
        </w:tc>
        <w:tc>
          <w:tcPr>
            <w:tcW w:w="2254" w:type="dxa"/>
            <w:tcBorders>
              <w:bottom w:val="single" w:sz="4" w:space="0" w:color="auto"/>
            </w:tcBorders>
          </w:tcPr>
          <w:p w14:paraId="67A86DA0" w14:textId="77777777" w:rsidR="00E61562" w:rsidRPr="0030308C" w:rsidRDefault="00E61562" w:rsidP="000E0C52">
            <w:pPr>
              <w:jc w:val="both"/>
              <w:rPr>
                <w:rFonts w:ascii="Arial" w:hAnsi="Arial" w:cs="Arial"/>
                <w:b/>
                <w:bCs/>
                <w:color w:val="000000" w:themeColor="text1"/>
                <w:sz w:val="20"/>
                <w:szCs w:val="20"/>
                <w:lang w:val="en-US"/>
              </w:rPr>
            </w:pPr>
            <w:r w:rsidRPr="0030308C">
              <w:rPr>
                <w:rFonts w:ascii="Arial" w:hAnsi="Arial" w:cs="Arial"/>
                <w:b/>
                <w:bCs/>
                <w:color w:val="000000" w:themeColor="text1"/>
                <w:sz w:val="20"/>
                <w:szCs w:val="20"/>
                <w:lang w:val="en-US"/>
              </w:rPr>
              <w:t>Beta</w:t>
            </w:r>
          </w:p>
        </w:tc>
        <w:tc>
          <w:tcPr>
            <w:tcW w:w="3368" w:type="dxa"/>
            <w:tcBorders>
              <w:bottom w:val="single" w:sz="4" w:space="0" w:color="auto"/>
            </w:tcBorders>
          </w:tcPr>
          <w:p w14:paraId="43827907" w14:textId="77777777" w:rsidR="00E61562" w:rsidRPr="0030308C" w:rsidRDefault="00E61562" w:rsidP="000E0C52">
            <w:pPr>
              <w:jc w:val="both"/>
              <w:rPr>
                <w:rFonts w:ascii="Arial" w:hAnsi="Arial" w:cs="Arial"/>
                <w:b/>
                <w:bCs/>
                <w:color w:val="000000" w:themeColor="text1"/>
                <w:sz w:val="20"/>
                <w:szCs w:val="20"/>
                <w:lang w:val="en-US"/>
              </w:rPr>
            </w:pPr>
            <w:r w:rsidRPr="0030308C">
              <w:rPr>
                <w:rFonts w:ascii="Arial" w:hAnsi="Arial" w:cs="Arial"/>
                <w:b/>
                <w:bCs/>
                <w:color w:val="000000" w:themeColor="text1"/>
                <w:sz w:val="20"/>
                <w:szCs w:val="20"/>
                <w:lang w:val="en-US"/>
              </w:rPr>
              <w:t>Source</w:t>
            </w:r>
          </w:p>
        </w:tc>
      </w:tr>
      <w:tr w:rsidR="00E61562" w:rsidRPr="0030308C" w14:paraId="0C4D3938" w14:textId="77777777" w:rsidTr="000E0C52">
        <w:tc>
          <w:tcPr>
            <w:tcW w:w="4536" w:type="dxa"/>
            <w:tcBorders>
              <w:top w:val="single" w:sz="4" w:space="0" w:color="auto"/>
              <w:bottom w:val="single" w:sz="4" w:space="0" w:color="auto"/>
            </w:tcBorders>
          </w:tcPr>
          <w:p w14:paraId="1B400E35" w14:textId="77777777" w:rsidR="00E61562" w:rsidRPr="0030308C" w:rsidRDefault="00E61562" w:rsidP="000E0C52">
            <w:pPr>
              <w:jc w:val="both"/>
              <w:rPr>
                <w:rFonts w:ascii="Arial" w:hAnsi="Arial" w:cs="Arial"/>
                <w:b/>
                <w:bCs/>
                <w:color w:val="000000" w:themeColor="text1"/>
                <w:sz w:val="20"/>
                <w:szCs w:val="20"/>
                <w:lang w:val="en-US"/>
              </w:rPr>
            </w:pPr>
            <w:r w:rsidRPr="0030308C">
              <w:rPr>
                <w:rFonts w:ascii="Arial" w:hAnsi="Arial" w:cs="Arial"/>
                <w:b/>
                <w:bCs/>
                <w:color w:val="000000" w:themeColor="text1"/>
                <w:sz w:val="20"/>
                <w:szCs w:val="20"/>
                <w:lang w:val="en-US"/>
              </w:rPr>
              <w:t>PDP</w:t>
            </w:r>
          </w:p>
        </w:tc>
        <w:tc>
          <w:tcPr>
            <w:tcW w:w="1451" w:type="dxa"/>
            <w:tcBorders>
              <w:top w:val="single" w:sz="4" w:space="0" w:color="auto"/>
              <w:bottom w:val="single" w:sz="4" w:space="0" w:color="auto"/>
            </w:tcBorders>
          </w:tcPr>
          <w:p w14:paraId="036DC513" w14:textId="77777777" w:rsidR="00E61562" w:rsidRPr="0030308C" w:rsidRDefault="00E61562" w:rsidP="000E0C52">
            <w:pPr>
              <w:jc w:val="both"/>
              <w:rPr>
                <w:rFonts w:ascii="Arial" w:hAnsi="Arial" w:cs="Arial"/>
                <w:color w:val="000000" w:themeColor="text1"/>
                <w:sz w:val="20"/>
                <w:szCs w:val="20"/>
                <w:lang w:val="en-US"/>
              </w:rPr>
            </w:pPr>
          </w:p>
        </w:tc>
        <w:tc>
          <w:tcPr>
            <w:tcW w:w="2375" w:type="dxa"/>
            <w:tcBorders>
              <w:top w:val="single" w:sz="4" w:space="0" w:color="auto"/>
              <w:bottom w:val="single" w:sz="4" w:space="0" w:color="auto"/>
            </w:tcBorders>
          </w:tcPr>
          <w:p w14:paraId="252E17C3" w14:textId="77777777" w:rsidR="00E61562" w:rsidRPr="0030308C" w:rsidRDefault="00E61562" w:rsidP="000E0C52">
            <w:pPr>
              <w:jc w:val="both"/>
              <w:rPr>
                <w:rFonts w:ascii="Arial" w:hAnsi="Arial" w:cs="Arial"/>
                <w:color w:val="000000" w:themeColor="text1"/>
                <w:sz w:val="20"/>
                <w:szCs w:val="20"/>
                <w:lang w:val="en-US"/>
              </w:rPr>
            </w:pPr>
          </w:p>
        </w:tc>
        <w:tc>
          <w:tcPr>
            <w:tcW w:w="2318" w:type="dxa"/>
            <w:tcBorders>
              <w:top w:val="single" w:sz="4" w:space="0" w:color="auto"/>
              <w:bottom w:val="single" w:sz="4" w:space="0" w:color="auto"/>
            </w:tcBorders>
          </w:tcPr>
          <w:p w14:paraId="74524D9B" w14:textId="77777777" w:rsidR="00E61562" w:rsidRPr="0030308C" w:rsidRDefault="00E61562" w:rsidP="000E0C52">
            <w:pPr>
              <w:jc w:val="both"/>
              <w:rPr>
                <w:rFonts w:ascii="Arial" w:hAnsi="Arial" w:cs="Arial"/>
                <w:color w:val="000000" w:themeColor="text1"/>
                <w:sz w:val="20"/>
                <w:szCs w:val="20"/>
                <w:lang w:val="en-US"/>
              </w:rPr>
            </w:pPr>
          </w:p>
        </w:tc>
        <w:tc>
          <w:tcPr>
            <w:tcW w:w="2254" w:type="dxa"/>
            <w:tcBorders>
              <w:top w:val="single" w:sz="4" w:space="0" w:color="auto"/>
              <w:bottom w:val="single" w:sz="4" w:space="0" w:color="auto"/>
            </w:tcBorders>
          </w:tcPr>
          <w:p w14:paraId="1478353D" w14:textId="77777777" w:rsidR="00E61562" w:rsidRPr="0030308C" w:rsidRDefault="00E61562" w:rsidP="000E0C52">
            <w:pPr>
              <w:jc w:val="both"/>
              <w:rPr>
                <w:rFonts w:ascii="Arial" w:hAnsi="Arial" w:cs="Arial"/>
                <w:color w:val="000000" w:themeColor="text1"/>
                <w:sz w:val="20"/>
                <w:szCs w:val="20"/>
                <w:lang w:val="en-US"/>
              </w:rPr>
            </w:pPr>
          </w:p>
        </w:tc>
        <w:tc>
          <w:tcPr>
            <w:tcW w:w="3368" w:type="dxa"/>
            <w:tcBorders>
              <w:top w:val="single" w:sz="4" w:space="0" w:color="auto"/>
              <w:bottom w:val="single" w:sz="4" w:space="0" w:color="auto"/>
            </w:tcBorders>
          </w:tcPr>
          <w:p w14:paraId="629F1749" w14:textId="77777777" w:rsidR="00E61562" w:rsidRPr="0030308C" w:rsidRDefault="00E61562" w:rsidP="000E0C52">
            <w:pPr>
              <w:jc w:val="both"/>
              <w:rPr>
                <w:rFonts w:ascii="Arial" w:hAnsi="Arial" w:cs="Arial"/>
                <w:color w:val="000000" w:themeColor="text1"/>
                <w:sz w:val="20"/>
                <w:szCs w:val="20"/>
                <w:lang w:val="en-US"/>
              </w:rPr>
            </w:pPr>
          </w:p>
        </w:tc>
      </w:tr>
      <w:tr w:rsidR="00E61562" w:rsidRPr="0030308C" w14:paraId="4805A293" w14:textId="77777777" w:rsidTr="000E0C52">
        <w:tc>
          <w:tcPr>
            <w:tcW w:w="4536" w:type="dxa"/>
            <w:tcBorders>
              <w:top w:val="single" w:sz="4" w:space="0" w:color="auto"/>
            </w:tcBorders>
          </w:tcPr>
          <w:p w14:paraId="0998C9D3" w14:textId="77777777" w:rsidR="00E61562" w:rsidRPr="0030308C" w:rsidRDefault="00E61562" w:rsidP="000E0C52">
            <w:pPr>
              <w:rPr>
                <w:rFonts w:ascii="Arial" w:hAnsi="Arial" w:cs="Arial"/>
                <w:b/>
                <w:bCs/>
                <w:color w:val="000000" w:themeColor="text1"/>
                <w:sz w:val="20"/>
                <w:szCs w:val="20"/>
                <w:lang w:val="en-US"/>
              </w:rPr>
            </w:pPr>
            <w:r w:rsidRPr="0030308C">
              <w:rPr>
                <w:rFonts w:ascii="Arial" w:hAnsi="Arial" w:cs="Arial"/>
                <w:b/>
                <w:bCs/>
                <w:color w:val="000000" w:themeColor="text1"/>
                <w:sz w:val="20"/>
                <w:szCs w:val="20"/>
                <w:lang w:val="en-US"/>
              </w:rPr>
              <w:t>Probability within 37 days</w:t>
            </w:r>
          </w:p>
        </w:tc>
        <w:tc>
          <w:tcPr>
            <w:tcW w:w="1451" w:type="dxa"/>
            <w:tcBorders>
              <w:top w:val="single" w:sz="4" w:space="0" w:color="auto"/>
            </w:tcBorders>
          </w:tcPr>
          <w:p w14:paraId="45836B22" w14:textId="77777777" w:rsidR="00E61562" w:rsidRPr="0030308C" w:rsidRDefault="00E61562" w:rsidP="000E0C52">
            <w:pPr>
              <w:jc w:val="both"/>
              <w:rPr>
                <w:rFonts w:ascii="Arial" w:hAnsi="Arial" w:cs="Arial"/>
                <w:color w:val="000000" w:themeColor="text1"/>
                <w:sz w:val="20"/>
                <w:szCs w:val="20"/>
                <w:lang w:val="en-US"/>
              </w:rPr>
            </w:pPr>
          </w:p>
        </w:tc>
        <w:tc>
          <w:tcPr>
            <w:tcW w:w="2375" w:type="dxa"/>
            <w:tcBorders>
              <w:top w:val="single" w:sz="4" w:space="0" w:color="auto"/>
            </w:tcBorders>
          </w:tcPr>
          <w:p w14:paraId="5DB1DC21" w14:textId="77777777" w:rsidR="00E61562" w:rsidRPr="0030308C" w:rsidRDefault="00E61562" w:rsidP="000E0C52">
            <w:pPr>
              <w:jc w:val="both"/>
              <w:rPr>
                <w:rFonts w:ascii="Arial" w:hAnsi="Arial" w:cs="Arial"/>
                <w:color w:val="000000" w:themeColor="text1"/>
                <w:sz w:val="20"/>
                <w:szCs w:val="20"/>
                <w:lang w:val="en-US"/>
              </w:rPr>
            </w:pPr>
          </w:p>
        </w:tc>
        <w:tc>
          <w:tcPr>
            <w:tcW w:w="2318" w:type="dxa"/>
            <w:tcBorders>
              <w:top w:val="single" w:sz="4" w:space="0" w:color="auto"/>
            </w:tcBorders>
          </w:tcPr>
          <w:p w14:paraId="0B56C398" w14:textId="77777777" w:rsidR="00E61562" w:rsidRPr="0030308C" w:rsidRDefault="00E61562" w:rsidP="000E0C52">
            <w:pPr>
              <w:jc w:val="both"/>
              <w:rPr>
                <w:rFonts w:ascii="Arial" w:hAnsi="Arial" w:cs="Arial"/>
                <w:color w:val="000000" w:themeColor="text1"/>
                <w:sz w:val="20"/>
                <w:szCs w:val="20"/>
                <w:lang w:val="en-US"/>
              </w:rPr>
            </w:pPr>
          </w:p>
        </w:tc>
        <w:tc>
          <w:tcPr>
            <w:tcW w:w="2254" w:type="dxa"/>
            <w:tcBorders>
              <w:top w:val="single" w:sz="4" w:space="0" w:color="auto"/>
            </w:tcBorders>
          </w:tcPr>
          <w:p w14:paraId="1A9A5D63" w14:textId="77777777" w:rsidR="00E61562" w:rsidRPr="0030308C" w:rsidRDefault="00E61562" w:rsidP="000E0C52">
            <w:pPr>
              <w:jc w:val="both"/>
              <w:rPr>
                <w:rFonts w:ascii="Arial" w:hAnsi="Arial" w:cs="Arial"/>
                <w:color w:val="000000" w:themeColor="text1"/>
                <w:sz w:val="20"/>
                <w:szCs w:val="20"/>
                <w:lang w:val="en-US"/>
              </w:rPr>
            </w:pPr>
          </w:p>
        </w:tc>
        <w:tc>
          <w:tcPr>
            <w:tcW w:w="3368" w:type="dxa"/>
            <w:tcBorders>
              <w:top w:val="single" w:sz="4" w:space="0" w:color="auto"/>
            </w:tcBorders>
          </w:tcPr>
          <w:p w14:paraId="2EFD572A" w14:textId="77777777" w:rsidR="00E61562" w:rsidRPr="0030308C" w:rsidRDefault="00E61562" w:rsidP="000E0C52">
            <w:pPr>
              <w:jc w:val="both"/>
              <w:rPr>
                <w:rFonts w:ascii="Arial" w:hAnsi="Arial" w:cs="Arial"/>
                <w:color w:val="000000" w:themeColor="text1"/>
                <w:sz w:val="20"/>
                <w:szCs w:val="20"/>
                <w:lang w:val="en-US"/>
              </w:rPr>
            </w:pPr>
          </w:p>
        </w:tc>
      </w:tr>
      <w:tr w:rsidR="00E61562" w:rsidRPr="0030308C" w14:paraId="101082C2" w14:textId="77777777" w:rsidTr="000E0C52">
        <w:tc>
          <w:tcPr>
            <w:tcW w:w="4536" w:type="dxa"/>
          </w:tcPr>
          <w:p w14:paraId="1B3AC3B6" w14:textId="77777777" w:rsidR="00E61562" w:rsidRPr="0030308C" w:rsidRDefault="00E61562" w:rsidP="000E0C52">
            <w:pPr>
              <w:rPr>
                <w:rFonts w:ascii="Arial" w:hAnsi="Arial" w:cs="Arial"/>
                <w:color w:val="000000" w:themeColor="text1"/>
                <w:sz w:val="20"/>
                <w:szCs w:val="20"/>
                <w:lang w:val="en-US"/>
              </w:rPr>
            </w:pPr>
            <w:r w:rsidRPr="0030308C">
              <w:rPr>
                <w:rFonts w:ascii="Arial" w:hAnsi="Arial" w:cs="Arial"/>
                <w:color w:val="000000" w:themeColor="text1"/>
                <w:sz w:val="20"/>
                <w:szCs w:val="20"/>
                <w:lang w:val="en-US"/>
              </w:rPr>
              <w:t>Conjunctival bleb or conjunctival filtering bleb leak</w:t>
            </w:r>
          </w:p>
        </w:tc>
        <w:tc>
          <w:tcPr>
            <w:tcW w:w="1451" w:type="dxa"/>
          </w:tcPr>
          <w:p w14:paraId="3872DC95"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4.4%</w:t>
            </w:r>
          </w:p>
        </w:tc>
        <w:tc>
          <w:tcPr>
            <w:tcW w:w="2375" w:type="dxa"/>
          </w:tcPr>
          <w:p w14:paraId="29851433"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Beta</w:t>
            </w:r>
          </w:p>
        </w:tc>
        <w:tc>
          <w:tcPr>
            <w:tcW w:w="2318" w:type="dxa"/>
          </w:tcPr>
          <w:p w14:paraId="7164BAB9"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11</w:t>
            </w:r>
          </w:p>
        </w:tc>
        <w:tc>
          <w:tcPr>
            <w:tcW w:w="2254" w:type="dxa"/>
          </w:tcPr>
          <w:p w14:paraId="405C2F03"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237</w:t>
            </w:r>
          </w:p>
        </w:tc>
        <w:tc>
          <w:tcPr>
            <w:tcW w:w="3368" w:type="dxa"/>
          </w:tcPr>
          <w:p w14:paraId="2B845DD5"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{"citationID":"EmJsqNRe","properties":{"formattedCitation":"(4)","plainCitation":"(4)","noteIndex":0},"citationItems":[{"id":26,"uris":["http://zotero.org/users/local/qnIpXHeo/items/SP5B4LER"],"itemData":{"id":26,"type":"article-journal","abstract":"PURPOSE: To report 2-year results from the Archway clinical trial of the Port Delivery System with ranibizumab (PDS) for treatment of neovascular age-related macular degeneration (nAMD).\nDESIGN: Phase 3, randomized, multicenter, open-label, active-comparator-controlled trial.\nPARTICIPANTS: Patients with previously treated nAMD diagnosed within 9 months of screening and responsive to anti-vascular endothelial growth factor therapy.\nMETHODS: Patients were randomized 3:2 to PDS with ranibizumab 100 mg/ml with fixed refill-exchanges every 24 weeks (PDS Q24W) or intravitreal ranibizumab 0.5 mg injections every 4 weeks (monthly ranibizumab). Patients were followed through 4 complete refill-exchange intervals (</w:instrText>
            </w:r>
            <w:r>
              <w:rPr>
                <w:rFonts w:ascii="Cambria Math" w:hAnsi="Cambria Math" w:cs="Cambria Math"/>
                <w:color w:val="000000" w:themeColor="text1"/>
                <w:sz w:val="20"/>
                <w:szCs w:val="20"/>
                <w:lang w:val="en-US"/>
              </w:rPr>
              <w:instrText>∼</w:instrText>
            </w:r>
            <w:r>
              <w:rPr>
                <w:rFonts w:ascii="Arial" w:hAnsi="Arial" w:cs="Arial"/>
                <w:color w:val="000000" w:themeColor="text1"/>
                <w:sz w:val="20"/>
                <w:szCs w:val="20"/>
                <w:lang w:val="en-US"/>
              </w:rPr>
              <w:instrText xml:space="preserve">2 years).\nMAIN OUTCOME MEASURES: Change in best-corrected visual acuity (BCVA) Early Treatment Diabetic Retinopathy Study (ETDRS) letter score from baseline averaged over weeks 44 and 48, weeks 60 and 64, and weeks 88 and 92 (noninferiority margin, -3.9 ETDRS letters).\nRESULTS: The PDS Q24W was noninferior to monthly ranibizumab, with differences in adjusted mean change in BCVA score from baseline averaged over weeks 44/48, 60/64 and 88/92 of -0.2 (95% confidence interval [CI], -1.8 to +1.3), +0.4 (95% CI, -1.4 to +2.1) and -0.6 ETDRS letters (95% CI, -2.5 to +1.3), respectively. Anatomic outcomes were generally comparable between arms through week 96. Through each of 4 PDS refill-exchange intervals, 98.4%, 94.6%, 94.8%, and 94.7% of PDS Q24W patients assessed did not receive supplemental ranibizumab treatment. The PDS ocular safety profile was generally unchanged from primary analysis. Prespecified ocular adverse events of special interest (AESI) were reported in 59 (23.8%) PDS and 17 (10.2%) monthly ranibizumab patients. The most common AESI reported in both arms was cataract (PDS Q24W, 22 [8.9%]; monthly ranibizumab, 10 [6.0%]). Events in the PDS Q24W arm included (patient incidence) 10 (4.0%) conjunctival erosions, 6 (2.4%) conjunctival retractions, 4 (1.6%) endophthalmitis cases, and 4 (1.6%) implant dislocations. Serum ranibizumab sampling showed that the PDS continuously released ranibizumab over the 24-week refill-exchange interval and ranibizumab serum concentrations were within the range experienced with monthly ranibizumab.\nCONCLUSIONS: The PDS Q24W showed noninferior efficacy to monthly ranibizumab through approximately 2 years, with approximately 95% of PDS Q24W patients not receiving supplemental ranibizumab treatment in each refill-exchange interval. The AESIs were generally manageable, with learnings continually implemented to minimize PDS-related AEs.\nFINANCIAL DISCLOSURE(S): Proprietary or commercial disclosure may be found after the references.","container-title":"Ophthalmology","DOI":"10.1016/j.ophtha.2023.02.024","ISSN":"1549-4713","issue":"7","journalAbbreviation":"Ophthalmology","language":"eng","note":"PMID: 36870451","page":"735-747","source":"PubMed","title":"Archway Phase 3 Trial of the Port Delivery System with Ranibizumab for Neovascular Age-Related Macular Degeneration 2-Year Results","volume":"130","author":[{"family":"Regillo","given":"Carl"},{"family":"Berger","given":"Brian"},{"family":"Brooks","given":"Logan"},{"family":"Clark","given":"W. Lloyd"},{"family":"Mittra","given":"Robert"},{"family":"Wykoff","given":"Charles C."},{"family":"Callaway","given":"Natalia F."},{"family":"DeGraaf","given":"Stephanie"},{"family":"Ding","given":"Han Ting"},{"family":"Fung","given":"Anne E."},{"family":"Gune","given":"Shamika"},{"family":"Le Pogam","given":"Sophie"},{"family":"Smith","given":"Robert"},{"family":"Willis","given":"Jeffrey R."},{"family":"Barteselli","given":"Giulio"}],"issued":{"date-parts":[["2023",7]]}}}],"schema":"https://github.com/citation-style-language/schema/raw/master/csl-citation.json"}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(4)</w:t>
            </w:r>
            <w:r w:rsidRPr="0030308C">
              <w:rPr>
                <w:rFonts w:ascii="Arial" w:hAnsi="Arial" w:cs="Arial"/>
                <w:color w:val="000000" w:themeColor="text1"/>
                <w:sz w:val="20"/>
                <w:szCs w:val="20"/>
                <w:lang w:val="en-US"/>
              </w:rPr>
              <w:fldChar w:fldCharType="end"/>
            </w:r>
          </w:p>
        </w:tc>
      </w:tr>
      <w:tr w:rsidR="00E61562" w:rsidRPr="0030308C" w14:paraId="706380DC" w14:textId="77777777" w:rsidTr="000E0C52">
        <w:tc>
          <w:tcPr>
            <w:tcW w:w="4536" w:type="dxa"/>
          </w:tcPr>
          <w:p w14:paraId="6474FFCD" w14:textId="77777777" w:rsidR="00E61562" w:rsidRPr="0030308C" w:rsidRDefault="00E61562" w:rsidP="000E0C52">
            <w:pPr>
              <w:rPr>
                <w:rFonts w:ascii="Arial" w:hAnsi="Arial" w:cs="Arial"/>
                <w:color w:val="000000" w:themeColor="text1"/>
                <w:sz w:val="20"/>
                <w:szCs w:val="20"/>
                <w:lang w:val="en-US"/>
              </w:rPr>
            </w:pPr>
            <w:r w:rsidRPr="0030308C">
              <w:rPr>
                <w:rFonts w:ascii="Arial" w:hAnsi="Arial" w:cs="Arial"/>
                <w:color w:val="000000" w:themeColor="text1"/>
                <w:sz w:val="20"/>
                <w:szCs w:val="20"/>
                <w:lang w:val="en-US"/>
              </w:rPr>
              <w:t>Vitreous hemorrhage, any grade</w:t>
            </w:r>
          </w:p>
        </w:tc>
        <w:tc>
          <w:tcPr>
            <w:tcW w:w="1451" w:type="dxa"/>
          </w:tcPr>
          <w:p w14:paraId="77864591"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4.8%</w:t>
            </w:r>
          </w:p>
        </w:tc>
        <w:tc>
          <w:tcPr>
            <w:tcW w:w="2375" w:type="dxa"/>
          </w:tcPr>
          <w:p w14:paraId="7527D3AB"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Beta</w:t>
            </w:r>
          </w:p>
        </w:tc>
        <w:tc>
          <w:tcPr>
            <w:tcW w:w="2318" w:type="dxa"/>
          </w:tcPr>
          <w:p w14:paraId="13F03B0A"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12</w:t>
            </w:r>
          </w:p>
        </w:tc>
        <w:tc>
          <w:tcPr>
            <w:tcW w:w="2254" w:type="dxa"/>
          </w:tcPr>
          <w:p w14:paraId="0215A21D"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236</w:t>
            </w:r>
          </w:p>
        </w:tc>
        <w:tc>
          <w:tcPr>
            <w:tcW w:w="3368" w:type="dxa"/>
          </w:tcPr>
          <w:p w14:paraId="12F8DDD9"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{"citationID":"fYbMqhNw","properties":{"formattedCitation":"(4)","plainCitation":"(4)","noteIndex":0},"citationItems":[{"id":26,"uris":["http://zotero.org/users/local/qnIpXHeo/items/SP5B4LER"],"itemData":{"id":26,"type":"article-journal","abstract":"PURPOSE: To report 2-year results from the Archway clinical trial of the Port Delivery System with ranibizumab (PDS) for treatment of neovascular age-related macular degeneration (nAMD).\nDESIGN: Phase 3, randomized, multicenter, open-label, active-comparator-controlled trial.\nPARTICIPANTS: Patients with previously treated nAMD diagnosed within 9 months of screening and responsive to anti-vascular endothelial growth factor therapy.\nMETHODS: Patients were randomized 3:2 to PDS with ranibizumab 100 mg/ml with fixed refill-exchanges every 24 weeks (PDS Q24W) or intravitreal ranibizumab 0.5 mg injections every 4 weeks (monthly ranibizumab). Patients were followed through 4 complete refill-exchange intervals (</w:instrText>
            </w:r>
            <w:r>
              <w:rPr>
                <w:rFonts w:ascii="Cambria Math" w:hAnsi="Cambria Math" w:cs="Cambria Math"/>
                <w:color w:val="000000" w:themeColor="text1"/>
                <w:sz w:val="20"/>
                <w:szCs w:val="20"/>
                <w:lang w:val="en-US"/>
              </w:rPr>
              <w:instrText>∼</w:instrText>
            </w:r>
            <w:r>
              <w:rPr>
                <w:rFonts w:ascii="Arial" w:hAnsi="Arial" w:cs="Arial"/>
                <w:color w:val="000000" w:themeColor="text1"/>
                <w:sz w:val="20"/>
                <w:szCs w:val="20"/>
                <w:lang w:val="en-US"/>
              </w:rPr>
              <w:instrText xml:space="preserve">2 years).\nMAIN OUTCOME MEASURES: Change in best-corrected visual acuity (BCVA) Early Treatment Diabetic Retinopathy Study (ETDRS) letter score from baseline averaged over weeks 44 and 48, weeks 60 and 64, and weeks 88 and 92 (noninferiority margin, -3.9 ETDRS letters).\nRESULTS: The PDS Q24W was noninferior to monthly ranibizumab, with differences in adjusted mean change in BCVA score from baseline averaged over weeks 44/48, 60/64 and 88/92 of -0.2 (95% confidence interval [CI], -1.8 to +1.3), +0.4 (95% CI, -1.4 to +2.1) and -0.6 ETDRS letters (95% CI, -2.5 to +1.3), respectively. Anatomic outcomes were generally comparable between arms through week 96. Through each of 4 PDS refill-exchange intervals, 98.4%, 94.6%, 94.8%, and 94.7% of PDS Q24W patients assessed did not receive supplemental ranibizumab treatment. The PDS ocular safety profile was generally unchanged from primary analysis. Prespecified ocular adverse events of special interest (AESI) were reported in 59 (23.8%) PDS and 17 (10.2%) monthly ranibizumab patients. The most common AESI reported in both arms was cataract (PDS Q24W, 22 [8.9%]; monthly ranibizumab, 10 [6.0%]). Events in the PDS Q24W arm included (patient incidence) 10 (4.0%) conjunctival erosions, 6 (2.4%) conjunctival retractions, 4 (1.6%) endophthalmitis cases, and 4 (1.6%) implant dislocations. Serum ranibizumab sampling showed that the PDS continuously released ranibizumab over the 24-week refill-exchange interval and ranibizumab serum concentrations were within the range experienced with monthly ranibizumab.\nCONCLUSIONS: The PDS Q24W showed noninferior efficacy to monthly ranibizumab through approximately 2 years, with approximately 95% of PDS Q24W patients not receiving supplemental ranibizumab treatment in each refill-exchange interval. The AESIs were generally manageable, with learnings continually implemented to minimize PDS-related AEs.\nFINANCIAL DISCLOSURE(S): Proprietary or commercial disclosure may be found after the references.","container-title":"Ophthalmology","DOI":"10.1016/j.ophtha.2023.02.024","ISSN":"1549-4713","issue":"7","journalAbbreviation":"Ophthalmology","language":"eng","note":"PMID: 36870451","page":"735-747","source":"PubMed","title":"Archway Phase 3 Trial of the Port Delivery System with Ranibizumab for Neovascular Age-Related Macular Degeneration 2-Year Results","volume":"130","author":[{"family":"Regillo","given":"Carl"},{"family":"Berger","given":"Brian"},{"family":"Brooks","given":"Logan"},{"family":"Clark","given":"W. Lloyd"},{"family":"Mittra","given":"Robert"},{"family":"Wykoff","given":"Charles C."},{"family":"Callaway","given":"Natalia F."},{"family":"DeGraaf","given":"Stephanie"},{"family":"Ding","given":"Han Ting"},{"family":"Fung","given":"Anne E."},{"family":"Gune","given":"Shamika"},{"family":"Le Pogam","given":"Sophie"},{"family":"Smith","given":"Robert"},{"family":"Willis","given":"Jeffrey R."},{"family":"Barteselli","given":"Giulio"}],"issued":{"date-parts":[["2023",7]]}}}],"schema":"https://github.com/citation-style-language/schema/raw/master/csl-citation.json"}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(4)</w:t>
            </w:r>
            <w:r w:rsidRPr="0030308C">
              <w:rPr>
                <w:rFonts w:ascii="Arial" w:hAnsi="Arial" w:cs="Arial"/>
                <w:color w:val="000000" w:themeColor="text1"/>
                <w:sz w:val="20"/>
                <w:szCs w:val="20"/>
                <w:lang w:val="en-US"/>
              </w:rPr>
              <w:fldChar w:fldCharType="end"/>
            </w:r>
          </w:p>
        </w:tc>
      </w:tr>
      <w:tr w:rsidR="00E61562" w:rsidRPr="0030308C" w14:paraId="356BCEAC" w14:textId="77777777" w:rsidTr="000E0C52">
        <w:tc>
          <w:tcPr>
            <w:tcW w:w="4536" w:type="dxa"/>
          </w:tcPr>
          <w:p w14:paraId="34535D27" w14:textId="77777777" w:rsidR="00E61562" w:rsidRPr="0030308C" w:rsidRDefault="00E61562" w:rsidP="000E0C52">
            <w:pPr>
              <w:rPr>
                <w:rFonts w:ascii="Arial" w:hAnsi="Arial" w:cs="Arial"/>
                <w:color w:val="000000" w:themeColor="text1"/>
                <w:sz w:val="20"/>
                <w:szCs w:val="20"/>
                <w:lang w:val="en-US"/>
              </w:rPr>
            </w:pPr>
            <w:r w:rsidRPr="0030308C">
              <w:rPr>
                <w:rFonts w:ascii="Arial" w:hAnsi="Arial" w:cs="Arial"/>
                <w:color w:val="000000" w:themeColor="text1"/>
                <w:sz w:val="20"/>
                <w:szCs w:val="20"/>
                <w:lang w:val="en-US"/>
              </w:rPr>
              <w:t>Cataract</w:t>
            </w:r>
          </w:p>
        </w:tc>
        <w:tc>
          <w:tcPr>
            <w:tcW w:w="1451" w:type="dxa"/>
          </w:tcPr>
          <w:p w14:paraId="7D2963ED"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0.4%</w:t>
            </w:r>
          </w:p>
        </w:tc>
        <w:tc>
          <w:tcPr>
            <w:tcW w:w="2375" w:type="dxa"/>
          </w:tcPr>
          <w:p w14:paraId="37EB753B"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Beta</w:t>
            </w:r>
          </w:p>
        </w:tc>
        <w:tc>
          <w:tcPr>
            <w:tcW w:w="2318" w:type="dxa"/>
          </w:tcPr>
          <w:p w14:paraId="5EFD351E"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1</w:t>
            </w:r>
          </w:p>
        </w:tc>
        <w:tc>
          <w:tcPr>
            <w:tcW w:w="2254" w:type="dxa"/>
          </w:tcPr>
          <w:p w14:paraId="32EBB430"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247</w:t>
            </w:r>
          </w:p>
        </w:tc>
        <w:tc>
          <w:tcPr>
            <w:tcW w:w="3368" w:type="dxa"/>
          </w:tcPr>
          <w:p w14:paraId="176C6BAF"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{"citationID":"P308upiW","properties":{"formattedCitation":"(4)","plainCitation":"(4)","noteIndex":0},"citationItems":[{"id":26,"uris":["http://zotero.org/users/local/qnIpXHeo/items/SP5B4LER"],"itemData":{"id":26,"type":"article-journal","abstract":"PURPOSE: To report 2-year results from the Archway clinical trial of the Port Delivery System with ranibizumab (PDS) for treatment of neovascular age-related macular degeneration (nAMD).\nDESIGN: Phase 3, randomized, multicenter, open-label, active-comparator-controlled trial.\nPARTICIPANTS: Patients with previously treated nAMD diagnosed within 9 months of screening and responsive to anti-vascular endothelial growth factor therapy.\nMETHODS: Patients were randomized 3:2 to PDS with ranibizumab 100 mg/ml with fixed refill-exchanges every 24 weeks (PDS Q24W) or intravitreal ranibizumab 0.5 mg injections every 4 weeks (monthly ranibizumab). Patients were followed through 4 complete refill-exchange intervals (</w:instrText>
            </w:r>
            <w:r>
              <w:rPr>
                <w:rFonts w:ascii="Cambria Math" w:hAnsi="Cambria Math" w:cs="Cambria Math"/>
                <w:color w:val="000000" w:themeColor="text1"/>
                <w:sz w:val="20"/>
                <w:szCs w:val="20"/>
                <w:lang w:val="en-US"/>
              </w:rPr>
              <w:instrText>∼</w:instrText>
            </w:r>
            <w:r>
              <w:rPr>
                <w:rFonts w:ascii="Arial" w:hAnsi="Arial" w:cs="Arial"/>
                <w:color w:val="000000" w:themeColor="text1"/>
                <w:sz w:val="20"/>
                <w:szCs w:val="20"/>
                <w:lang w:val="en-US"/>
              </w:rPr>
              <w:instrText xml:space="preserve">2 years).\nMAIN OUTCOME MEASURES: Change in best-corrected visual acuity (BCVA) Early Treatment Diabetic Retinopathy Study (ETDRS) letter score from baseline averaged over weeks 44 and 48, weeks 60 and 64, and weeks 88 and 92 (noninferiority margin, -3.9 ETDRS letters).\nRESULTS: The PDS Q24W was noninferior to monthly ranibizumab, with differences in adjusted mean change in BCVA score from baseline averaged over weeks 44/48, 60/64 and 88/92 of -0.2 (95% confidence interval [CI], -1.8 to +1.3), +0.4 (95% CI, -1.4 to +2.1) and -0.6 ETDRS letters (95% CI, -2.5 to +1.3), respectively. Anatomic outcomes were generally comparable between arms through week 96. Through each of 4 PDS refill-exchange intervals, 98.4%, 94.6%, 94.8%, and 94.7% of PDS Q24W patients assessed did not receive supplemental ranibizumab treatment. The PDS ocular safety profile was generally unchanged from primary analysis. Prespecified ocular adverse events of special interest (AESI) were reported in 59 (23.8%) PDS and 17 (10.2%) monthly ranibizumab patients. The most common AESI reported in both arms was cataract (PDS Q24W, 22 [8.9%]; monthly ranibizumab, 10 [6.0%]). Events in the PDS Q24W arm included (patient incidence) 10 (4.0%) conjunctival erosions, 6 (2.4%) conjunctival retractions, 4 (1.6%) endophthalmitis cases, and 4 (1.6%) implant dislocations. Serum ranibizumab sampling showed that the PDS continuously released ranibizumab over the 24-week refill-exchange interval and ranibizumab serum concentrations were within the range experienced with monthly ranibizumab.\nCONCLUSIONS: The PDS Q24W showed noninferior efficacy to monthly ranibizumab through approximately 2 years, with approximately 95% of PDS Q24W patients not receiving supplemental ranibizumab treatment in each refill-exchange interval. The AESIs were generally manageable, with learnings continually implemented to minimize PDS-related AEs.\nFINANCIAL DISCLOSURE(S): Proprietary or commercial disclosure may be found after the references.","container-title":"Ophthalmology","DOI":"10.1016/j.ophtha.2023.02.024","ISSN":"1549-4713","issue":"7","journalAbbreviation":"Ophthalmology","language":"eng","note":"PMID: 36870451","page":"735-747","source":"PubMed","title":"Archway Phase 3 Trial of the Port Delivery System with Ranibizumab for Neovascular Age-Related Macular Degeneration 2-Year Results","volume":"130","author":[{"family":"Regillo","given":"Carl"},{"family":"Berger","given":"Brian"},{"family":"Brooks","given":"Logan"},{"family":"Clark","given":"W. Lloyd"},{"family":"Mittra","given":"Robert"},{"family":"Wykoff","given":"Charles C."},{"family":"Callaway","given":"Natalia F."},{"family":"DeGraaf","given":"Stephanie"},{"family":"Ding","given":"Han Ting"},{"family":"Fung","given":"Anne E."},{"family":"Gune","given":"Shamika"},{"family":"Le Pogam","given":"Sophie"},{"family":"Smith","given":"Robert"},{"family":"Willis","given":"Jeffrey R."},{"family":"Barteselli","given":"Giulio"}],"issued":{"date-parts":[["2023",7]]}}}],"schema":"https://github.com/citation-style-language/schema/raw/master/csl-citation.json"}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(4)</w:t>
            </w:r>
            <w:r w:rsidRPr="0030308C">
              <w:rPr>
                <w:rFonts w:ascii="Arial" w:hAnsi="Arial" w:cs="Arial"/>
                <w:color w:val="000000" w:themeColor="text1"/>
                <w:sz w:val="20"/>
                <w:szCs w:val="20"/>
                <w:lang w:val="en-US"/>
              </w:rPr>
              <w:fldChar w:fldCharType="end"/>
            </w:r>
          </w:p>
        </w:tc>
      </w:tr>
      <w:tr w:rsidR="00E61562" w:rsidRPr="0030308C" w14:paraId="61B0E1FB" w14:textId="77777777" w:rsidTr="000E0C52">
        <w:tc>
          <w:tcPr>
            <w:tcW w:w="4536" w:type="dxa"/>
          </w:tcPr>
          <w:p w14:paraId="03E47BDF" w14:textId="77777777" w:rsidR="00E61562" w:rsidRPr="0030308C" w:rsidRDefault="00E61562" w:rsidP="000E0C52">
            <w:pPr>
              <w:rPr>
                <w:rFonts w:ascii="Arial" w:hAnsi="Arial" w:cs="Arial"/>
                <w:color w:val="000000" w:themeColor="text1"/>
                <w:sz w:val="20"/>
                <w:szCs w:val="20"/>
                <w:lang w:val="en-US"/>
              </w:rPr>
            </w:pPr>
            <w:r w:rsidRPr="0030308C">
              <w:rPr>
                <w:rFonts w:ascii="Arial" w:hAnsi="Arial" w:cs="Arial"/>
                <w:color w:val="000000" w:themeColor="text1"/>
                <w:sz w:val="20"/>
                <w:szCs w:val="20"/>
                <w:lang w:val="en-US"/>
              </w:rPr>
              <w:t>Conjunctival erosion</w:t>
            </w:r>
          </w:p>
        </w:tc>
        <w:tc>
          <w:tcPr>
            <w:tcW w:w="1451" w:type="dxa"/>
          </w:tcPr>
          <w:p w14:paraId="6F70D640"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0.4%</w:t>
            </w:r>
          </w:p>
        </w:tc>
        <w:tc>
          <w:tcPr>
            <w:tcW w:w="2375" w:type="dxa"/>
          </w:tcPr>
          <w:p w14:paraId="56D856F3"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Beta</w:t>
            </w:r>
          </w:p>
        </w:tc>
        <w:tc>
          <w:tcPr>
            <w:tcW w:w="2318" w:type="dxa"/>
          </w:tcPr>
          <w:p w14:paraId="448C924D"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1</w:t>
            </w:r>
          </w:p>
        </w:tc>
        <w:tc>
          <w:tcPr>
            <w:tcW w:w="2254" w:type="dxa"/>
          </w:tcPr>
          <w:p w14:paraId="5FD56EA2"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247</w:t>
            </w:r>
          </w:p>
        </w:tc>
        <w:tc>
          <w:tcPr>
            <w:tcW w:w="3368" w:type="dxa"/>
          </w:tcPr>
          <w:p w14:paraId="1A0234D0"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{"citationID":"0OJGfj78","properties":{"formattedCitation":"(4)","plainCitation":"(4)","noteIndex":0},"citationItems":[{"id":26,"uris":["http://zotero.org/users/local/qnIpXHeo/items/SP5B4LER"],"itemData":{"id":26,"type":"article-journal","abstract":"PURPOSE: To report 2-year results from the Archway clinical trial of the Port Delivery System with ranibizumab (PDS) for treatment of neovascular age-related macular degeneration (nAMD).\nDESIGN: Phase 3, randomized, multicenter, open-label, active-comparator-controlled trial.\nPARTICIPANTS: Patients with previously treated nAMD diagnosed within 9 months of screening and responsive to anti-vascular endothelial growth factor therapy.\nMETHODS: Patients were randomized 3:2 to PDS with ranibizumab 100 mg/ml with fixed refill-exchanges every 24 weeks (PDS Q24W) or intravitreal ranibizumab 0.5 mg injections every 4 weeks (monthly ranibizumab). Patients were followed through 4 complete refill-exchange intervals (</w:instrText>
            </w:r>
            <w:r>
              <w:rPr>
                <w:rFonts w:ascii="Cambria Math" w:hAnsi="Cambria Math" w:cs="Cambria Math"/>
                <w:color w:val="000000" w:themeColor="text1"/>
                <w:sz w:val="20"/>
                <w:szCs w:val="20"/>
                <w:lang w:val="en-US"/>
              </w:rPr>
              <w:instrText>∼</w:instrText>
            </w:r>
            <w:r>
              <w:rPr>
                <w:rFonts w:ascii="Arial" w:hAnsi="Arial" w:cs="Arial"/>
                <w:color w:val="000000" w:themeColor="text1"/>
                <w:sz w:val="20"/>
                <w:szCs w:val="20"/>
                <w:lang w:val="en-US"/>
              </w:rPr>
              <w:instrText xml:space="preserve">2 years).\nMAIN OUTCOME MEASURES: Change in best-corrected visual acuity (BCVA) Early Treatment Diabetic Retinopathy Study (ETDRS) letter score from baseline averaged over weeks 44 and 48, weeks 60 and 64, and weeks 88 and 92 (noninferiority margin, -3.9 ETDRS letters).\nRESULTS: The PDS Q24W was noninferior to monthly ranibizumab, with differences in adjusted mean change in BCVA score from baseline averaged over weeks 44/48, 60/64 and 88/92 of -0.2 (95% confidence interval [CI], -1.8 to +1.3), +0.4 (95% CI, -1.4 to +2.1) and -0.6 ETDRS letters (95% CI, -2.5 to +1.3), respectively. Anatomic outcomes were generally comparable between arms through week 96. Through each of 4 PDS refill-exchange intervals, 98.4%, 94.6%, 94.8%, and 94.7% of PDS Q24W patients assessed did not receive supplemental ranibizumab treatment. The PDS ocular safety profile was generally unchanged from primary analysis. Prespecified ocular adverse events of special interest (AESI) were reported in 59 (23.8%) PDS and 17 (10.2%) monthly ranibizumab patients. The most common AESI reported in both arms was cataract (PDS Q24W, 22 [8.9%]; monthly ranibizumab, 10 [6.0%]). Events in the PDS Q24W arm included (patient incidence) 10 (4.0%) conjunctival erosions, 6 (2.4%) conjunctival retractions, 4 (1.6%) endophthalmitis cases, and 4 (1.6%) implant dislocations. Serum ranibizumab sampling showed that the PDS continuously released ranibizumab over the 24-week refill-exchange interval and ranibizumab serum concentrations were within the range experienced with monthly ranibizumab.\nCONCLUSIONS: The PDS Q24W showed noninferior efficacy to monthly ranibizumab through approximately 2 years, with approximately 95% of PDS Q24W patients not receiving supplemental ranibizumab treatment in each refill-exchange interval. The AESIs were generally manageable, with learnings continually implemented to minimize PDS-related AEs.\nFINANCIAL DISCLOSURE(S): Proprietary or commercial disclosure may be found after the references.","container-title":"Ophthalmology","DOI":"10.1016/j.ophtha.2023.02.024","ISSN":"1549-4713","issue":"7","journalAbbreviation":"Ophthalmology","language":"eng","note":"PMID: 36870451","page":"735-747","source":"PubMed","title":"Archway Phase 3 Trial of the Port Delivery System with Ranibizumab for Neovascular Age-Related Macular Degeneration 2-Year Results","volume":"130","author":[{"family":"Regillo","given":"Carl"},{"family":"Berger","given":"Brian"},{"family":"Brooks","given":"Logan"},{"family":"Clark","given":"W. Lloyd"},{"family":"Mittra","given":"Robert"},{"family":"Wykoff","given":"Charles C."},{"family":"Callaway","given":"Natalia F."},{"family":"DeGraaf","given":"Stephanie"},{"family":"Ding","given":"Han Ting"},{"family":"Fung","given":"Anne E."},{"family":"Gune","given":"Shamika"},{"family":"Le Pogam","given":"Sophie"},{"family":"Smith","given":"Robert"},{"family":"Willis","given":"Jeffrey R."},{"family":"Barteselli","given":"Giulio"}],"issued":{"date-parts":[["2023",7]]}}}],"schema":"https://github.com/citation-style-language/schema/raw/master/csl-citation.json"}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(4)</w:t>
            </w:r>
            <w:r w:rsidRPr="0030308C">
              <w:rPr>
                <w:rFonts w:ascii="Arial" w:hAnsi="Arial" w:cs="Arial"/>
                <w:color w:val="000000" w:themeColor="text1"/>
                <w:sz w:val="20"/>
                <w:szCs w:val="20"/>
                <w:lang w:val="en-US"/>
              </w:rPr>
              <w:fldChar w:fldCharType="end"/>
            </w:r>
          </w:p>
        </w:tc>
      </w:tr>
      <w:tr w:rsidR="00E61562" w:rsidRPr="0030308C" w14:paraId="20EA3C78" w14:textId="77777777" w:rsidTr="000E0C52">
        <w:tc>
          <w:tcPr>
            <w:tcW w:w="4536" w:type="dxa"/>
          </w:tcPr>
          <w:p w14:paraId="59DA52E4" w14:textId="77777777" w:rsidR="00E61562" w:rsidRPr="0030308C" w:rsidRDefault="00E61562" w:rsidP="000E0C52">
            <w:pPr>
              <w:rPr>
                <w:rFonts w:ascii="Arial" w:hAnsi="Arial" w:cs="Arial"/>
                <w:color w:val="000000" w:themeColor="text1"/>
                <w:sz w:val="20"/>
                <w:szCs w:val="20"/>
                <w:lang w:val="en-US"/>
              </w:rPr>
            </w:pPr>
            <w:r w:rsidRPr="0030308C">
              <w:rPr>
                <w:rFonts w:ascii="Arial" w:hAnsi="Arial" w:cs="Arial"/>
                <w:color w:val="000000" w:themeColor="text1"/>
                <w:sz w:val="20"/>
                <w:szCs w:val="20"/>
                <w:lang w:val="en-US"/>
              </w:rPr>
              <w:t>Conjunctival retraction</w:t>
            </w:r>
          </w:p>
        </w:tc>
        <w:tc>
          <w:tcPr>
            <w:tcW w:w="1451" w:type="dxa"/>
          </w:tcPr>
          <w:p w14:paraId="27AAE692"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0.4%</w:t>
            </w:r>
          </w:p>
        </w:tc>
        <w:tc>
          <w:tcPr>
            <w:tcW w:w="2375" w:type="dxa"/>
          </w:tcPr>
          <w:p w14:paraId="625C3E89"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Beta</w:t>
            </w:r>
          </w:p>
        </w:tc>
        <w:tc>
          <w:tcPr>
            <w:tcW w:w="2318" w:type="dxa"/>
          </w:tcPr>
          <w:p w14:paraId="07D80343"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1</w:t>
            </w:r>
          </w:p>
        </w:tc>
        <w:tc>
          <w:tcPr>
            <w:tcW w:w="2254" w:type="dxa"/>
          </w:tcPr>
          <w:p w14:paraId="0501CDA0"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247</w:t>
            </w:r>
          </w:p>
        </w:tc>
        <w:tc>
          <w:tcPr>
            <w:tcW w:w="3368" w:type="dxa"/>
          </w:tcPr>
          <w:p w14:paraId="313A3404"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{"citationID":"GeDm2oAA","properties":{"formattedCitation":"(4)","plainCitation":"(4)","noteIndex":0},"citationItems":[{"id":26,"uris":["http://zotero.org/users/local/qnIpXHeo/items/SP5B4LER"],"itemData":{"id":26,"type":"article-journal","abstract":"PURPOSE: To report 2-year results from the Archway clinical trial of the Port Delivery System with ranibizumab (PDS) for treatment of neovascular age-related macular degeneration (nAMD).\nDESIGN: Phase 3, randomized, multicenter, open-label, active-comparator-controlled trial.\nPARTICIPANTS: Patients with previously treated nAMD diagnosed within 9 months of screening and responsive to anti-vascular endothelial growth factor therapy.\nMETHODS: Patients were randomized 3:2 to PDS with ranibizumab 100 mg/ml with fixed refill-exchanges every 24 weeks (PDS Q24W) or intravitreal ranibizumab 0.5 mg injections every 4 weeks (monthly ranibizumab). Patients were followed through 4 complete refill-exchange intervals (</w:instrText>
            </w:r>
            <w:r>
              <w:rPr>
                <w:rFonts w:ascii="Cambria Math" w:hAnsi="Cambria Math" w:cs="Cambria Math"/>
                <w:color w:val="000000" w:themeColor="text1"/>
                <w:sz w:val="20"/>
                <w:szCs w:val="20"/>
                <w:lang w:val="en-US"/>
              </w:rPr>
              <w:instrText>∼</w:instrText>
            </w:r>
            <w:r>
              <w:rPr>
                <w:rFonts w:ascii="Arial" w:hAnsi="Arial" w:cs="Arial"/>
                <w:color w:val="000000" w:themeColor="text1"/>
                <w:sz w:val="20"/>
                <w:szCs w:val="20"/>
                <w:lang w:val="en-US"/>
              </w:rPr>
              <w:instrText xml:space="preserve">2 years).\nMAIN OUTCOME MEASURES: Change in best-corrected visual acuity (BCVA) Early Treatment Diabetic Retinopathy Study (ETDRS) letter score from baseline averaged over weeks 44 and 48, weeks 60 and 64, and weeks 88 and 92 (noninferiority margin, -3.9 ETDRS letters).\nRESULTS: The PDS Q24W was noninferior to monthly ranibizumab, with differences in adjusted mean change in BCVA score from baseline averaged over weeks 44/48, 60/64 and 88/92 of -0.2 (95% confidence interval [CI], -1.8 to +1.3), +0.4 (95% CI, -1.4 to +2.1) and -0.6 ETDRS letters (95% CI, -2.5 to +1.3), respectively. Anatomic outcomes were generally comparable between arms through week 96. Through each of 4 PDS refill-exchange intervals, 98.4%, 94.6%, 94.8%, and 94.7% of PDS Q24W patients assessed did not receive supplemental ranibizumab treatment. The PDS ocular safety profile was generally unchanged from primary analysis. Prespecified ocular adverse events of special interest (AESI) were reported in 59 (23.8%) PDS and 17 (10.2%) monthly ranibizumab patients. The most common AESI reported in both arms was cataract (PDS Q24W, 22 [8.9%]; monthly ranibizumab, 10 [6.0%]). Events in the PDS Q24W arm included (patient incidence) 10 (4.0%) conjunctival erosions, 6 (2.4%) conjunctival retractions, 4 (1.6%) endophthalmitis cases, and 4 (1.6%) implant dislocations. Serum ranibizumab sampling showed that the PDS continuously released ranibizumab over the 24-week refill-exchange interval and ranibizumab serum concentrations were within the range experienced with monthly ranibizumab.\nCONCLUSIONS: The PDS Q24W showed noninferior efficacy to monthly ranibizumab through approximately 2 years, with approximately 95% of PDS Q24W patients not receiving supplemental ranibizumab treatment in each refill-exchange interval. The AESIs were generally manageable, with learnings continually implemented to minimize PDS-related AEs.\nFINANCIAL DISCLOSURE(S): Proprietary or commercial disclosure may be found after the references.","container-title":"Ophthalmology","DOI":"10.1016/j.ophtha.2023.02.024","ISSN":"1549-4713","issue":"7","journalAbbreviation":"Ophthalmology","language":"eng","note":"PMID: 36870451","page":"735-747","source":"PubMed","title":"Archway Phase 3 Trial of the Port Delivery System with Ranibizumab for Neovascular Age-Related Macular Degeneration 2-Year Results","volume":"130","author":[{"family":"Regillo","given":"Carl"},{"family":"Berger","given":"Brian"},{"family":"Brooks","given":"Logan"},{"family":"Clark","given":"W. Lloyd"},{"family":"Mittra","given":"Robert"},{"family":"Wykoff","given":"Charles C."},{"family":"Callaway","given":"Natalia F."},{"family":"DeGraaf","given":"Stephanie"},{"family":"Ding","given":"Han Ting"},{"family":"Fung","given":"Anne E."},{"family":"Gune","given":"Shamika"},{"family":"Le Pogam","given":"Sophie"},{"family":"Smith","given":"Robert"},{"family":"Willis","given":"Jeffrey R."},{"family":"Barteselli","given":"Giulio"}],"issued":{"date-parts":[["2023",7]]}}}],"schema":"https://github.com/citation-style-language/schema/raw/master/csl-citation.json"}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(4)</w:t>
            </w:r>
            <w:r w:rsidRPr="0030308C">
              <w:rPr>
                <w:rFonts w:ascii="Arial" w:hAnsi="Arial" w:cs="Arial"/>
                <w:color w:val="000000" w:themeColor="text1"/>
                <w:sz w:val="20"/>
                <w:szCs w:val="20"/>
                <w:lang w:val="en-US"/>
              </w:rPr>
              <w:fldChar w:fldCharType="end"/>
            </w:r>
          </w:p>
        </w:tc>
      </w:tr>
      <w:tr w:rsidR="00E61562" w:rsidRPr="0030308C" w14:paraId="0EADA917" w14:textId="77777777" w:rsidTr="000E0C52">
        <w:tc>
          <w:tcPr>
            <w:tcW w:w="4536" w:type="dxa"/>
          </w:tcPr>
          <w:p w14:paraId="551E9837" w14:textId="77777777" w:rsidR="00E61562" w:rsidRPr="0030308C" w:rsidRDefault="00E61562" w:rsidP="000E0C52">
            <w:pPr>
              <w:rPr>
                <w:rFonts w:ascii="Arial" w:hAnsi="Arial" w:cs="Arial"/>
                <w:color w:val="000000" w:themeColor="text1"/>
                <w:sz w:val="20"/>
                <w:szCs w:val="20"/>
                <w:lang w:val="en-US"/>
              </w:rPr>
            </w:pPr>
            <w:r w:rsidRPr="0030308C">
              <w:rPr>
                <w:rFonts w:ascii="Arial" w:hAnsi="Arial" w:cs="Arial"/>
                <w:color w:val="000000" w:themeColor="text1"/>
                <w:sz w:val="20"/>
                <w:szCs w:val="20"/>
                <w:lang w:val="en-US"/>
              </w:rPr>
              <w:t>Endophthalmitis</w:t>
            </w:r>
          </w:p>
        </w:tc>
        <w:tc>
          <w:tcPr>
            <w:tcW w:w="1451" w:type="dxa"/>
          </w:tcPr>
          <w:p w14:paraId="11C260E8"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2375" w:type="dxa"/>
          </w:tcPr>
          <w:p w14:paraId="690C5F79"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Beta</w:t>
            </w:r>
          </w:p>
        </w:tc>
        <w:tc>
          <w:tcPr>
            <w:tcW w:w="2318" w:type="dxa"/>
          </w:tcPr>
          <w:p w14:paraId="1AB791D5"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2254" w:type="dxa"/>
          </w:tcPr>
          <w:p w14:paraId="0F6248F0"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248</w:t>
            </w:r>
          </w:p>
        </w:tc>
        <w:tc>
          <w:tcPr>
            <w:tcW w:w="3368" w:type="dxa"/>
          </w:tcPr>
          <w:p w14:paraId="4894C746"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{"citationID":"7cyrxsNZ","properties":{"formattedCitation":"(4)","plainCitation":"(4)","noteIndex":0},"citationItems":[{"id":26,"uris":["http://zotero.org/users/local/qnIpXHeo/items/SP5B4LER"],"itemData":{"id":26,"type":"article-journal","abstract":"PURPOSE: To report 2-year results from the Archway clinical trial of the Port Delivery System with ranibizumab (PDS) for treatment of neovascular age-related macular degeneration (nAMD).\nDESIGN: Phase 3, randomized, multicenter, open-label, active-comparator-controlled trial.\nPARTICIPANTS: Patients with previously treated nAMD diagnosed within 9 months of screening and responsive to anti-vascular endothelial growth factor therapy.\nMETHODS: Patients were randomized 3:2 to PDS with ranibizumab 100 mg/ml with fixed refill-exchanges every 24 weeks (PDS Q24W) or intravitreal ranibizumab 0.5 mg injections every 4 weeks (monthly ranibizumab). Patients were followed through 4 complete refill-exchange intervals (</w:instrText>
            </w:r>
            <w:r>
              <w:rPr>
                <w:rFonts w:ascii="Cambria Math" w:hAnsi="Cambria Math" w:cs="Cambria Math"/>
                <w:color w:val="000000" w:themeColor="text1"/>
                <w:sz w:val="20"/>
                <w:szCs w:val="20"/>
                <w:lang w:val="en-US"/>
              </w:rPr>
              <w:instrText>∼</w:instrText>
            </w:r>
            <w:r>
              <w:rPr>
                <w:rFonts w:ascii="Arial" w:hAnsi="Arial" w:cs="Arial"/>
                <w:color w:val="000000" w:themeColor="text1"/>
                <w:sz w:val="20"/>
                <w:szCs w:val="20"/>
                <w:lang w:val="en-US"/>
              </w:rPr>
              <w:instrText xml:space="preserve">2 years).\nMAIN OUTCOME MEASURES: Change in best-corrected visual acuity (BCVA) Early Treatment Diabetic Retinopathy Study (ETDRS) letter score from baseline averaged over weeks 44 and 48, weeks 60 and 64, and weeks 88 and 92 (noninferiority margin, -3.9 ETDRS letters).\nRESULTS: The PDS Q24W was noninferior to monthly ranibizumab, with differences in adjusted mean change in BCVA score from baseline averaged over weeks 44/48, 60/64 and 88/92 of -0.2 (95% confidence interval [CI], -1.8 to +1.3), +0.4 (95% CI, -1.4 to +2.1) and -0.6 ETDRS letters (95% CI, -2.5 to +1.3), respectively. Anatomic outcomes were generally comparable between arms through week 96. Through each of 4 PDS refill-exchange intervals, 98.4%, 94.6%, 94.8%, and 94.7% of PDS Q24W patients assessed did not receive supplemental ranibizumab treatment. The PDS ocular safety profile was generally unchanged from primary analysis. Prespecified ocular adverse events of special interest (AESI) were reported in 59 (23.8%) PDS and 17 (10.2%) monthly ranibizumab patients. The most common AESI reported in both arms was cataract (PDS Q24W, 22 [8.9%]; monthly ranibizumab, 10 [6.0%]). Events in the PDS Q24W arm included (patient incidence) 10 (4.0%) conjunctival erosions, 6 (2.4%) conjunctival retractions, 4 (1.6%) endophthalmitis cases, and 4 (1.6%) implant dislocations. Serum ranibizumab sampling showed that the PDS continuously released ranibizumab over the 24-week refill-exchange interval and ranibizumab serum concentrations were within the range experienced with monthly ranibizumab.\nCONCLUSIONS: The PDS Q24W showed noninferior efficacy to monthly ranibizumab through approximately 2 years, with approximately 95% of PDS Q24W patients not receiving supplemental ranibizumab treatment in each refill-exchange interval. The AESIs were generally manageable, with learnings continually implemented to minimize PDS-related AEs.\nFINANCIAL DISCLOSURE(S): Proprietary or commercial disclosure may be found after the references.","container-title":"Ophthalmology","DOI":"10.1016/j.ophtha.2023.02.024","ISSN":"1549-4713","issue":"7","journalAbbreviation":"Ophthalmology","language":"eng","note":"PMID: 36870451","page":"735-747","source":"PubMed","title":"Archway Phase 3 Trial of the Port Delivery System with Ranibizumab for Neovascular Age-Related Macular Degeneration 2-Year Results","volume":"130","author":[{"family":"Regillo","given":"Carl"},{"family":"Berger","given":"Brian"},{"family":"Brooks","given":"Logan"},{"family":"Clark","given":"W. Lloyd"},{"family":"Mittra","given":"Robert"},{"family":"Wykoff","given":"Charles C."},{"family":"Callaway","given":"Natalia F."},{"family":"DeGraaf","given":"Stephanie"},{"family":"Ding","given":"Han Ting"},{"family":"Fung","given":"Anne E."},{"family":"Gune","given":"Shamika"},{"family":"Le Pogam","given":"Sophie"},{"family":"Smith","given":"Robert"},{"family":"Willis","given":"Jeffrey R."},{"family":"Barteselli","given":"Giulio"}],"issued":{"date-parts":[["2023",7]]}}}],"schema":"https://github.com/citation-style-language/schema/raw/master/csl-citation.json"}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(4)</w:t>
            </w:r>
            <w:r w:rsidRPr="0030308C">
              <w:rPr>
                <w:rFonts w:ascii="Arial" w:hAnsi="Arial" w:cs="Arial"/>
                <w:color w:val="000000" w:themeColor="text1"/>
                <w:sz w:val="20"/>
                <w:szCs w:val="20"/>
                <w:lang w:val="en-US"/>
              </w:rPr>
              <w:fldChar w:fldCharType="end"/>
            </w:r>
          </w:p>
        </w:tc>
      </w:tr>
      <w:tr w:rsidR="00E61562" w:rsidRPr="0030308C" w14:paraId="01544013" w14:textId="77777777" w:rsidTr="000E0C52">
        <w:tc>
          <w:tcPr>
            <w:tcW w:w="4536" w:type="dxa"/>
          </w:tcPr>
          <w:p w14:paraId="373C96F8" w14:textId="77777777" w:rsidR="00E61562" w:rsidRPr="0030308C" w:rsidRDefault="00E61562" w:rsidP="000E0C52">
            <w:pPr>
              <w:rPr>
                <w:rFonts w:ascii="Arial" w:hAnsi="Arial" w:cs="Arial"/>
                <w:color w:val="000000" w:themeColor="text1"/>
                <w:sz w:val="20"/>
                <w:szCs w:val="20"/>
                <w:lang w:val="en-US"/>
              </w:rPr>
            </w:pPr>
            <w:r w:rsidRPr="0030308C">
              <w:rPr>
                <w:rFonts w:ascii="Arial" w:hAnsi="Arial" w:cs="Arial"/>
                <w:color w:val="000000" w:themeColor="text1"/>
                <w:sz w:val="20"/>
                <w:szCs w:val="20"/>
                <w:lang w:val="en-US"/>
              </w:rPr>
              <w:t xml:space="preserve">Sensitivity analysis </w:t>
            </w:r>
            <w:r>
              <w:rPr>
                <w:rFonts w:ascii="Arial" w:hAnsi="Arial" w:cs="Arial"/>
                <w:color w:val="000000" w:themeColor="text1"/>
                <w:sz w:val="20"/>
                <w:szCs w:val="20"/>
                <w:lang w:val="en-US"/>
              </w:rPr>
              <w:t>4</w:t>
            </w:r>
            <w:r w:rsidRPr="0030308C">
              <w:rPr>
                <w:rFonts w:ascii="Arial" w:hAnsi="Arial" w:cs="Arial"/>
                <w:color w:val="000000" w:themeColor="text1"/>
                <w:sz w:val="20"/>
                <w:szCs w:val="20"/>
                <w:lang w:val="en-US"/>
              </w:rPr>
              <w:t>: relative risk of adverse events probabilities</w:t>
            </w:r>
          </w:p>
        </w:tc>
        <w:tc>
          <w:tcPr>
            <w:tcW w:w="1451" w:type="dxa"/>
          </w:tcPr>
          <w:p w14:paraId="2A788A1A" w14:textId="77777777" w:rsidR="00E61562" w:rsidRPr="0030308C" w:rsidRDefault="00E61562" w:rsidP="000E0C52">
            <w:pPr>
              <w:jc w:val="both"/>
              <w:rPr>
                <w:rFonts w:ascii="Arial" w:hAnsi="Arial" w:cs="Arial"/>
                <w:color w:val="000000" w:themeColor="text1"/>
                <w:sz w:val="20"/>
                <w:szCs w:val="20"/>
                <w:lang w:val="en-US"/>
              </w:rPr>
            </w:pPr>
            <w:r>
              <w:rPr>
                <w:rFonts w:ascii="Arial" w:hAnsi="Arial" w:cs="Arial"/>
                <w:color w:val="000000" w:themeColor="text1"/>
                <w:sz w:val="20"/>
                <w:szCs w:val="20"/>
                <w:lang w:val="en-US"/>
              </w:rPr>
              <w:t>0.5</w:t>
            </w:r>
          </w:p>
        </w:tc>
        <w:tc>
          <w:tcPr>
            <w:tcW w:w="2375" w:type="dxa"/>
          </w:tcPr>
          <w:p w14:paraId="6D56D166" w14:textId="77777777" w:rsidR="00E61562" w:rsidRPr="0030308C" w:rsidRDefault="00E61562" w:rsidP="000E0C52">
            <w:pPr>
              <w:jc w:val="both"/>
              <w:rPr>
                <w:rFonts w:ascii="Arial" w:hAnsi="Arial" w:cs="Arial"/>
                <w:color w:val="000000" w:themeColor="text1"/>
                <w:sz w:val="20"/>
                <w:szCs w:val="20"/>
                <w:lang w:val="en-US"/>
              </w:rPr>
            </w:pPr>
          </w:p>
        </w:tc>
        <w:tc>
          <w:tcPr>
            <w:tcW w:w="2318" w:type="dxa"/>
          </w:tcPr>
          <w:p w14:paraId="36AC1A9C" w14:textId="77777777" w:rsidR="00E61562" w:rsidRPr="0030308C" w:rsidRDefault="00E61562" w:rsidP="000E0C52">
            <w:pPr>
              <w:jc w:val="both"/>
              <w:rPr>
                <w:rFonts w:ascii="Arial" w:hAnsi="Arial" w:cs="Arial"/>
                <w:color w:val="000000" w:themeColor="text1"/>
                <w:sz w:val="20"/>
                <w:szCs w:val="20"/>
                <w:lang w:val="en-US"/>
              </w:rPr>
            </w:pPr>
          </w:p>
        </w:tc>
        <w:tc>
          <w:tcPr>
            <w:tcW w:w="2254" w:type="dxa"/>
          </w:tcPr>
          <w:p w14:paraId="0385A360" w14:textId="77777777" w:rsidR="00E61562" w:rsidRPr="0030308C" w:rsidRDefault="00E61562" w:rsidP="000E0C52">
            <w:pPr>
              <w:jc w:val="both"/>
              <w:rPr>
                <w:rFonts w:ascii="Arial" w:hAnsi="Arial" w:cs="Arial"/>
                <w:color w:val="000000" w:themeColor="text1"/>
                <w:sz w:val="20"/>
                <w:szCs w:val="20"/>
                <w:lang w:val="en-US"/>
              </w:rPr>
            </w:pPr>
          </w:p>
        </w:tc>
        <w:tc>
          <w:tcPr>
            <w:tcW w:w="3368" w:type="dxa"/>
          </w:tcPr>
          <w:p w14:paraId="38D93F0A" w14:textId="77777777" w:rsidR="00E61562" w:rsidRPr="0030308C" w:rsidRDefault="00E61562" w:rsidP="000E0C52">
            <w:pPr>
              <w:jc w:val="both"/>
              <w:rPr>
                <w:rFonts w:ascii="Arial" w:hAnsi="Arial" w:cs="Arial"/>
                <w:color w:val="000000" w:themeColor="text1"/>
                <w:sz w:val="20"/>
                <w:szCs w:val="20"/>
                <w:lang w:val="en-US"/>
              </w:rPr>
            </w:pPr>
            <w:r>
              <w:rPr>
                <w:rFonts w:ascii="Arial" w:hAnsi="Arial" w:cs="Arial"/>
                <w:color w:val="000000" w:themeColor="text1"/>
                <w:sz w:val="20"/>
                <w:szCs w:val="20"/>
                <w:lang w:val="en-US"/>
              </w:rPr>
              <w:t>Assumed extreme learning curve</w:t>
            </w:r>
          </w:p>
        </w:tc>
      </w:tr>
      <w:tr w:rsidR="00E61562" w:rsidRPr="0030308C" w14:paraId="600A31F5" w14:textId="77777777" w:rsidTr="000E0C52">
        <w:tc>
          <w:tcPr>
            <w:tcW w:w="4536" w:type="dxa"/>
          </w:tcPr>
          <w:p w14:paraId="182AB96D" w14:textId="77777777" w:rsidR="00E61562" w:rsidRPr="0030308C" w:rsidRDefault="00E61562" w:rsidP="000E0C52">
            <w:pPr>
              <w:rPr>
                <w:rFonts w:ascii="Arial" w:hAnsi="Arial" w:cs="Arial"/>
                <w:color w:val="000000" w:themeColor="text1"/>
                <w:sz w:val="20"/>
                <w:szCs w:val="20"/>
                <w:lang w:val="en-US"/>
              </w:rPr>
            </w:pPr>
            <w:r w:rsidRPr="0030308C">
              <w:rPr>
                <w:rFonts w:ascii="Arial" w:hAnsi="Arial" w:cs="Arial"/>
                <w:color w:val="000000" w:themeColor="text1"/>
                <w:sz w:val="20"/>
                <w:szCs w:val="20"/>
                <w:lang w:val="en-US"/>
              </w:rPr>
              <w:t>Retinal detachment (rhegmatogenous)</w:t>
            </w:r>
          </w:p>
        </w:tc>
        <w:tc>
          <w:tcPr>
            <w:tcW w:w="1451" w:type="dxa"/>
          </w:tcPr>
          <w:p w14:paraId="3A1837A2"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0.4%</w:t>
            </w:r>
          </w:p>
        </w:tc>
        <w:tc>
          <w:tcPr>
            <w:tcW w:w="2375" w:type="dxa"/>
          </w:tcPr>
          <w:p w14:paraId="4E1B0732"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Beta</w:t>
            </w:r>
          </w:p>
        </w:tc>
        <w:tc>
          <w:tcPr>
            <w:tcW w:w="2318" w:type="dxa"/>
          </w:tcPr>
          <w:p w14:paraId="7DEFFA61"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1</w:t>
            </w:r>
          </w:p>
        </w:tc>
        <w:tc>
          <w:tcPr>
            <w:tcW w:w="2254" w:type="dxa"/>
          </w:tcPr>
          <w:p w14:paraId="7A6546AF"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247</w:t>
            </w:r>
          </w:p>
        </w:tc>
        <w:tc>
          <w:tcPr>
            <w:tcW w:w="3368" w:type="dxa"/>
          </w:tcPr>
          <w:p w14:paraId="1A55938C"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{"citationID":"kiTTQaCC","properties":{"formattedCitation":"(4)","plainCitation":"(4)","noteIndex":0},"citationItems":[{"id":26,"uris":["http://zotero.org/users/local/qnIpXHeo/items/SP5B4LER"],"itemData":{"id":26,"type":"article-journal","abstract":"PURPOSE: To report 2-year results from the Archway clinical trial of the Port Delivery System with ranibizumab (PDS) for treatment of neovascular age-related macular degeneration (nAMD).\nDESIGN: Phase 3, randomized, multicenter, open-label, active-comparator-controlled trial.\nPARTICIPANTS: Patients with previously treated nAMD diagnosed within 9 months of screening and responsive to anti-vascular endothelial growth factor therapy.\nMETHODS: Patients were randomized 3:2 to PDS with ranibizumab 100 mg/ml with fixed refill-exchanges every 24 weeks (PDS Q24W) or intravitreal ranibizumab 0.5 mg injections every 4 weeks (monthly ranibizumab). Patients were followed through 4 complete refill-exchange intervals (</w:instrText>
            </w:r>
            <w:r>
              <w:rPr>
                <w:rFonts w:ascii="Cambria Math" w:hAnsi="Cambria Math" w:cs="Cambria Math"/>
                <w:color w:val="000000" w:themeColor="text1"/>
                <w:sz w:val="20"/>
                <w:szCs w:val="20"/>
                <w:lang w:val="en-US"/>
              </w:rPr>
              <w:instrText>∼</w:instrText>
            </w:r>
            <w:r>
              <w:rPr>
                <w:rFonts w:ascii="Arial" w:hAnsi="Arial" w:cs="Arial"/>
                <w:color w:val="000000" w:themeColor="text1"/>
                <w:sz w:val="20"/>
                <w:szCs w:val="20"/>
                <w:lang w:val="en-US"/>
              </w:rPr>
              <w:instrText xml:space="preserve">2 years).\nMAIN OUTCOME MEASURES: Change in best-corrected visual acuity (BCVA) Early Treatment Diabetic Retinopathy Study (ETDRS) letter score from baseline averaged over weeks 44 and 48, weeks 60 and 64, and weeks 88 and 92 (noninferiority margin, -3.9 ETDRS letters).\nRESULTS: The PDS Q24W was noninferior to monthly ranibizumab, with differences in adjusted mean change in BCVA score from baseline averaged over weeks 44/48, 60/64 and 88/92 of -0.2 (95% confidence interval [CI], -1.8 to +1.3), +0.4 (95% CI, -1.4 to +2.1) and -0.6 ETDRS letters (95% CI, -2.5 to +1.3), respectively. Anatomic outcomes were generally comparable between arms through week 96. Through each of 4 PDS refill-exchange intervals, 98.4%, 94.6%, 94.8%, and 94.7% of PDS Q24W patients assessed did not receive supplemental ranibizumab treatment. The PDS ocular safety profile was generally unchanged from primary analysis. Prespecified ocular adverse events of special interest (AESI) were reported in 59 (23.8%) PDS and 17 (10.2%) monthly ranibizumab patients. The most common AESI reported in both arms was cataract (PDS Q24W, 22 [8.9%]; monthly ranibizumab, 10 [6.0%]). Events in the PDS Q24W arm included (patient incidence) 10 (4.0%) conjunctival erosions, 6 (2.4%) conjunctival retractions, 4 (1.6%) endophthalmitis cases, and 4 (1.6%) implant dislocations. Serum ranibizumab sampling showed that the PDS continuously released ranibizumab over the 24-week refill-exchange interval and ranibizumab serum concentrations were within the range experienced with monthly ranibizumab.\nCONCLUSIONS: The PDS Q24W showed noninferior efficacy to monthly ranibizumab through approximately 2 years, with approximately 95% of PDS Q24W patients not receiving supplemental ranibizumab treatment in each refill-exchange interval. The AESIs were generally manageable, with learnings continually implemented to minimize PDS-related AEs.\nFINANCIAL DISCLOSURE(S): Proprietary or commercial disclosure may be found after the references.","container-title":"Ophthalmology","DOI":"10.1016/j.ophtha.2023.02.024","ISSN":"1549-4713","issue":"7","journalAbbreviation":"Ophthalmology","language":"eng","note":"PMID: 36870451","page":"735-747","source":"PubMed","title":"Archway Phase 3 Trial of the Port Delivery System with Ranibizumab for Neovascular Age-Related Macular Degeneration 2-Year Results","volume":"130","author":[{"family":"Regillo","given":"Carl"},{"family":"Berger","given":"Brian"},{"family":"Brooks","given":"Logan"},{"family":"Clark","given":"W. Lloyd"},{"family":"Mittra","given":"Robert"},{"family":"Wykoff","given":"Charles C."},{"family":"Callaway","given":"Natalia F."},{"family":"DeGraaf","given":"Stephanie"},{"family":"Ding","given":"Han Ting"},{"family":"Fung","given":"Anne E."},{"family":"Gune","given":"Shamika"},{"family":"Le Pogam","given":"Sophie"},{"family":"Smith","given":"Robert"},{"family":"Willis","given":"Jeffrey R."},{"family":"Barteselli","given":"Giulio"}],"issued":{"date-parts":[["2023",7]]}}}],"schema":"https://github.com/citation-style-language/schema/raw/master/csl-citation.json"}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(4)</w:t>
            </w:r>
            <w:r w:rsidRPr="0030308C">
              <w:rPr>
                <w:rFonts w:ascii="Arial" w:hAnsi="Arial" w:cs="Arial"/>
                <w:color w:val="000000" w:themeColor="text1"/>
                <w:sz w:val="20"/>
                <w:szCs w:val="20"/>
                <w:lang w:val="en-US"/>
              </w:rPr>
              <w:fldChar w:fldCharType="end"/>
            </w:r>
          </w:p>
        </w:tc>
      </w:tr>
      <w:tr w:rsidR="00E61562" w:rsidRPr="0030308C" w14:paraId="3E41AE56" w14:textId="77777777" w:rsidTr="000E0C52">
        <w:tc>
          <w:tcPr>
            <w:tcW w:w="4536" w:type="dxa"/>
          </w:tcPr>
          <w:p w14:paraId="022B6484" w14:textId="77777777" w:rsidR="00E61562" w:rsidRPr="0030308C" w:rsidRDefault="00E61562" w:rsidP="000E0C52">
            <w:pPr>
              <w:rPr>
                <w:rFonts w:ascii="Arial" w:hAnsi="Arial" w:cs="Arial"/>
                <w:color w:val="000000" w:themeColor="text1"/>
                <w:sz w:val="20"/>
                <w:szCs w:val="20"/>
                <w:lang w:val="en-US"/>
              </w:rPr>
            </w:pPr>
            <w:proofErr w:type="spellStart"/>
            <w:r w:rsidRPr="0030308C">
              <w:rPr>
                <w:rFonts w:ascii="Arial" w:hAnsi="Arial" w:cs="Arial"/>
                <w:color w:val="000000" w:themeColor="text1"/>
                <w:sz w:val="20"/>
                <w:szCs w:val="20"/>
                <w:lang w:val="en-US"/>
              </w:rPr>
              <w:t>Hyphema</w:t>
            </w:r>
            <w:proofErr w:type="spellEnd"/>
          </w:p>
        </w:tc>
        <w:tc>
          <w:tcPr>
            <w:tcW w:w="1451" w:type="dxa"/>
          </w:tcPr>
          <w:p w14:paraId="55BBCDA1"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0.4%</w:t>
            </w:r>
          </w:p>
        </w:tc>
        <w:tc>
          <w:tcPr>
            <w:tcW w:w="2375" w:type="dxa"/>
          </w:tcPr>
          <w:p w14:paraId="20CC83BE"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Beta</w:t>
            </w:r>
          </w:p>
        </w:tc>
        <w:tc>
          <w:tcPr>
            <w:tcW w:w="2318" w:type="dxa"/>
          </w:tcPr>
          <w:p w14:paraId="60E6C9DE"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1</w:t>
            </w:r>
          </w:p>
        </w:tc>
        <w:tc>
          <w:tcPr>
            <w:tcW w:w="2254" w:type="dxa"/>
          </w:tcPr>
          <w:p w14:paraId="10DB2C2F"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247</w:t>
            </w:r>
          </w:p>
        </w:tc>
        <w:tc>
          <w:tcPr>
            <w:tcW w:w="3368" w:type="dxa"/>
          </w:tcPr>
          <w:p w14:paraId="433AB515"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{"citationID":"WL4CDMgx","properties":{"formattedCitation":"(4)","plainCitation":"(4)","noteIndex":0},"citationItems":[{"id":26,"uris":["http://zotero.org/users/local/qnIpXHeo/items/SP5B4LER"],"itemData":{"id":26,"type":"article-journal","abstract":"PURPOSE: To report 2-year results from the Archway clinical trial of the Port Delivery System with ranibizumab (PDS) for treatment of neovascular age-related macular degeneration (nAMD).\nDESIGN: Phase 3, randomized, multicenter, open-label, active-comparator-controlled trial.\nPARTICIPANTS: Patients with previously treated nAMD diagnosed within 9 months of screening and responsive to anti-vascular endothelial growth factor therapy.\nMETHODS: Patients were randomized 3:2 to PDS with ranibizumab 100 mg/ml with fixed refill-exchanges every 24 weeks (PDS Q24W) or intravitreal ranibizumab 0.5 mg injections every 4 weeks (monthly ranibizumab). Patients were followed through 4 complete refill-exchange intervals (</w:instrText>
            </w:r>
            <w:r>
              <w:rPr>
                <w:rFonts w:ascii="Cambria Math" w:hAnsi="Cambria Math" w:cs="Cambria Math"/>
                <w:color w:val="000000" w:themeColor="text1"/>
                <w:sz w:val="20"/>
                <w:szCs w:val="20"/>
                <w:lang w:val="en-US"/>
              </w:rPr>
              <w:instrText>∼</w:instrText>
            </w:r>
            <w:r>
              <w:rPr>
                <w:rFonts w:ascii="Arial" w:hAnsi="Arial" w:cs="Arial"/>
                <w:color w:val="000000" w:themeColor="text1"/>
                <w:sz w:val="20"/>
                <w:szCs w:val="20"/>
                <w:lang w:val="en-US"/>
              </w:rPr>
              <w:instrText xml:space="preserve">2 years).\nMAIN OUTCOME MEASURES: Change in best-corrected visual acuity (BCVA) Early Treatment Diabetic Retinopathy Study (ETDRS) letter score from baseline averaged over weeks 44 and 48, weeks 60 and 64, and weeks 88 and 92 (noninferiority margin, -3.9 ETDRS letters).\nRESULTS: The PDS Q24W was noninferior to monthly ranibizumab, with differences in adjusted mean change in BCVA score from baseline averaged over weeks 44/48, 60/64 and 88/92 of -0.2 (95% confidence interval [CI], -1.8 to +1.3), +0.4 (95% CI, -1.4 to +2.1) and -0.6 ETDRS letters (95% CI, -2.5 to +1.3), respectively. Anatomic outcomes were generally comparable between arms through week 96. Through each of 4 PDS refill-exchange intervals, 98.4%, 94.6%, 94.8%, and 94.7% of PDS Q24W patients assessed did not receive supplemental ranibizumab treatment. The PDS ocular safety profile was generally unchanged from primary analysis. Prespecified ocular adverse events of special interest (AESI) were reported in 59 (23.8%) PDS and 17 (10.2%) monthly ranibizumab patients. The most common AESI reported in both arms was cataract (PDS Q24W, 22 [8.9%]; monthly ranibizumab, 10 [6.0%]). Events in the PDS Q24W arm included (patient incidence) 10 (4.0%) conjunctival erosions, 6 (2.4%) conjunctival retractions, 4 (1.6%) endophthalmitis cases, and 4 (1.6%) implant dislocations. Serum ranibizumab sampling showed that the PDS continuously released ranibizumab over the 24-week refill-exchange interval and ranibizumab serum concentrations were within the range experienced with monthly ranibizumab.\nCONCLUSIONS: The PDS Q24W showed noninferior efficacy to monthly ranibizumab through approximately 2 years, with approximately 95% of PDS Q24W patients not receiving supplemental ranibizumab treatment in each refill-exchange interval. The AESIs were generally manageable, with learnings continually implemented to minimize PDS-related AEs.\nFINANCIAL DISCLOSURE(S): Proprietary or commercial disclosure may be found after the references.","container-title":"Ophthalmology","DOI":"10.1016/j.ophtha.2023.02.024","ISSN":"1549-4713","issue":"7","journalAbbreviation":"Ophthalmology","language":"eng","note":"PMID: 36870451","page":"735-747","source":"PubMed","title":"Archway Phase 3 Trial of the Port Delivery System with Ranibizumab for Neovascular Age-Related Macular Degeneration 2-Year Results","volume":"130","author":[{"family":"Regillo","given":"Carl"},{"family":"Berger","given":"Brian"},{"family":"Brooks","given":"Logan"},{"family":"Clark","given":"W. Lloyd"},{"family":"Mittra","given":"Robert"},{"family":"Wykoff","given":"Charles C."},{"family":"Callaway","given":"Natalia F."},{"family":"DeGraaf","given":"Stephanie"},{"family":"Ding","given":"Han Ting"},{"family":"Fung","given":"Anne E."},{"family":"Gune","given":"Shamika"},{"family":"Le Pogam","given":"Sophie"},{"family":"Smith","given":"Robert"},{"family":"Willis","given":"Jeffrey R."},{"family":"Barteselli","given":"Giulio"}],"issued":{"date-parts":[["2023",7]]}}}],"schema":"https://github.com/citation-style-language/schema/raw/master/csl-citation.json"}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(4)</w:t>
            </w:r>
            <w:r w:rsidRPr="0030308C">
              <w:rPr>
                <w:rFonts w:ascii="Arial" w:hAnsi="Arial" w:cs="Arial"/>
                <w:color w:val="000000" w:themeColor="text1"/>
                <w:sz w:val="20"/>
                <w:szCs w:val="20"/>
                <w:lang w:val="en-US"/>
              </w:rPr>
              <w:fldChar w:fldCharType="end"/>
            </w:r>
          </w:p>
        </w:tc>
      </w:tr>
      <w:tr w:rsidR="00E61562" w:rsidRPr="0030308C" w14:paraId="48D5AF6E" w14:textId="77777777" w:rsidTr="000E0C52">
        <w:tc>
          <w:tcPr>
            <w:tcW w:w="4536" w:type="dxa"/>
          </w:tcPr>
          <w:p w14:paraId="78C9EC8F" w14:textId="77777777" w:rsidR="00E61562" w:rsidRPr="0030308C" w:rsidRDefault="00E61562" w:rsidP="000E0C52">
            <w:pPr>
              <w:rPr>
                <w:rFonts w:ascii="Arial" w:hAnsi="Arial" w:cs="Arial"/>
                <w:color w:val="000000" w:themeColor="text1"/>
                <w:sz w:val="20"/>
                <w:szCs w:val="20"/>
                <w:lang w:val="en-US"/>
              </w:rPr>
            </w:pPr>
            <w:r w:rsidRPr="0030308C">
              <w:rPr>
                <w:rFonts w:ascii="Arial" w:hAnsi="Arial" w:cs="Arial"/>
                <w:color w:val="000000" w:themeColor="text1"/>
                <w:sz w:val="20"/>
                <w:szCs w:val="20"/>
                <w:lang w:val="en-US"/>
              </w:rPr>
              <w:t>Implant dislocation</w:t>
            </w:r>
          </w:p>
        </w:tc>
        <w:tc>
          <w:tcPr>
            <w:tcW w:w="1451" w:type="dxa"/>
          </w:tcPr>
          <w:p w14:paraId="7585298D"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2375" w:type="dxa"/>
          </w:tcPr>
          <w:p w14:paraId="1097ECF4"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Beta</w:t>
            </w:r>
          </w:p>
        </w:tc>
        <w:tc>
          <w:tcPr>
            <w:tcW w:w="2318" w:type="dxa"/>
          </w:tcPr>
          <w:p w14:paraId="2F6A0151"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2254" w:type="dxa"/>
          </w:tcPr>
          <w:p w14:paraId="10C14E81"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248</w:t>
            </w:r>
          </w:p>
        </w:tc>
        <w:tc>
          <w:tcPr>
            <w:tcW w:w="3368" w:type="dxa"/>
          </w:tcPr>
          <w:p w14:paraId="62ED68AD"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{"citationID":"Ge0zehbK","properties":{"formattedCitation":"(4)","plainCitation":"(4)","noteIndex":0},"citationItems":[{"id":26,"uris":["http://zotero.org/users/local/qnIpXHeo/items/SP5B4LER"],"itemData":{"id":26,"type":"article-journal","abstract":"PURPOSE: To report 2-year results from the Archway clinical trial of the Port Delivery System with ranibizumab (PDS) for treatment of neovascular age-related macular degeneration (nAMD).\nDESIGN: Phase 3, randomized, multicenter, open-label, active-comparator-controlled trial.\nPARTICIPANTS: Patients with previously treated nAMD diagnosed within 9 months of screening and responsive to anti-vascular endothelial growth factor therapy.\nMETHODS: Patients were randomized 3:2 to PDS with ranibizumab 100 mg/ml with fixed refill-exchanges every 24 weeks (PDS Q24W) or intravitreal ranibizumab 0.5 mg injections every 4 weeks (monthly ranibizumab). Patients were followed through 4 complete refill-exchange intervals (</w:instrText>
            </w:r>
            <w:r>
              <w:rPr>
                <w:rFonts w:ascii="Cambria Math" w:hAnsi="Cambria Math" w:cs="Cambria Math"/>
                <w:color w:val="000000" w:themeColor="text1"/>
                <w:sz w:val="20"/>
                <w:szCs w:val="20"/>
                <w:lang w:val="en-US"/>
              </w:rPr>
              <w:instrText>∼</w:instrText>
            </w:r>
            <w:r>
              <w:rPr>
                <w:rFonts w:ascii="Arial" w:hAnsi="Arial" w:cs="Arial"/>
                <w:color w:val="000000" w:themeColor="text1"/>
                <w:sz w:val="20"/>
                <w:szCs w:val="20"/>
                <w:lang w:val="en-US"/>
              </w:rPr>
              <w:instrText xml:space="preserve">2 years).\nMAIN OUTCOME MEASURES: Change in best-corrected visual acuity (BCVA) Early Treatment Diabetic Retinopathy Study (ETDRS) letter score from baseline averaged over weeks 44 and 48, weeks 60 and 64, and weeks 88 and 92 (noninferiority margin, -3.9 ETDRS letters).\nRESULTS: The PDS Q24W was noninferior to monthly ranibizumab, with differences in adjusted mean change in BCVA score from baseline averaged over weeks 44/48, 60/64 and 88/92 of -0.2 (95% confidence interval [CI], -1.8 to +1.3), +0.4 (95% CI, -1.4 to +2.1) and -0.6 ETDRS letters (95% CI, -2.5 to +1.3), respectively. Anatomic outcomes were generally comparable between arms through week 96. Through each of 4 PDS refill-exchange intervals, 98.4%, 94.6%, 94.8%, and 94.7% of PDS Q24W patients assessed did not receive supplemental ranibizumab treatment. The PDS ocular safety profile was generally unchanged from primary analysis. Prespecified ocular adverse events of special interest (AESI) were reported in 59 (23.8%) PDS and 17 (10.2%) monthly ranibizumab patients. The most common AESI reported in both arms was cataract (PDS Q24W, 22 [8.9%]; monthly ranibizumab, 10 [6.0%]). Events in the PDS Q24W arm included (patient incidence) 10 (4.0%) conjunctival erosions, 6 (2.4%) conjunctival retractions, 4 (1.6%) endophthalmitis cases, and 4 (1.6%) implant dislocations. Serum ranibizumab sampling showed that the PDS continuously released ranibizumab over the 24-week refill-exchange interval and ranibizumab serum concentrations were within the range experienced with monthly ranibizumab.\nCONCLUSIONS: The PDS Q24W showed noninferior efficacy to monthly ranibizumab through approximately 2 years, with approximately 95% of PDS Q24W patients not receiving supplemental ranibizumab treatment in each refill-exchange interval. The AESIs were generally manageable, with learnings continually implemented to minimize PDS-related AEs.\nFINANCIAL DISCLOSURE(S): Proprietary or commercial disclosure may be found after the references.","container-title":"Ophthalmology","DOI":"10.1016/j.ophtha.2023.02.024","ISSN":"1549-4713","issue":"7","journalAbbreviation":"Ophthalmology","language":"eng","note":"PMID: 36870451","page":"735-747","source":"PubMed","title":"Archway Phase 3 Trial of the Port Delivery System with Ranibizumab for Neovascular Age-Related Macular Degeneration 2-Year Results","volume":"130","author":[{"family":"Regillo","given":"Carl"},{"family":"Berger","given":"Brian"},{"family":"Brooks","given":"Logan"},{"family":"Clark","given":"W. Lloyd"},{"family":"Mittra","given":"Robert"},{"family":"Wykoff","given":"Charles C."},{"family":"Callaway","given":"Natalia F."},{"family":"DeGraaf","given":"Stephanie"},{"family":"Ding","given":"Han Ting"},{"family":"Fung","given":"Anne E."},{"family":"Gune","given":"Shamika"},{"family":"Le Pogam","given":"Sophie"},{"family":"Smith","given":"Robert"},{"family":"Willis","given":"Jeffrey R."},{"family":"Barteselli","given":"Giulio"}],"issued":{"date-parts":[["2023",7]]}}}],"schema":"https://github.com/citation-style-language/schema/raw/master/csl-citation.json"}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(4)</w:t>
            </w:r>
            <w:r w:rsidRPr="0030308C">
              <w:rPr>
                <w:rFonts w:ascii="Arial" w:hAnsi="Arial" w:cs="Arial"/>
                <w:color w:val="000000" w:themeColor="text1"/>
                <w:sz w:val="20"/>
                <w:szCs w:val="20"/>
                <w:lang w:val="en-US"/>
              </w:rPr>
              <w:fldChar w:fldCharType="end"/>
            </w:r>
          </w:p>
        </w:tc>
      </w:tr>
      <w:tr w:rsidR="00E61562" w:rsidRPr="0030308C" w14:paraId="643F6CB4" w14:textId="77777777" w:rsidTr="000E0C52">
        <w:tc>
          <w:tcPr>
            <w:tcW w:w="4536" w:type="dxa"/>
          </w:tcPr>
          <w:p w14:paraId="48B7EF18" w14:textId="77777777" w:rsidR="00E61562" w:rsidRPr="0030308C" w:rsidRDefault="00E61562" w:rsidP="000E0C52">
            <w:pPr>
              <w:rPr>
                <w:rFonts w:ascii="Arial" w:hAnsi="Arial" w:cs="Arial"/>
                <w:b/>
                <w:bCs/>
                <w:color w:val="000000" w:themeColor="text1"/>
                <w:sz w:val="20"/>
                <w:szCs w:val="20"/>
                <w:lang w:val="en-US"/>
              </w:rPr>
            </w:pPr>
            <w:r w:rsidRPr="0030308C">
              <w:rPr>
                <w:rFonts w:ascii="Arial" w:hAnsi="Arial" w:cs="Arial"/>
                <w:b/>
                <w:bCs/>
                <w:color w:val="000000" w:themeColor="text1"/>
                <w:sz w:val="20"/>
                <w:szCs w:val="20"/>
                <w:lang w:val="en-US"/>
              </w:rPr>
              <w:t>Probability after 37 days</w:t>
            </w:r>
          </w:p>
        </w:tc>
        <w:tc>
          <w:tcPr>
            <w:tcW w:w="1451" w:type="dxa"/>
          </w:tcPr>
          <w:p w14:paraId="535C4748" w14:textId="77777777" w:rsidR="00E61562" w:rsidRPr="0030308C" w:rsidRDefault="00E61562" w:rsidP="000E0C52">
            <w:pPr>
              <w:jc w:val="both"/>
              <w:rPr>
                <w:rFonts w:ascii="Arial" w:hAnsi="Arial" w:cs="Arial"/>
                <w:color w:val="000000" w:themeColor="text1"/>
                <w:sz w:val="20"/>
                <w:szCs w:val="20"/>
                <w:lang w:val="en-US"/>
              </w:rPr>
            </w:pPr>
          </w:p>
        </w:tc>
        <w:tc>
          <w:tcPr>
            <w:tcW w:w="2375" w:type="dxa"/>
          </w:tcPr>
          <w:p w14:paraId="16276DA6" w14:textId="77777777" w:rsidR="00E61562" w:rsidRPr="0030308C" w:rsidRDefault="00E61562" w:rsidP="000E0C52">
            <w:pPr>
              <w:jc w:val="both"/>
              <w:rPr>
                <w:rFonts w:ascii="Arial" w:hAnsi="Arial" w:cs="Arial"/>
                <w:color w:val="000000" w:themeColor="text1"/>
                <w:sz w:val="20"/>
                <w:szCs w:val="20"/>
                <w:lang w:val="en-US"/>
              </w:rPr>
            </w:pPr>
          </w:p>
        </w:tc>
        <w:tc>
          <w:tcPr>
            <w:tcW w:w="2318" w:type="dxa"/>
          </w:tcPr>
          <w:p w14:paraId="01A640A4" w14:textId="77777777" w:rsidR="00E61562" w:rsidRPr="0030308C" w:rsidRDefault="00E61562" w:rsidP="000E0C52">
            <w:pPr>
              <w:jc w:val="both"/>
              <w:rPr>
                <w:rFonts w:ascii="Arial" w:hAnsi="Arial" w:cs="Arial"/>
                <w:color w:val="000000" w:themeColor="text1"/>
                <w:sz w:val="20"/>
                <w:szCs w:val="20"/>
                <w:lang w:val="en-US"/>
              </w:rPr>
            </w:pPr>
          </w:p>
        </w:tc>
        <w:tc>
          <w:tcPr>
            <w:tcW w:w="2254" w:type="dxa"/>
          </w:tcPr>
          <w:p w14:paraId="620A840E" w14:textId="77777777" w:rsidR="00E61562" w:rsidRPr="0030308C" w:rsidRDefault="00E61562" w:rsidP="000E0C52">
            <w:pPr>
              <w:jc w:val="both"/>
              <w:rPr>
                <w:rFonts w:ascii="Arial" w:hAnsi="Arial" w:cs="Arial"/>
                <w:color w:val="000000" w:themeColor="text1"/>
                <w:sz w:val="20"/>
                <w:szCs w:val="20"/>
                <w:lang w:val="en-US"/>
              </w:rPr>
            </w:pPr>
          </w:p>
        </w:tc>
        <w:tc>
          <w:tcPr>
            <w:tcW w:w="3368" w:type="dxa"/>
          </w:tcPr>
          <w:p w14:paraId="4878FAEF" w14:textId="77777777" w:rsidR="00E61562" w:rsidRPr="0030308C" w:rsidRDefault="00E61562" w:rsidP="000E0C52">
            <w:pPr>
              <w:jc w:val="both"/>
              <w:rPr>
                <w:rFonts w:ascii="Arial" w:hAnsi="Arial" w:cs="Arial"/>
                <w:color w:val="000000" w:themeColor="text1"/>
                <w:sz w:val="20"/>
                <w:szCs w:val="20"/>
                <w:lang w:val="en-US"/>
              </w:rPr>
            </w:pPr>
          </w:p>
        </w:tc>
      </w:tr>
      <w:tr w:rsidR="00E61562" w:rsidRPr="0030308C" w14:paraId="48DF4D02" w14:textId="77777777" w:rsidTr="000E0C52">
        <w:tc>
          <w:tcPr>
            <w:tcW w:w="4536" w:type="dxa"/>
          </w:tcPr>
          <w:p w14:paraId="703A12F9" w14:textId="77777777" w:rsidR="00E61562" w:rsidRPr="0030308C" w:rsidRDefault="00E61562" w:rsidP="000E0C52">
            <w:pPr>
              <w:rPr>
                <w:rFonts w:ascii="Arial" w:hAnsi="Arial" w:cs="Arial"/>
                <w:color w:val="000000" w:themeColor="text1"/>
                <w:sz w:val="20"/>
                <w:szCs w:val="20"/>
                <w:lang w:val="en-US"/>
              </w:rPr>
            </w:pPr>
            <w:r w:rsidRPr="0030308C">
              <w:rPr>
                <w:rFonts w:ascii="Arial" w:hAnsi="Arial" w:cs="Arial"/>
                <w:color w:val="000000" w:themeColor="text1"/>
                <w:sz w:val="20"/>
                <w:szCs w:val="20"/>
                <w:lang w:val="en-US"/>
              </w:rPr>
              <w:t>Conjunctival bleb or conjunctival filtering bleb leak</w:t>
            </w:r>
          </w:p>
        </w:tc>
        <w:tc>
          <w:tcPr>
            <w:tcW w:w="1451" w:type="dxa"/>
          </w:tcPr>
          <w:p w14:paraId="7EF6D5A3"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2.8%</w:t>
            </w:r>
          </w:p>
        </w:tc>
        <w:tc>
          <w:tcPr>
            <w:tcW w:w="2375" w:type="dxa"/>
          </w:tcPr>
          <w:p w14:paraId="5E6EBFBB"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Beta</w:t>
            </w:r>
          </w:p>
        </w:tc>
        <w:tc>
          <w:tcPr>
            <w:tcW w:w="2318" w:type="dxa"/>
          </w:tcPr>
          <w:p w14:paraId="59BE49F7"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7</w:t>
            </w:r>
          </w:p>
        </w:tc>
        <w:tc>
          <w:tcPr>
            <w:tcW w:w="2254" w:type="dxa"/>
          </w:tcPr>
          <w:p w14:paraId="74286B2F"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241</w:t>
            </w:r>
          </w:p>
        </w:tc>
        <w:tc>
          <w:tcPr>
            <w:tcW w:w="3368" w:type="dxa"/>
          </w:tcPr>
          <w:p w14:paraId="4DA4DDD7"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{"citationID":"FnUnZr9q","properties":{"formattedCitation":"(4)","plainCitation":"(4)","noteIndex":0},"citationItems":[{"id":26,"uris":["http://zotero.org/users/local/qnIpXHeo/items/SP5B4LER"],"itemData":{"id":26,"type":"article-journal","abstract":"PURPOSE: To report 2-year results from the Archway clinical trial of the Port Delivery System with ranibizumab (PDS) for treatment of neovascular age-related macular degeneration (nAMD).\nDESIGN: Phase 3, randomized, multicenter, open-label, active-comparator-controlled trial.\nPARTICIPANTS: Patients with previously treated nAMD diagnosed within 9 months of screening and responsive to anti-vascular endothelial growth factor therapy.\nMETHODS: Patients were randomized 3:2 to PDS with ranibizumab 100 mg/ml with fixed refill-exchanges every 24 weeks (PDS Q24W) or intravitreal ranibizumab 0.5 mg injections every 4 weeks (monthly ranibizumab). Patients were followed through 4 complete refill-exchange intervals (</w:instrText>
            </w:r>
            <w:r>
              <w:rPr>
                <w:rFonts w:ascii="Cambria Math" w:hAnsi="Cambria Math" w:cs="Cambria Math"/>
                <w:color w:val="000000" w:themeColor="text1"/>
                <w:sz w:val="20"/>
                <w:szCs w:val="20"/>
                <w:lang w:val="en-US"/>
              </w:rPr>
              <w:instrText>∼</w:instrText>
            </w:r>
            <w:r>
              <w:rPr>
                <w:rFonts w:ascii="Arial" w:hAnsi="Arial" w:cs="Arial"/>
                <w:color w:val="000000" w:themeColor="text1"/>
                <w:sz w:val="20"/>
                <w:szCs w:val="20"/>
                <w:lang w:val="en-US"/>
              </w:rPr>
              <w:instrText xml:space="preserve">2 years).\nMAIN OUTCOME MEASURES: Change in best-corrected visual acuity (BCVA) Early Treatment Diabetic Retinopathy Study (ETDRS) letter score from baseline averaged over weeks 44 and 48, weeks 60 and 64, and weeks 88 and 92 (noninferiority margin, -3.9 ETDRS letters).\nRESULTS: The PDS Q24W was noninferior to monthly ranibizumab, with differences in adjusted mean change in BCVA score from baseline averaged over weeks 44/48, 60/64 and 88/92 of -0.2 (95% confidence interval [CI], -1.8 to +1.3), +0.4 (95% CI, -1.4 to +2.1) and -0.6 ETDRS letters (95% CI, -2.5 to +1.3), respectively. Anatomic outcomes were generally comparable between arms through week 96. Through each of 4 PDS refill-exchange intervals, 98.4%, 94.6%, 94.8%, and 94.7% of PDS Q24W patients assessed did not receive supplemental ranibizumab treatment. The PDS ocular safety profile was generally unchanged from primary analysis. Prespecified ocular adverse events of special interest (AESI) were reported in 59 (23.8%) PDS and 17 (10.2%) monthly ranibizumab patients. The most common AESI reported in both arms was cataract (PDS Q24W, 22 [8.9%]; monthly ranibizumab, 10 [6.0%]). Events in the PDS Q24W arm included (patient incidence) 10 (4.0%) conjunctival erosions, 6 (2.4%) conjunctival retractions, 4 (1.6%) endophthalmitis cases, and 4 (1.6%) implant dislocations. Serum ranibizumab sampling showed that the PDS continuously released ranibizumab over the 24-week refill-exchange interval and ranibizumab serum concentrations were within the range experienced with monthly ranibizumab.\nCONCLUSIONS: The PDS Q24W showed noninferior efficacy to monthly ranibizumab through approximately 2 years, with approximately 95% of PDS Q24W patients not receiving supplemental ranibizumab treatment in each refill-exchange interval. The AESIs were generally manageable, with learnings continually implemented to minimize PDS-related AEs.\nFINANCIAL DISCLOSURE(S): Proprietary or commercial disclosure may be found after the references.","container-title":"Ophthalmology","DOI":"10.1016/j.ophtha.2023.02.024","ISSN":"1549-4713","issue":"7","journalAbbreviation":"Ophthalmology","language":"eng","note":"PMID: 36870451","page":"735-747","source":"PubMed","title":"Archway Phase 3 Trial of the Port Delivery System with Ranibizumab for Neovascular Age-Related Macular Degeneration 2-Year Results","volume":"130","author":[{"family":"Regillo","given":"Carl"},{"family":"Berger","given":"Brian"},{"family":"Brooks","given":"Logan"},{"family":"Clark","given":"W. Lloyd"},{"family":"Mittra","given":"Robert"},{"family":"Wykoff","given":"Charles C."},{"family":"Callaway","given":"Natalia F."},{"family":"DeGraaf","given":"Stephanie"},{"family":"Ding","given":"Han Ting"},{"family":"Fung","given":"Anne E."},{"family":"Gune","given":"Shamika"},{"family":"Le Pogam","given":"Sophie"},{"family":"Smith","given":"Robert"},{"family":"Willis","given":"Jeffrey R."},{"family":"Barteselli","given":"Giulio"}],"issued":{"date-parts":[["2023",7]]}}}],"schema":"https://github.com/citation-style-language/schema/raw/master/csl-citation.json"}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(4)</w:t>
            </w:r>
            <w:r w:rsidRPr="0030308C">
              <w:rPr>
                <w:rFonts w:ascii="Arial" w:hAnsi="Arial" w:cs="Arial"/>
                <w:color w:val="000000" w:themeColor="text1"/>
                <w:sz w:val="20"/>
                <w:szCs w:val="20"/>
                <w:lang w:val="en-US"/>
              </w:rPr>
              <w:fldChar w:fldCharType="end"/>
            </w:r>
          </w:p>
        </w:tc>
      </w:tr>
      <w:tr w:rsidR="00E61562" w:rsidRPr="0030308C" w14:paraId="72EFAD8F" w14:textId="77777777" w:rsidTr="000E0C52">
        <w:tc>
          <w:tcPr>
            <w:tcW w:w="4536" w:type="dxa"/>
          </w:tcPr>
          <w:p w14:paraId="399A1FA4" w14:textId="77777777" w:rsidR="00E61562" w:rsidRPr="0030308C" w:rsidRDefault="00E61562" w:rsidP="000E0C52">
            <w:pPr>
              <w:rPr>
                <w:rFonts w:ascii="Arial" w:hAnsi="Arial" w:cs="Arial"/>
                <w:color w:val="000000" w:themeColor="text1"/>
                <w:sz w:val="20"/>
                <w:szCs w:val="20"/>
                <w:lang w:val="en-US"/>
              </w:rPr>
            </w:pPr>
            <w:r w:rsidRPr="0030308C">
              <w:rPr>
                <w:rFonts w:ascii="Arial" w:hAnsi="Arial" w:cs="Arial"/>
                <w:color w:val="000000" w:themeColor="text1"/>
                <w:sz w:val="20"/>
                <w:szCs w:val="20"/>
                <w:lang w:val="en-US"/>
              </w:rPr>
              <w:t>Vitreous hemorrhage, any grade</w:t>
            </w:r>
          </w:p>
        </w:tc>
        <w:tc>
          <w:tcPr>
            <w:tcW w:w="1451" w:type="dxa"/>
          </w:tcPr>
          <w:p w14:paraId="68BCAF37"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1.2%</w:t>
            </w:r>
          </w:p>
        </w:tc>
        <w:tc>
          <w:tcPr>
            <w:tcW w:w="2375" w:type="dxa"/>
          </w:tcPr>
          <w:p w14:paraId="299ACC9D"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Beta</w:t>
            </w:r>
          </w:p>
        </w:tc>
        <w:tc>
          <w:tcPr>
            <w:tcW w:w="2318" w:type="dxa"/>
          </w:tcPr>
          <w:p w14:paraId="32A871A3"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3</w:t>
            </w:r>
          </w:p>
        </w:tc>
        <w:tc>
          <w:tcPr>
            <w:tcW w:w="2254" w:type="dxa"/>
          </w:tcPr>
          <w:p w14:paraId="031C4273"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245</w:t>
            </w:r>
          </w:p>
        </w:tc>
        <w:tc>
          <w:tcPr>
            <w:tcW w:w="3368" w:type="dxa"/>
          </w:tcPr>
          <w:p w14:paraId="6E2DED26"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{"citationID":"buAGTzBj","properties":{"formattedCitation":"(4)","plainCitation":"(4)","noteIndex":0},"citationItems":[{"id":26,"uris":["http://zotero.org/users/local/qnIpXHeo/items/SP5B4LER"],"itemData":{"id":26,"type":"article-journal","abstract":"PURPOSE: To report 2-year results from the Archway clinical trial of the Port Delivery System with ranibizumab (PDS) for treatment of neovascular age-related macular degeneration (nAMD).\nDESIGN: Phase 3, randomized, multicenter, open-label, active-comparator-controlled trial.\nPARTICIPANTS: Patients with previously treated nAMD diagnosed within 9 months of screening and responsive to anti-vascular endothelial growth factor therapy.\nMETHODS: Patients were randomized 3:2 to PDS with ranibizumab 100 mg/ml with fixed refill-exchanges every 24 weeks (PDS Q24W) or intravitreal ranibizumab 0.5 mg injections every 4 weeks (monthly ranibizumab). Patients were followed through 4 complete refill-exchange intervals (</w:instrText>
            </w:r>
            <w:r>
              <w:rPr>
                <w:rFonts w:ascii="Cambria Math" w:hAnsi="Cambria Math" w:cs="Cambria Math"/>
                <w:color w:val="000000" w:themeColor="text1"/>
                <w:sz w:val="20"/>
                <w:szCs w:val="20"/>
                <w:lang w:val="en-US"/>
              </w:rPr>
              <w:instrText>∼</w:instrText>
            </w:r>
            <w:r>
              <w:rPr>
                <w:rFonts w:ascii="Arial" w:hAnsi="Arial" w:cs="Arial"/>
                <w:color w:val="000000" w:themeColor="text1"/>
                <w:sz w:val="20"/>
                <w:szCs w:val="20"/>
                <w:lang w:val="en-US"/>
              </w:rPr>
              <w:instrText xml:space="preserve">2 years).\nMAIN OUTCOME MEASURES: Change in best-corrected visual acuity (BCVA) Early Treatment Diabetic Retinopathy Study (ETDRS) letter score from baseline averaged over weeks 44 and 48, weeks 60 and 64, and weeks 88 and 92 (noninferiority margin, -3.9 ETDRS letters).\nRESULTS: The PDS Q24W was noninferior to monthly ranibizumab, with differences in adjusted mean change in BCVA score from baseline averaged over weeks 44/48, 60/64 and 88/92 of -0.2 (95% confidence interval [CI], -1.8 to +1.3), +0.4 (95% CI, -1.4 to +2.1) and -0.6 ETDRS letters (95% CI, -2.5 to +1.3), respectively. Anatomic outcomes were generally comparable between arms through week 96. Through each of 4 PDS refill-exchange intervals, 98.4%, 94.6%, 94.8%, and 94.7% of PDS Q24W patients assessed did not receive supplemental ranibizumab treatment. The PDS ocular safety profile was generally unchanged from primary analysis. Prespecified ocular adverse events of special interest (AESI) were reported in 59 (23.8%) PDS and 17 (10.2%) monthly ranibizumab patients. The most common AESI reported in both arms was cataract (PDS Q24W, 22 [8.9%]; monthly ranibizumab, 10 [6.0%]). Events in the PDS Q24W arm included (patient incidence) 10 (4.0%) conjunctival erosions, 6 (2.4%) conjunctival retractions, 4 (1.6%) endophthalmitis cases, and 4 (1.6%) implant dislocations. Serum ranibizumab sampling showed that the PDS continuously released ranibizumab over the 24-week refill-exchange interval and ranibizumab serum concentrations were within the range experienced with monthly ranibizumab.\nCONCLUSIONS: The PDS Q24W showed noninferior efficacy to monthly ranibizumab through approximately 2 years, with approximately 95% of PDS Q24W patients not receiving supplemental ranibizumab treatment in each refill-exchange interval. The AESIs were generally manageable, with learnings continually implemented to minimize PDS-related AEs.\nFINANCIAL DISCLOSURE(S): Proprietary or commercial disclosure may be found after the references.","container-title":"Ophthalmology","DOI":"10.1016/j.ophtha.2023.02.024","ISSN":"1549-4713","issue":"7","journalAbbreviation":"Ophthalmology","language":"eng","note":"PMID: 36870451","page":"735-747","source":"PubMed","title":"Archway Phase 3 Trial of the Port Delivery System with Ranibizumab for Neovascular Age-Related Macular Degeneration 2-Year Results","volume":"130","author":[{"family":"Regillo","given":"Carl"},{"family":"Berger","given":"Brian"},{"family":"Brooks","given":"Logan"},{"family":"Clark","given":"W. Lloyd"},{"family":"Mittra","given":"Robert"},{"family":"Wykoff","given":"Charles C."},{"family":"Callaway","given":"Natalia F."},{"family":"DeGraaf","given":"Stephanie"},{"family":"Ding","given":"Han Ting"},{"family":"Fung","given":"Anne E."},{"family":"Gune","given":"Shamika"},{"family":"Le Pogam","given":"Sophie"},{"family":"Smith","given":"Robert"},{"family":"Willis","given":"Jeffrey R."},{"family":"Barteselli","given":"Giulio"}],"issued":{"date-parts":[["2023",7]]}}}],"schema":"https://github.com/citation-style-language/schema/raw/master/csl-citation.json"}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(4)</w:t>
            </w:r>
            <w:r w:rsidRPr="0030308C">
              <w:rPr>
                <w:rFonts w:ascii="Arial" w:hAnsi="Arial" w:cs="Arial"/>
                <w:color w:val="000000" w:themeColor="text1"/>
                <w:sz w:val="20"/>
                <w:szCs w:val="20"/>
                <w:lang w:val="en-US"/>
              </w:rPr>
              <w:fldChar w:fldCharType="end"/>
            </w:r>
          </w:p>
        </w:tc>
      </w:tr>
      <w:tr w:rsidR="00E61562" w:rsidRPr="0030308C" w14:paraId="4D05C554" w14:textId="77777777" w:rsidTr="000E0C52">
        <w:tc>
          <w:tcPr>
            <w:tcW w:w="4536" w:type="dxa"/>
          </w:tcPr>
          <w:p w14:paraId="6FE24726" w14:textId="77777777" w:rsidR="00E61562" w:rsidRPr="0030308C" w:rsidRDefault="00E61562" w:rsidP="000E0C52">
            <w:pPr>
              <w:rPr>
                <w:rFonts w:ascii="Arial" w:hAnsi="Arial" w:cs="Arial"/>
                <w:color w:val="000000" w:themeColor="text1"/>
                <w:sz w:val="20"/>
                <w:szCs w:val="20"/>
                <w:lang w:val="en-US"/>
              </w:rPr>
            </w:pPr>
            <w:r w:rsidRPr="0030308C">
              <w:rPr>
                <w:rFonts w:ascii="Arial" w:hAnsi="Arial" w:cs="Arial"/>
                <w:color w:val="000000" w:themeColor="text1"/>
                <w:sz w:val="20"/>
                <w:szCs w:val="20"/>
                <w:lang w:val="en-US"/>
              </w:rPr>
              <w:t>Cataract</w:t>
            </w:r>
          </w:p>
        </w:tc>
        <w:tc>
          <w:tcPr>
            <w:tcW w:w="1451" w:type="dxa"/>
          </w:tcPr>
          <w:p w14:paraId="56D074EA"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8.9%</w:t>
            </w:r>
          </w:p>
        </w:tc>
        <w:tc>
          <w:tcPr>
            <w:tcW w:w="2375" w:type="dxa"/>
          </w:tcPr>
          <w:p w14:paraId="16221572"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Beta</w:t>
            </w:r>
          </w:p>
        </w:tc>
        <w:tc>
          <w:tcPr>
            <w:tcW w:w="2318" w:type="dxa"/>
          </w:tcPr>
          <w:p w14:paraId="349D6120"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22</w:t>
            </w:r>
          </w:p>
        </w:tc>
        <w:tc>
          <w:tcPr>
            <w:tcW w:w="2254" w:type="dxa"/>
          </w:tcPr>
          <w:p w14:paraId="14A3D0A2"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226</w:t>
            </w:r>
          </w:p>
        </w:tc>
        <w:tc>
          <w:tcPr>
            <w:tcW w:w="3368" w:type="dxa"/>
          </w:tcPr>
          <w:p w14:paraId="6B879FAE"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{"citationID":"4tdv10OL","properties":{"formattedCitation":"(4)","plainCitation":"(4)","noteIndex":0},"citationItems":[{"id":26,"uris":["http://zotero.org/users/local/qnIpXHeo/items/SP5B4LER"],"itemData":{"id":26,"type":"article-journal","abstract":"PURPOSE: To report 2-year results from the Archway clinical trial of the Port Delivery System with ranibizumab (PDS) for treatment of neovascular age-related macular degeneration (nAMD).\nDESIGN: Phase 3, randomized, multicenter, open-label, active-comparator-controlled trial.\nPARTICIPANTS: Patients with previously treated nAMD diagnosed within 9 months of screening and responsive to anti-vascular endothelial growth factor therapy.\nMETHODS: Patients were randomized 3:2 to PDS with ranibizumab 100 mg/ml with fixed refill-exchanges every 24 weeks (PDS Q24W) or intravitreal ranibizumab 0.5 mg injections every 4 weeks (monthly ranibizumab). Patients were followed through 4 complete refill-exchange intervals (</w:instrText>
            </w:r>
            <w:r>
              <w:rPr>
                <w:rFonts w:ascii="Cambria Math" w:hAnsi="Cambria Math" w:cs="Cambria Math"/>
                <w:color w:val="000000" w:themeColor="text1"/>
                <w:sz w:val="20"/>
                <w:szCs w:val="20"/>
                <w:lang w:val="en-US"/>
              </w:rPr>
              <w:instrText>∼</w:instrText>
            </w:r>
            <w:r>
              <w:rPr>
                <w:rFonts w:ascii="Arial" w:hAnsi="Arial" w:cs="Arial"/>
                <w:color w:val="000000" w:themeColor="text1"/>
                <w:sz w:val="20"/>
                <w:szCs w:val="20"/>
                <w:lang w:val="en-US"/>
              </w:rPr>
              <w:instrText xml:space="preserve">2 years).\nMAIN OUTCOME MEASURES: Change in best-corrected visual acuity (BCVA) Early Treatment Diabetic Retinopathy Study (ETDRS) letter score from baseline averaged over weeks 44 and 48, weeks 60 and 64, and weeks 88 and 92 (noninferiority margin, -3.9 ETDRS letters).\nRESULTS: The PDS Q24W was noninferior to monthly ranibizumab, with differences in adjusted mean change in BCVA score from baseline averaged over weeks 44/48, 60/64 and 88/92 of -0.2 (95% confidence interval [CI], -1.8 to +1.3), +0.4 (95% CI, -1.4 to +2.1) and -0.6 ETDRS letters (95% CI, -2.5 to +1.3), respectively. Anatomic outcomes were generally comparable between arms through week 96. Through each of 4 PDS refill-exchange intervals, 98.4%, 94.6%, 94.8%, and 94.7% of PDS Q24W patients assessed did not receive supplemental ranibizumab treatment. The PDS ocular safety profile was generally unchanged from primary analysis. Prespecified ocular adverse events of special interest (AESI) were reported in 59 (23.8%) PDS and 17 (10.2%) monthly ranibizumab patients. The most common AESI reported in both arms was cataract (PDS Q24W, 22 [8.9%]; monthly ranibizumab, 10 [6.0%]). Events in the PDS Q24W arm included (patient incidence) 10 (4.0%) conjunctival erosions, 6 (2.4%) conjunctival retractions, 4 (1.6%) endophthalmitis cases, and 4 (1.6%) implant dislocations. Serum ranibizumab sampling showed that the PDS continuously released ranibizumab over the 24-week refill-exchange interval and ranibizumab serum concentrations were within the range experienced with monthly ranibizumab.\nCONCLUSIONS: The PDS Q24W showed noninferior efficacy to monthly ranibizumab through approximately 2 years, with approximately 95% of PDS Q24W patients not receiving supplemental ranibizumab treatment in each refill-exchange interval. The AESIs were generally manageable, with learnings continually implemented to minimize PDS-related AEs.\nFINANCIAL DISCLOSURE(S): Proprietary or commercial disclosure may be found after the references.","container-title":"Ophthalmology","DOI":"10.1016/j.ophtha.2023.02.024","ISSN":"1549-4713","issue":"7","journalAbbreviation":"Ophthalmology","language":"eng","note":"PMID: 36870451","page":"735-747","source":"PubMed","title":"Archway Phase 3 Trial of the Port Delivery System with Ranibizumab for Neovascular Age-Related Macular Degeneration 2-Year Results","volume":"130","author":[{"family":"Regillo","given":"Carl"},{"family":"Berger","given":"Brian"},{"family":"Brooks","given":"Logan"},{"family":"Clark","given":"W. Lloyd"},{"family":"Mittra","given":"Robert"},{"family":"Wykoff","given":"Charles C."},{"family":"Callaway","given":"Natalia F."},{"family":"DeGraaf","given":"Stephanie"},{"family":"Ding","given":"Han Ting"},{"family":"Fung","given":"Anne E."},{"family":"Gune","given":"Shamika"},{"family":"Le Pogam","given":"Sophie"},{"family":"Smith","given":"Robert"},{"family":"Willis","given":"Jeffrey R."},{"family":"Barteselli","given":"Giulio"}],"issued":{"date-parts":[["2023",7]]}}}],"schema":"https://github.com/citation-style-language/schema/raw/master/csl-citation.json"}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(4)</w:t>
            </w:r>
            <w:r w:rsidRPr="0030308C">
              <w:rPr>
                <w:rFonts w:ascii="Arial" w:hAnsi="Arial" w:cs="Arial"/>
                <w:color w:val="000000" w:themeColor="text1"/>
                <w:sz w:val="20"/>
                <w:szCs w:val="20"/>
                <w:lang w:val="en-US"/>
              </w:rPr>
              <w:fldChar w:fldCharType="end"/>
            </w:r>
          </w:p>
        </w:tc>
      </w:tr>
      <w:tr w:rsidR="00E61562" w:rsidRPr="0030308C" w14:paraId="4C0087FE" w14:textId="77777777" w:rsidTr="000E0C52">
        <w:tc>
          <w:tcPr>
            <w:tcW w:w="4536" w:type="dxa"/>
          </w:tcPr>
          <w:p w14:paraId="71700FBD" w14:textId="77777777" w:rsidR="00E61562" w:rsidRPr="0030308C" w:rsidRDefault="00E61562" w:rsidP="000E0C52">
            <w:pPr>
              <w:rPr>
                <w:rFonts w:ascii="Arial" w:hAnsi="Arial" w:cs="Arial"/>
                <w:color w:val="000000" w:themeColor="text1"/>
                <w:sz w:val="20"/>
                <w:szCs w:val="20"/>
                <w:lang w:val="en-US"/>
              </w:rPr>
            </w:pPr>
            <w:r w:rsidRPr="0030308C">
              <w:rPr>
                <w:rFonts w:ascii="Arial" w:hAnsi="Arial" w:cs="Arial"/>
                <w:color w:val="000000" w:themeColor="text1"/>
                <w:sz w:val="20"/>
                <w:szCs w:val="20"/>
                <w:lang w:val="en-US"/>
              </w:rPr>
              <w:t>Conjunctival erosion</w:t>
            </w:r>
          </w:p>
        </w:tc>
        <w:tc>
          <w:tcPr>
            <w:tcW w:w="1451" w:type="dxa"/>
          </w:tcPr>
          <w:p w14:paraId="7318B8E6"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3.6%</w:t>
            </w:r>
          </w:p>
        </w:tc>
        <w:tc>
          <w:tcPr>
            <w:tcW w:w="2375" w:type="dxa"/>
          </w:tcPr>
          <w:p w14:paraId="167A3755"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Beta</w:t>
            </w:r>
          </w:p>
        </w:tc>
        <w:tc>
          <w:tcPr>
            <w:tcW w:w="2318" w:type="dxa"/>
          </w:tcPr>
          <w:p w14:paraId="69A98162"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9</w:t>
            </w:r>
          </w:p>
        </w:tc>
        <w:tc>
          <w:tcPr>
            <w:tcW w:w="2254" w:type="dxa"/>
          </w:tcPr>
          <w:p w14:paraId="26D56DB6"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239</w:t>
            </w:r>
          </w:p>
        </w:tc>
        <w:tc>
          <w:tcPr>
            <w:tcW w:w="3368" w:type="dxa"/>
          </w:tcPr>
          <w:p w14:paraId="64DEA22D"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{"citationID":"xGWlZQEa","properties":{"formattedCitation":"(4)","plainCitation":"(4)","noteIndex":0},"citationItems":[{"id":26,"uris":["http://zotero.org/users/local/qnIpXHeo/items/SP5B4LER"],"itemData":{"id":26,"type":"article-journal","abstract":"PURPOSE: To report 2-year results from the Archway clinical trial of the Port Delivery System with ranibizumab (PDS) for treatment of neovascular age-related macular degeneration (nAMD).\nDESIGN: Phase 3, randomized, multicenter, open-label, active-comparator-controlled trial.\nPARTICIPANTS: Patients with previously treated nAMD diagnosed within 9 months of screening and responsive to anti-vascular endothelial growth factor therapy.\nMETHODS: Patients were randomized 3:2 to PDS with ranibizumab 100 mg/ml with fixed refill-exchanges every 24 weeks (PDS Q24W) or intravitreal ranibizumab 0.5 mg injections every 4 weeks (monthly ranibizumab). Patients were followed through 4 complete refill-exchange intervals (</w:instrText>
            </w:r>
            <w:r>
              <w:rPr>
                <w:rFonts w:ascii="Cambria Math" w:hAnsi="Cambria Math" w:cs="Cambria Math"/>
                <w:color w:val="000000" w:themeColor="text1"/>
                <w:sz w:val="20"/>
                <w:szCs w:val="20"/>
                <w:lang w:val="en-US"/>
              </w:rPr>
              <w:instrText>∼</w:instrText>
            </w:r>
            <w:r>
              <w:rPr>
                <w:rFonts w:ascii="Arial" w:hAnsi="Arial" w:cs="Arial"/>
                <w:color w:val="000000" w:themeColor="text1"/>
                <w:sz w:val="20"/>
                <w:szCs w:val="20"/>
                <w:lang w:val="en-US"/>
              </w:rPr>
              <w:instrText xml:space="preserve">2 years).\nMAIN OUTCOME MEASURES: Change in best-corrected visual acuity (BCVA) Early Treatment Diabetic Retinopathy Study (ETDRS) letter score from baseline averaged over weeks 44 and 48, weeks 60 and 64, and weeks 88 and 92 (noninferiority margin, -3.9 ETDRS letters).\nRESULTS: The PDS Q24W was noninferior to monthly ranibizumab, with differences in adjusted mean change in BCVA score from baseline averaged over weeks 44/48, 60/64 and 88/92 of -0.2 (95% confidence interval [CI], -1.8 to +1.3), +0.4 (95% CI, -1.4 to +2.1) and -0.6 ETDRS letters (95% CI, -2.5 to +1.3), respectively. Anatomic outcomes were generally comparable between arms through week 96. Through each of 4 PDS refill-exchange intervals, 98.4%, 94.6%, 94.8%, and 94.7% of PDS Q24W patients assessed did not receive supplemental ranibizumab treatment. The PDS ocular safety profile was generally unchanged from primary analysis. Prespecified ocular adverse events of special interest (AESI) were reported in 59 (23.8%) PDS and 17 (10.2%) monthly ranibizumab patients. The most common AESI reported in both arms was cataract (PDS Q24W, 22 [8.9%]; monthly ranibizumab, 10 [6.0%]). Events in the PDS Q24W arm included (patient incidence) 10 (4.0%) conjunctival erosions, 6 (2.4%) conjunctival retractions, 4 (1.6%) endophthalmitis cases, and 4 (1.6%) implant dislocations. Serum ranibizumab sampling showed that the PDS continuously released ranibizumab over the 24-week refill-exchange interval and ranibizumab serum concentrations were within the range experienced with monthly ranibizumab.\nCONCLUSIONS: The PDS Q24W showed noninferior efficacy to monthly ranibizumab through approximately 2 years, with approximately 95% of PDS Q24W patients not receiving supplemental ranibizumab treatment in each refill-exchange interval. The AESIs were generally manageable, with learnings continually implemented to minimize PDS-related AEs.\nFINANCIAL DISCLOSURE(S): Proprietary or commercial disclosure may be found after the references.","container-title":"Ophthalmology","DOI":"10.1016/j.ophtha.2023.02.024","ISSN":"1549-4713","issue":"7","journalAbbreviation":"Ophthalmology","language":"eng","note":"PMID: 36870451","page":"735-747","source":"PubMed","title":"Archway Phase 3 Trial of the Port Delivery System with Ranibizumab for Neovascular Age-Related Macular Degeneration 2-Year Results","volume":"130","author":[{"family":"Regillo","given":"Carl"},{"family":"Berger","given":"Brian"},{"family":"Brooks","given":"Logan"},{"family":"Clark","given":"W. Lloyd"},{"family":"Mittra","given":"Robert"},{"family":"Wykoff","given":"Charles C."},{"family":"Callaway","given":"Natalia F."},{"family":"DeGraaf","given":"Stephanie"},{"family":"Ding","given":"Han Ting"},{"family":"Fung","given":"Anne E."},{"family":"Gune","given":"Shamika"},{"family":"Le Pogam","given":"Sophie"},{"family":"Smith","given":"Robert"},{"family":"Willis","given":"Jeffrey R."},{"family":"Barteselli","given":"Giulio"}],"issued":{"date-parts":[["2023",7]]}}}],"schema":"https://github.com/citation-style-language/schema/raw/master/csl-citation.json"}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(4)</w:t>
            </w:r>
            <w:r w:rsidRPr="0030308C">
              <w:rPr>
                <w:rFonts w:ascii="Arial" w:hAnsi="Arial" w:cs="Arial"/>
                <w:color w:val="000000" w:themeColor="text1"/>
                <w:sz w:val="20"/>
                <w:szCs w:val="20"/>
                <w:lang w:val="en-US"/>
              </w:rPr>
              <w:fldChar w:fldCharType="end"/>
            </w:r>
          </w:p>
        </w:tc>
      </w:tr>
      <w:tr w:rsidR="00E61562" w:rsidRPr="0030308C" w14:paraId="5407EBF7" w14:textId="77777777" w:rsidTr="000E0C52">
        <w:tc>
          <w:tcPr>
            <w:tcW w:w="4536" w:type="dxa"/>
          </w:tcPr>
          <w:p w14:paraId="4B6DE77A" w14:textId="77777777" w:rsidR="00E61562" w:rsidRPr="0030308C" w:rsidRDefault="00E61562" w:rsidP="000E0C52">
            <w:pPr>
              <w:rPr>
                <w:rFonts w:ascii="Arial" w:hAnsi="Arial" w:cs="Arial"/>
                <w:color w:val="000000" w:themeColor="text1"/>
                <w:sz w:val="20"/>
                <w:szCs w:val="20"/>
                <w:lang w:val="en-US"/>
              </w:rPr>
            </w:pPr>
            <w:r w:rsidRPr="0030308C">
              <w:rPr>
                <w:rFonts w:ascii="Arial" w:hAnsi="Arial" w:cs="Arial"/>
                <w:color w:val="000000" w:themeColor="text1"/>
                <w:sz w:val="20"/>
                <w:szCs w:val="20"/>
                <w:lang w:val="en-US"/>
              </w:rPr>
              <w:t>Conjunctival retraction</w:t>
            </w:r>
          </w:p>
        </w:tc>
        <w:tc>
          <w:tcPr>
            <w:tcW w:w="1451" w:type="dxa"/>
          </w:tcPr>
          <w:p w14:paraId="525602BE"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w:t>
            </w:r>
          </w:p>
        </w:tc>
        <w:tc>
          <w:tcPr>
            <w:tcW w:w="2375" w:type="dxa"/>
          </w:tcPr>
          <w:p w14:paraId="48B4218B"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Beta</w:t>
            </w:r>
          </w:p>
        </w:tc>
        <w:tc>
          <w:tcPr>
            <w:tcW w:w="2318" w:type="dxa"/>
          </w:tcPr>
          <w:p w14:paraId="4177A843"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5</w:t>
            </w:r>
          </w:p>
        </w:tc>
        <w:tc>
          <w:tcPr>
            <w:tcW w:w="2254" w:type="dxa"/>
          </w:tcPr>
          <w:p w14:paraId="267EF938"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243</w:t>
            </w:r>
          </w:p>
        </w:tc>
        <w:tc>
          <w:tcPr>
            <w:tcW w:w="3368" w:type="dxa"/>
          </w:tcPr>
          <w:p w14:paraId="702B9BE1"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{"citationID":"2nxsd4ta","properties":{"formattedCitation":"(4)","plainCitation":"(4)","noteIndex":0},"citationItems":[{"id":26,"uris":["http://zotero.org/users/local/qnIpXHeo/items/SP5B4LER"],"itemData":{"id":26,"type":"article-journal","abstract":"PURPOSE: To report 2-year results from the Archway clinical trial of the Port Delivery System with ranibizumab (PDS) for treatment of neovascular age-related macular degeneration (nAMD).\nDESIGN: Phase 3, randomized, multicenter, open-label, active-comparator-controlled trial.\nPARTICIPANTS: Patients with previously treated nAMD diagnosed within 9 months of screening and responsive to anti-vascular endothelial growth factor therapy.\nMETHODS: Patients were randomized 3:2 to PDS with ranibizumab 100 mg/ml with fixed refill-exchanges every 24 weeks (PDS Q24W) or intravitreal ranibizumab 0.5 mg injections every 4 weeks (monthly ranibizumab). Patients were followed through 4 complete refill-exchange intervals (</w:instrText>
            </w:r>
            <w:r>
              <w:rPr>
                <w:rFonts w:ascii="Cambria Math" w:hAnsi="Cambria Math" w:cs="Cambria Math"/>
                <w:color w:val="000000" w:themeColor="text1"/>
                <w:sz w:val="20"/>
                <w:szCs w:val="20"/>
                <w:lang w:val="en-US"/>
              </w:rPr>
              <w:instrText>∼</w:instrText>
            </w:r>
            <w:r>
              <w:rPr>
                <w:rFonts w:ascii="Arial" w:hAnsi="Arial" w:cs="Arial"/>
                <w:color w:val="000000" w:themeColor="text1"/>
                <w:sz w:val="20"/>
                <w:szCs w:val="20"/>
                <w:lang w:val="en-US"/>
              </w:rPr>
              <w:instrText xml:space="preserve">2 years).\nMAIN OUTCOME MEASURES: Change in best-corrected visual acuity (BCVA) Early Treatment Diabetic Retinopathy Study (ETDRS) letter score from baseline averaged over weeks 44 and 48, weeks 60 and 64, and weeks 88 and 92 (noninferiority margin, -3.9 ETDRS letters).\nRESULTS: The PDS Q24W was noninferior to monthly ranibizumab, with differences in adjusted mean change in BCVA score from baseline averaged over weeks 44/48, 60/64 and 88/92 of -0.2 (95% confidence interval [CI], -1.8 to +1.3), +0.4 (95% CI, -1.4 to +2.1) and -0.6 ETDRS letters (95% CI, -2.5 to +1.3), respectively. Anatomic outcomes were generally comparable between arms through week 96. Through each of 4 PDS refill-exchange intervals, 98.4%, 94.6%, 94.8%, and 94.7% of PDS Q24W patients assessed did not receive supplemental ranibizumab treatment. The PDS ocular safety profile was generally unchanged from primary analysis. Prespecified ocular adverse events of special interest (AESI) were reported in 59 (23.8%) PDS and 17 (10.2%) monthly ranibizumab patients. The most common AESI reported in both arms was cataract (PDS Q24W, 22 [8.9%]; monthly ranibizumab, 10 [6.0%]). Events in the PDS Q24W arm included (patient incidence) 10 (4.0%) conjunctival erosions, 6 (2.4%) conjunctival retractions, 4 (1.6%) endophthalmitis cases, and 4 (1.6%) implant dislocations. Serum ranibizumab sampling showed that the PDS continuously released ranibizumab over the 24-week refill-exchange interval and ranibizumab serum concentrations were within the range experienced with monthly ranibizumab.\nCONCLUSIONS: The PDS Q24W showed noninferior efficacy to monthly ranibizumab through approximately 2 years, with approximately 95% of PDS Q24W patients not receiving supplemental ranibizumab treatment in each refill-exchange interval. The AESIs were generally manageable, with learnings continually implemented to minimize PDS-related AEs.\nFINANCIAL DISCLOSURE(S): Proprietary or commercial disclosure may be found after the references.","container-title":"Ophthalmology","DOI":"10.1016/j.ophtha.2023.02.024","ISSN":"1549-4713","issue":"7","journalAbbreviation":"Ophthalmology","language":"eng","note":"PMID: 36870451","page":"735-747","source":"PubMed","title":"Archway Phase 3 Trial of the Port Delivery System with Ranibizumab for Neovascular Age-Related Macular Degeneration 2-Year Results","volume":"130","author":[{"family":"Regillo","given":"Carl"},{"family":"Berger","given":"Brian"},{"family":"Brooks","given":"Logan"},{"family":"Clark","given":"W. Lloyd"},{"family":"Mittra","given":"Robert"},{"family":"Wykoff","given":"Charles C."},{"family":"Callaway","given":"Natalia F."},{"family":"DeGraaf","given":"Stephanie"},{"family":"Ding","given":"Han Ting"},{"family":"Fung","given":"Anne E."},{"family":"Gune","given":"Shamika"},{"family":"Le Pogam","given":"Sophie"},{"family":"Smith","given":"Robert"},{"family":"Willis","given":"Jeffrey R."},{"family":"Barteselli","given":"Giulio"}],"issued":{"date-parts":[["2023",7]]}}}],"schema":"https://github.com/citation-style-language/schema/raw/master/csl-citation.json"}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(4)</w:t>
            </w:r>
            <w:r w:rsidRPr="0030308C">
              <w:rPr>
                <w:rFonts w:ascii="Arial" w:hAnsi="Arial" w:cs="Arial"/>
                <w:color w:val="000000" w:themeColor="text1"/>
                <w:sz w:val="20"/>
                <w:szCs w:val="20"/>
                <w:lang w:val="en-US"/>
              </w:rPr>
              <w:fldChar w:fldCharType="end"/>
            </w:r>
          </w:p>
        </w:tc>
      </w:tr>
      <w:tr w:rsidR="00E61562" w:rsidRPr="0030308C" w14:paraId="3746B203" w14:textId="77777777" w:rsidTr="000E0C52">
        <w:tc>
          <w:tcPr>
            <w:tcW w:w="4536" w:type="dxa"/>
          </w:tcPr>
          <w:p w14:paraId="4EF44BDB" w14:textId="77777777" w:rsidR="00E61562" w:rsidRPr="0030308C" w:rsidRDefault="00E61562" w:rsidP="000E0C52">
            <w:pPr>
              <w:rPr>
                <w:rFonts w:ascii="Arial" w:hAnsi="Arial" w:cs="Arial"/>
                <w:color w:val="000000" w:themeColor="text1"/>
                <w:sz w:val="20"/>
                <w:szCs w:val="20"/>
                <w:lang w:val="en-US"/>
              </w:rPr>
            </w:pPr>
            <w:r w:rsidRPr="0030308C">
              <w:rPr>
                <w:rFonts w:ascii="Arial" w:hAnsi="Arial" w:cs="Arial"/>
                <w:color w:val="000000" w:themeColor="text1"/>
                <w:sz w:val="20"/>
                <w:szCs w:val="20"/>
                <w:lang w:val="en-US"/>
              </w:rPr>
              <w:t>Endophthalmitis</w:t>
            </w:r>
          </w:p>
        </w:tc>
        <w:tc>
          <w:tcPr>
            <w:tcW w:w="1451" w:type="dxa"/>
          </w:tcPr>
          <w:p w14:paraId="0D0EE455"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1.6%</w:t>
            </w:r>
          </w:p>
        </w:tc>
        <w:tc>
          <w:tcPr>
            <w:tcW w:w="2375" w:type="dxa"/>
          </w:tcPr>
          <w:p w14:paraId="0F5A4735"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Beta</w:t>
            </w:r>
          </w:p>
        </w:tc>
        <w:tc>
          <w:tcPr>
            <w:tcW w:w="2318" w:type="dxa"/>
          </w:tcPr>
          <w:p w14:paraId="156A63D2"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4</w:t>
            </w:r>
          </w:p>
        </w:tc>
        <w:tc>
          <w:tcPr>
            <w:tcW w:w="2254" w:type="dxa"/>
          </w:tcPr>
          <w:p w14:paraId="2D841F2B"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244</w:t>
            </w:r>
          </w:p>
        </w:tc>
        <w:tc>
          <w:tcPr>
            <w:tcW w:w="3368" w:type="dxa"/>
          </w:tcPr>
          <w:p w14:paraId="40AC9115"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{"citationID":"GLcKePjR","properties":{"formattedCitation":"(4)","plainCitation":"(4)","noteIndex":0},"citationItems":[{"id":26,"uris":["http://zotero.org/users/local/qnIpXHeo/items/SP5B4LER"],"itemData":{"id":26,"type":"article-journal","abstract":"PURPOSE: To report 2-year results from the Archway clinical trial of the Port Delivery System with ranibizumab (PDS) for treatment of neovascular age-related macular degeneration (nAMD).\nDESIGN: Phase 3, randomized, multicenter, open-label, active-comparator-controlled trial.\nPARTICIPANTS: Patients with previously treated nAMD diagnosed within 9 months of screening and responsive to anti-vascular endothelial growth factor therapy.\nMETHODS: Patients were randomized 3:2 to PDS with ranibizumab 100 mg/ml with fixed refill-exchanges every 24 weeks (PDS Q24W) or intravitreal ranibizumab 0.5 mg injections every 4 weeks (monthly ranibizumab). Patients were followed through 4 complete refill-exchange intervals (</w:instrText>
            </w:r>
            <w:r>
              <w:rPr>
                <w:rFonts w:ascii="Cambria Math" w:hAnsi="Cambria Math" w:cs="Cambria Math"/>
                <w:color w:val="000000" w:themeColor="text1"/>
                <w:sz w:val="20"/>
                <w:szCs w:val="20"/>
                <w:lang w:val="en-US"/>
              </w:rPr>
              <w:instrText>∼</w:instrText>
            </w:r>
            <w:r>
              <w:rPr>
                <w:rFonts w:ascii="Arial" w:hAnsi="Arial" w:cs="Arial"/>
                <w:color w:val="000000" w:themeColor="text1"/>
                <w:sz w:val="20"/>
                <w:szCs w:val="20"/>
                <w:lang w:val="en-US"/>
              </w:rPr>
              <w:instrText xml:space="preserve">2 years).\nMAIN OUTCOME MEASURES: Change in best-corrected visual acuity (BCVA) Early Treatment Diabetic Retinopathy Study (ETDRS) letter score from baseline averaged over weeks 44 and 48, weeks 60 and 64, and weeks 88 and 92 (noninferiority margin, -3.9 ETDRS letters).\nRESULTS: The PDS Q24W was noninferior to monthly ranibizumab, with differences in adjusted mean change in BCVA score from baseline averaged over weeks 44/48, 60/64 and 88/92 of -0.2 (95% confidence interval [CI], -1.8 to +1.3), +0.4 (95% CI, -1.4 to +2.1) and -0.6 ETDRS letters (95% CI, -2.5 to +1.3), respectively. Anatomic outcomes were generally comparable between arms through week 96. Through each of 4 PDS refill-exchange intervals, 98.4%, 94.6%, 94.8%, and 94.7% of PDS Q24W patients assessed did not receive supplemental ranibizumab treatment. The PDS ocular safety profile was generally unchanged from primary analysis. Prespecified ocular adverse events of special interest (AESI) were reported in 59 (23.8%) PDS and 17 (10.2%) monthly ranibizumab patients. The most common AESI reported in both arms was cataract (PDS Q24W, 22 [8.9%]; monthly ranibizumab, 10 [6.0%]). Events in the PDS Q24W arm included (patient incidence) 10 (4.0%) conjunctival erosions, 6 (2.4%) conjunctival retractions, 4 (1.6%) endophthalmitis cases, and 4 (1.6%) implant dislocations. Serum ranibizumab sampling showed that the PDS continuously released ranibizumab over the 24-week refill-exchange interval and ranibizumab serum concentrations were within the range experienced with monthly ranibizumab.\nCONCLUSIONS: The PDS Q24W showed noninferior efficacy to monthly ranibizumab through approximately 2 years, with approximately 95% of PDS Q24W patients not receiving supplemental ranibizumab treatment in each refill-exchange interval. The AESIs were generally manageable, with learnings continually implemented to minimize PDS-related AEs.\nFINANCIAL DISCLOSURE(S): Proprietary or commercial disclosure may be found after the references.","container-title":"Ophthalmology","DOI":"10.1016/j.ophtha.2023.02.024","ISSN":"1549-4713","issue":"7","journalAbbreviation":"Ophthalmology","language":"eng","note":"PMID: 36870451","page":"735-747","source":"PubMed","title":"Archway Phase 3 Trial of the Port Delivery System with Ranibizumab for Neovascular Age-Related Macular Degeneration 2-Year Results","volume":"130","author":[{"family":"Regillo","given":"Carl"},{"family":"Berger","given":"Brian"},{"family":"Brooks","given":"Logan"},{"family":"Clark","given":"W. Lloyd"},{"family":"Mittra","given":"Robert"},{"family":"Wykoff","given":"Charles C."},{"family":"Callaway","given":"Natalia F."},{"family":"DeGraaf","given":"Stephanie"},{"family":"Ding","given":"Han Ting"},{"family":"Fung","given":"Anne E."},{"family":"Gune","given":"Shamika"},{"family":"Le Pogam","given":"Sophie"},{"family":"Smith","given":"Robert"},{"family":"Willis","given":"Jeffrey R."},{"family":"Barteselli","given":"Giulio"}],"issued":{"date-parts":[["2023",7]]}}}],"schema":"https://github.com/citation-style-language/schema/raw/master/csl-citation.json"}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(4)</w:t>
            </w:r>
            <w:r w:rsidRPr="0030308C">
              <w:rPr>
                <w:rFonts w:ascii="Arial" w:hAnsi="Arial" w:cs="Arial"/>
                <w:color w:val="000000" w:themeColor="text1"/>
                <w:sz w:val="20"/>
                <w:szCs w:val="20"/>
                <w:lang w:val="en-US"/>
              </w:rPr>
              <w:fldChar w:fldCharType="end"/>
            </w:r>
          </w:p>
        </w:tc>
      </w:tr>
      <w:tr w:rsidR="00E61562" w:rsidRPr="0030308C" w14:paraId="587D578F" w14:textId="77777777" w:rsidTr="000E0C52">
        <w:tc>
          <w:tcPr>
            <w:tcW w:w="4536" w:type="dxa"/>
          </w:tcPr>
          <w:p w14:paraId="2E27FFB2" w14:textId="77777777" w:rsidR="00E61562" w:rsidRPr="0030308C" w:rsidRDefault="00E61562" w:rsidP="000E0C52">
            <w:pPr>
              <w:rPr>
                <w:rFonts w:ascii="Arial" w:hAnsi="Arial" w:cs="Arial"/>
                <w:color w:val="000000" w:themeColor="text1"/>
                <w:sz w:val="20"/>
                <w:szCs w:val="20"/>
                <w:lang w:val="en-US"/>
              </w:rPr>
            </w:pPr>
            <w:r w:rsidRPr="0030308C">
              <w:rPr>
                <w:rFonts w:ascii="Arial" w:hAnsi="Arial" w:cs="Arial"/>
                <w:color w:val="000000" w:themeColor="text1"/>
                <w:sz w:val="20"/>
                <w:szCs w:val="20"/>
                <w:lang w:val="en-US"/>
              </w:rPr>
              <w:t>Retinal detachment (rhegmatogenous)</w:t>
            </w:r>
          </w:p>
        </w:tc>
        <w:tc>
          <w:tcPr>
            <w:tcW w:w="1451" w:type="dxa"/>
          </w:tcPr>
          <w:p w14:paraId="4F892B00"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0.4%</w:t>
            </w:r>
          </w:p>
        </w:tc>
        <w:tc>
          <w:tcPr>
            <w:tcW w:w="2375" w:type="dxa"/>
          </w:tcPr>
          <w:p w14:paraId="5C4388F2"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Beta</w:t>
            </w:r>
          </w:p>
        </w:tc>
        <w:tc>
          <w:tcPr>
            <w:tcW w:w="2318" w:type="dxa"/>
          </w:tcPr>
          <w:p w14:paraId="25E9A5F9"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1</w:t>
            </w:r>
          </w:p>
        </w:tc>
        <w:tc>
          <w:tcPr>
            <w:tcW w:w="2254" w:type="dxa"/>
          </w:tcPr>
          <w:p w14:paraId="0F91172E"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247</w:t>
            </w:r>
          </w:p>
        </w:tc>
        <w:tc>
          <w:tcPr>
            <w:tcW w:w="3368" w:type="dxa"/>
          </w:tcPr>
          <w:p w14:paraId="4C32EB65"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{"citationID":"Zi5S2MJl","properties":{"formattedCitation":"(4)","plainCitation":"(4)","noteIndex":0},"citationItems":[{"id":26,"uris":["http://zotero.org/users/local/qnIpXHeo/items/SP5B4LER"],"itemData":{"id":26,"type":"article-journal","abstract":"PURPOSE: To report 2-year results from the Archway clinical trial of the Port Delivery System with ranibizumab (PDS) for treatment of neovascular age-related macular degeneration (nAMD).\nDESIGN: Phase 3, randomized, multicenter, open-label, active-comparator-controlled trial.\nPARTICIPANTS: Patients with previously treated nAMD diagnosed within 9 months of screening and responsive to anti-vascular endothelial growth factor therapy.\nMETHODS: Patients were randomized 3:2 to PDS with ranibizumab 100 mg/ml with fixed refill-exchanges every 24 weeks (PDS Q24W) or intravitreal ranibizumab 0.5 mg injections every 4 weeks (monthly ranibizumab). Patients were followed through 4 complete refill-exchange intervals (</w:instrText>
            </w:r>
            <w:r>
              <w:rPr>
                <w:rFonts w:ascii="Cambria Math" w:hAnsi="Cambria Math" w:cs="Cambria Math"/>
                <w:color w:val="000000" w:themeColor="text1"/>
                <w:sz w:val="20"/>
                <w:szCs w:val="20"/>
                <w:lang w:val="en-US"/>
              </w:rPr>
              <w:instrText>∼</w:instrText>
            </w:r>
            <w:r>
              <w:rPr>
                <w:rFonts w:ascii="Arial" w:hAnsi="Arial" w:cs="Arial"/>
                <w:color w:val="000000" w:themeColor="text1"/>
                <w:sz w:val="20"/>
                <w:szCs w:val="20"/>
                <w:lang w:val="en-US"/>
              </w:rPr>
              <w:instrText xml:space="preserve">2 years).\nMAIN OUTCOME MEASURES: Change in best-corrected visual acuity (BCVA) Early Treatment Diabetic Retinopathy Study (ETDRS) letter score from baseline averaged over weeks 44 and 48, weeks 60 and 64, and weeks 88 and 92 (noninferiority margin, -3.9 ETDRS letters).\nRESULTS: The PDS Q24W was noninferior to monthly ranibizumab, with differences in adjusted mean change in BCVA score from baseline averaged over weeks 44/48, 60/64 and 88/92 of -0.2 (95% confidence interval [CI], -1.8 to +1.3), +0.4 (95% CI, -1.4 to +2.1) and -0.6 ETDRS letters (95% CI, -2.5 to +1.3), respectively. Anatomic outcomes were generally comparable between arms through week 96. Through each of 4 PDS refill-exchange intervals, 98.4%, 94.6%, 94.8%, and 94.7% of PDS Q24W patients assessed did not receive supplemental ranibizumab treatment. The PDS ocular safety profile was generally unchanged from primary analysis. Prespecified ocular adverse events of special interest (AESI) were reported in 59 (23.8%) PDS and 17 (10.2%) monthly ranibizumab patients. The most common AESI reported in both arms was cataract (PDS Q24W, 22 [8.9%]; monthly ranibizumab, 10 [6.0%]). Events in the PDS Q24W arm included (patient incidence) 10 (4.0%) conjunctival erosions, 6 (2.4%) conjunctival retractions, 4 (1.6%) endophthalmitis cases, and 4 (1.6%) implant dislocations. Serum ranibizumab sampling showed that the PDS continuously released ranibizumab over the 24-week refill-exchange interval and ranibizumab serum concentrations were within the range experienced with monthly ranibizumab.\nCONCLUSIONS: The PDS Q24W showed noninferior efficacy to monthly ranibizumab through approximately 2 years, with approximately 95% of PDS Q24W patients not receiving supplemental ranibizumab treatment in each refill-exchange interval. The AESIs were generally manageable, with learnings continually implemented to minimize PDS-related AEs.\nFINANCIAL DISCLOSURE(S): Proprietary or commercial disclosure may be found after the references.","container-title":"Ophthalmology","DOI":"10.1016/j.ophtha.2023.02.024","ISSN":"1549-4713","issue":"7","journalAbbreviation":"Ophthalmology","language":"eng","note":"PMID: 36870451","page":"735-747","source":"PubMed","title":"Archway Phase 3 Trial of the Port Delivery System with Ranibizumab for Neovascular Age-Related Macular Degeneration 2-Year Results","volume":"130","author":[{"family":"Regillo","given":"Carl"},{"family":"Berger","given":"Brian"},{"family":"Brooks","given":"Logan"},{"family":"Clark","given":"W. Lloyd"},{"family":"Mittra","given":"Robert"},{"family":"Wykoff","given":"Charles C."},{"family":"Callaway","given":"Natalia F."},{"family":"DeGraaf","given":"Stephanie"},{"family":"Ding","given":"Han Ting"},{"family":"Fung","given":"Anne E."},{"family":"Gune","given":"Shamika"},{"family":"Le Pogam","given":"Sophie"},{"family":"Smith","given":"Robert"},{"family":"Willis","given":"Jeffrey R."},{"family":"Barteselli","given":"Giulio"}],"issued":{"date-parts":[["2023",7]]}}}],"schema":"https://github.com/citation-style-language/schema/raw/master/csl-citation.json"}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(4)</w:t>
            </w:r>
            <w:r w:rsidRPr="0030308C">
              <w:rPr>
                <w:rFonts w:ascii="Arial" w:hAnsi="Arial" w:cs="Arial"/>
                <w:color w:val="000000" w:themeColor="text1"/>
                <w:sz w:val="20"/>
                <w:szCs w:val="20"/>
                <w:lang w:val="en-US"/>
              </w:rPr>
              <w:fldChar w:fldCharType="end"/>
            </w:r>
          </w:p>
        </w:tc>
      </w:tr>
      <w:tr w:rsidR="00E61562" w:rsidRPr="0030308C" w14:paraId="50852AD7" w14:textId="77777777" w:rsidTr="000E0C52">
        <w:tc>
          <w:tcPr>
            <w:tcW w:w="4536" w:type="dxa"/>
          </w:tcPr>
          <w:p w14:paraId="5B94E8EE" w14:textId="77777777" w:rsidR="00E61562" w:rsidRPr="0030308C" w:rsidRDefault="00E61562" w:rsidP="000E0C52">
            <w:pPr>
              <w:rPr>
                <w:rFonts w:ascii="Arial" w:hAnsi="Arial" w:cs="Arial"/>
                <w:color w:val="000000" w:themeColor="text1"/>
                <w:sz w:val="20"/>
                <w:szCs w:val="20"/>
                <w:lang w:val="en-US"/>
              </w:rPr>
            </w:pPr>
            <w:proofErr w:type="spellStart"/>
            <w:r w:rsidRPr="0030308C">
              <w:rPr>
                <w:rFonts w:ascii="Arial" w:hAnsi="Arial" w:cs="Arial"/>
                <w:color w:val="000000" w:themeColor="text1"/>
                <w:sz w:val="20"/>
                <w:szCs w:val="20"/>
                <w:lang w:val="en-US"/>
              </w:rPr>
              <w:t>Hyphema</w:t>
            </w:r>
            <w:proofErr w:type="spellEnd"/>
          </w:p>
        </w:tc>
        <w:tc>
          <w:tcPr>
            <w:tcW w:w="1451" w:type="dxa"/>
          </w:tcPr>
          <w:p w14:paraId="7AB8E672"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2375" w:type="dxa"/>
          </w:tcPr>
          <w:p w14:paraId="226DAA83"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Beta</w:t>
            </w:r>
          </w:p>
        </w:tc>
        <w:tc>
          <w:tcPr>
            <w:tcW w:w="2318" w:type="dxa"/>
          </w:tcPr>
          <w:p w14:paraId="64332A3F"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0</w:t>
            </w:r>
          </w:p>
        </w:tc>
        <w:tc>
          <w:tcPr>
            <w:tcW w:w="2254" w:type="dxa"/>
          </w:tcPr>
          <w:p w14:paraId="19E897BE"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248</w:t>
            </w:r>
          </w:p>
        </w:tc>
        <w:tc>
          <w:tcPr>
            <w:tcW w:w="3368" w:type="dxa"/>
          </w:tcPr>
          <w:p w14:paraId="0B121A3C"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{"citationID":"TOaBnOqo","properties":{"formattedCitation":"(4)","plainCitation":"(4)","noteIndex":0},"citationItems":[{"id":26,"uris":["http://zotero.org/users/local/qnIpXHeo/items/SP5B4LER"],"itemData":{"id":26,"type":"article-journal","abstract":"PURPOSE: To report 2-year results from the Archway clinical trial of the Port Delivery System with ranibizumab (PDS) for treatment of neovascular age-related macular degeneration (nAMD).\nDESIGN: Phase 3, randomized, multicenter, open-label, active-comparator-controlled trial.\nPARTICIPANTS: Patients with previously treated nAMD diagnosed within 9 months of screening and responsive to anti-vascular endothelial growth factor therapy.\nMETHODS: Patients were randomized 3:2 to PDS with ranibizumab 100 mg/ml with fixed refill-exchanges every 24 weeks (PDS Q24W) or intravitreal ranibizumab 0.5 mg injections every 4 weeks (monthly ranibizumab). Patients were followed through 4 complete refill-exchange intervals (</w:instrText>
            </w:r>
            <w:r>
              <w:rPr>
                <w:rFonts w:ascii="Cambria Math" w:hAnsi="Cambria Math" w:cs="Cambria Math"/>
                <w:color w:val="000000" w:themeColor="text1"/>
                <w:sz w:val="20"/>
                <w:szCs w:val="20"/>
                <w:lang w:val="en-US"/>
              </w:rPr>
              <w:instrText>∼</w:instrText>
            </w:r>
            <w:r>
              <w:rPr>
                <w:rFonts w:ascii="Arial" w:hAnsi="Arial" w:cs="Arial"/>
                <w:color w:val="000000" w:themeColor="text1"/>
                <w:sz w:val="20"/>
                <w:szCs w:val="20"/>
                <w:lang w:val="en-US"/>
              </w:rPr>
              <w:instrText xml:space="preserve">2 years).\nMAIN OUTCOME MEASURES: Change in best-corrected visual acuity (BCVA) Early Treatment Diabetic Retinopathy Study (ETDRS) letter score from baseline averaged over weeks 44 and 48, weeks 60 and 64, and weeks 88 and 92 (noninferiority margin, -3.9 ETDRS letters).\nRESULTS: The PDS Q24W was noninferior to monthly ranibizumab, with differences in adjusted mean change in BCVA score from baseline averaged over weeks 44/48, 60/64 and 88/92 of -0.2 (95% confidence interval [CI], -1.8 to +1.3), +0.4 (95% CI, -1.4 to +2.1) and -0.6 ETDRS letters (95% CI, -2.5 to +1.3), respectively. Anatomic outcomes were generally comparable between arms through week 96. Through each of 4 PDS refill-exchange intervals, 98.4%, 94.6%, 94.8%, and 94.7% of PDS Q24W patients assessed did not receive supplemental ranibizumab treatment. The PDS ocular safety profile was generally unchanged from primary analysis. Prespecified ocular adverse events of special interest (AESI) were reported in 59 (23.8%) PDS and 17 (10.2%) monthly ranibizumab patients. The most common AESI reported in both arms was cataract (PDS Q24W, 22 [8.9%]; monthly ranibizumab, 10 [6.0%]). Events in the PDS Q24W arm included (patient incidence) 10 (4.0%) conjunctival erosions, 6 (2.4%) conjunctival retractions, 4 (1.6%) endophthalmitis cases, and 4 (1.6%) implant dislocations. Serum ranibizumab sampling showed that the PDS continuously released ranibizumab over the 24-week refill-exchange interval and ranibizumab serum concentrations were within the range experienced with monthly ranibizumab.\nCONCLUSIONS: The PDS Q24W showed noninferior efficacy to monthly ranibizumab through approximately 2 years, with approximately 95% of PDS Q24W patients not receiving supplemental ranibizumab treatment in each refill-exchange interval. The AESIs were generally manageable, with learnings continually implemented to minimize PDS-related AEs.\nFINANCIAL DISCLOSURE(S): Proprietary or commercial disclosure may be found after the references.","container-title":"Ophthalmology","DOI":"10.1016/j.ophtha.2023.02.024","ISSN":"1549-4713","issue":"7","journalAbbreviation":"Ophthalmology","language":"eng","note":"PMID: 36870451","page":"735-747","source":"PubMed","title":"Archway Phase 3 Trial of the Port Delivery System with Ranibizumab for Neovascular Age-Related Macular Degeneration 2-Year Results","volume":"130","author":[{"family":"Regillo","given":"Carl"},{"family":"Berger","given":"Brian"},{"family":"Brooks","given":"Logan"},{"family":"Clark","given":"W. Lloyd"},{"family":"Mittra","given":"Robert"},{"family":"Wykoff","given":"Charles C."},{"family":"Callaway","given":"Natalia F."},{"family":"DeGraaf","given":"Stephanie"},{"family":"Ding","given":"Han Ting"},{"family":"Fung","given":"Anne E."},{"family":"Gune","given":"Shamika"},{"family":"Le Pogam","given":"Sophie"},{"family":"Smith","given":"Robert"},{"family":"Willis","given":"Jeffrey R."},{"family":"Barteselli","given":"Giulio"}],"issued":{"date-parts":[["2023",7]]}}}],"schema":"https://github.com/citation-style-language/schema/raw/master/csl-citation.json"}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(4)</w:t>
            </w:r>
            <w:r w:rsidRPr="0030308C">
              <w:rPr>
                <w:rFonts w:ascii="Arial" w:hAnsi="Arial" w:cs="Arial"/>
                <w:color w:val="000000" w:themeColor="text1"/>
                <w:sz w:val="20"/>
                <w:szCs w:val="20"/>
                <w:lang w:val="en-US"/>
              </w:rPr>
              <w:fldChar w:fldCharType="end"/>
            </w:r>
          </w:p>
        </w:tc>
      </w:tr>
      <w:tr w:rsidR="00E61562" w:rsidRPr="0030308C" w14:paraId="00EDE563" w14:textId="77777777" w:rsidTr="000E0C52">
        <w:tc>
          <w:tcPr>
            <w:tcW w:w="4536" w:type="dxa"/>
            <w:tcBorders>
              <w:bottom w:val="single" w:sz="4" w:space="0" w:color="auto"/>
            </w:tcBorders>
          </w:tcPr>
          <w:p w14:paraId="1FC9590B" w14:textId="77777777" w:rsidR="00E61562" w:rsidRPr="0030308C" w:rsidRDefault="00E61562" w:rsidP="000E0C52">
            <w:pPr>
              <w:rPr>
                <w:rFonts w:ascii="Arial" w:hAnsi="Arial" w:cs="Arial"/>
                <w:color w:val="000000" w:themeColor="text1"/>
                <w:sz w:val="20"/>
                <w:szCs w:val="20"/>
                <w:lang w:val="en-US"/>
              </w:rPr>
            </w:pPr>
            <w:r w:rsidRPr="0030308C">
              <w:rPr>
                <w:rFonts w:ascii="Arial" w:hAnsi="Arial" w:cs="Arial"/>
                <w:color w:val="000000" w:themeColor="text1"/>
                <w:sz w:val="20"/>
                <w:szCs w:val="20"/>
                <w:lang w:val="en-US"/>
              </w:rPr>
              <w:t>Implant dislocation</w:t>
            </w:r>
          </w:p>
        </w:tc>
        <w:tc>
          <w:tcPr>
            <w:tcW w:w="1451" w:type="dxa"/>
            <w:tcBorders>
              <w:bottom w:val="single" w:sz="4" w:space="0" w:color="auto"/>
            </w:tcBorders>
          </w:tcPr>
          <w:p w14:paraId="0A69B3CC"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1.6%</w:t>
            </w:r>
          </w:p>
        </w:tc>
        <w:tc>
          <w:tcPr>
            <w:tcW w:w="2375" w:type="dxa"/>
            <w:tcBorders>
              <w:bottom w:val="single" w:sz="4" w:space="0" w:color="auto"/>
            </w:tcBorders>
          </w:tcPr>
          <w:p w14:paraId="14234073"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Beta</w:t>
            </w:r>
          </w:p>
        </w:tc>
        <w:tc>
          <w:tcPr>
            <w:tcW w:w="2318" w:type="dxa"/>
            <w:tcBorders>
              <w:bottom w:val="single" w:sz="4" w:space="0" w:color="auto"/>
            </w:tcBorders>
          </w:tcPr>
          <w:p w14:paraId="276C3D1E"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4</w:t>
            </w:r>
          </w:p>
        </w:tc>
        <w:tc>
          <w:tcPr>
            <w:tcW w:w="2254" w:type="dxa"/>
            <w:tcBorders>
              <w:bottom w:val="single" w:sz="4" w:space="0" w:color="auto"/>
            </w:tcBorders>
          </w:tcPr>
          <w:p w14:paraId="7E716A5B"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244</w:t>
            </w:r>
          </w:p>
        </w:tc>
        <w:tc>
          <w:tcPr>
            <w:tcW w:w="3368" w:type="dxa"/>
            <w:tcBorders>
              <w:bottom w:val="single" w:sz="4" w:space="0" w:color="auto"/>
            </w:tcBorders>
          </w:tcPr>
          <w:p w14:paraId="600A29AE"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{"citationID":"QSPajWbr","properties":{"formattedCitation":"(4)","plainCitation":"(4)","noteIndex":0},"citationItems":[{"id":26,"uris":["http://zotero.org/users/local/qnIpXHeo/items/SP5B4LER"],"itemData":{"id":26,"type":"article-journal","abstract":"PURPOSE: To report 2-year results from the Archway clinical trial of the Port Delivery System with ranibizumab (PDS) for treatment of neovascular age-related macular degeneration (nAMD).\nDESIGN: Phase 3, randomized, multicenter, open-label, active-comparator-controlled trial.\nPARTICIPANTS: Patients with previously treated nAMD diagnosed within 9 months of screening and responsive to anti-vascular endothelial growth factor therapy.\nMETHODS: Patients were randomized 3:2 to PDS with ranibizumab 100 mg/ml with fixed refill-exchanges every 24 weeks (PDS Q24W) or intravitreal ranibizumab 0.5 mg injections every 4 weeks (monthly ranibizumab). Patients were followed through 4 complete refill-exchange intervals (</w:instrText>
            </w:r>
            <w:r>
              <w:rPr>
                <w:rFonts w:ascii="Cambria Math" w:hAnsi="Cambria Math" w:cs="Cambria Math"/>
                <w:color w:val="000000" w:themeColor="text1"/>
                <w:sz w:val="20"/>
                <w:szCs w:val="20"/>
                <w:lang w:val="en-US"/>
              </w:rPr>
              <w:instrText>∼</w:instrText>
            </w:r>
            <w:r>
              <w:rPr>
                <w:rFonts w:ascii="Arial" w:hAnsi="Arial" w:cs="Arial"/>
                <w:color w:val="000000" w:themeColor="text1"/>
                <w:sz w:val="20"/>
                <w:szCs w:val="20"/>
                <w:lang w:val="en-US"/>
              </w:rPr>
              <w:instrText xml:space="preserve">2 years).\nMAIN OUTCOME MEASURES: Change in best-corrected visual acuity (BCVA) Early Treatment Diabetic Retinopathy Study (ETDRS) letter score from baseline averaged over weeks 44 and 48, weeks 60 and 64, and weeks 88 and 92 (noninferiority margin, -3.9 ETDRS letters).\nRESULTS: The PDS Q24W was noninferior to monthly ranibizumab, with differences in adjusted mean change in BCVA score from baseline averaged over weeks 44/48, 60/64 and 88/92 of -0.2 (95% confidence interval [CI], -1.8 to +1.3), +0.4 (95% CI, -1.4 to +2.1) and -0.6 ETDRS letters (95% CI, -2.5 to +1.3), respectively. Anatomic outcomes were generally comparable between arms through week 96. Through each of 4 PDS refill-exchange intervals, 98.4%, 94.6%, 94.8%, and 94.7% of PDS Q24W patients assessed did not receive supplemental ranibizumab treatment. The PDS ocular safety profile was generally unchanged from primary analysis. Prespecified ocular adverse events of special interest (AESI) were reported in 59 (23.8%) PDS and 17 (10.2%) monthly ranibizumab patients. The most common AESI reported in both arms was cataract (PDS Q24W, 22 [8.9%]; monthly ranibizumab, 10 [6.0%]). Events in the PDS Q24W arm included (patient incidence) 10 (4.0%) conjunctival erosions, 6 (2.4%) conjunctival retractions, 4 (1.6%) endophthalmitis cases, and 4 (1.6%) implant dislocations. Serum ranibizumab sampling showed that the PDS continuously released ranibizumab over the 24-week refill-exchange interval and ranibizumab serum concentrations were within the range experienced with monthly ranibizumab.\nCONCLUSIONS: The PDS Q24W showed noninferior efficacy to monthly ranibizumab through approximately 2 years, with approximately 95% of PDS Q24W patients not receiving supplemental ranibizumab treatment in each refill-exchange interval. The AESIs were generally manageable, with learnings continually implemented to minimize PDS-related AEs.\nFINANCIAL DISCLOSURE(S): Proprietary or commercial disclosure may be found after the references.","container-title":"Ophthalmology","DOI":"10.1016/j.ophtha.2023.02.024","ISSN":"1549-4713","issue":"7","journalAbbreviation":"Ophthalmology","language":"eng","note":"PMID: 36870451","page":"735-747","source":"PubMed","title":"Archway Phase 3 Trial of the Port Delivery System with Ranibizumab for Neovascular Age-Related Macular Degeneration 2-Year Results","volume":"130","author":[{"family":"Regillo","given":"Carl"},{"family":"Berger","given":"Brian"},{"family":"Brooks","given":"Logan"},{"family":"Clark","given":"W. Lloyd"},{"family":"Mittra","given":"Robert"},{"family":"Wykoff","given":"Charles C."},{"family":"Callaway","given":"Natalia F."},{"family":"DeGraaf","given":"Stephanie"},{"family":"Ding","given":"Han Ting"},{"family":"Fung","given":"Anne E."},{"family":"Gune","given":"Shamika"},{"family":"Le Pogam","given":"Sophie"},{"family":"Smith","given":"Robert"},{"family":"Willis","given":"Jeffrey R."},{"family":"Barteselli","given":"Giulio"}],"issued":{"date-parts":[["2023",7]]}}}],"schema":"https://github.com/citation-style-language/schema/raw/master/csl-citation.json"}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(4)</w:t>
            </w:r>
            <w:r w:rsidRPr="0030308C">
              <w:rPr>
                <w:rFonts w:ascii="Arial" w:hAnsi="Arial" w:cs="Arial"/>
                <w:color w:val="000000" w:themeColor="text1"/>
                <w:sz w:val="20"/>
                <w:szCs w:val="20"/>
                <w:lang w:val="en-US"/>
              </w:rPr>
              <w:fldChar w:fldCharType="end"/>
            </w:r>
          </w:p>
        </w:tc>
      </w:tr>
      <w:tr w:rsidR="00E61562" w:rsidRPr="0030308C" w14:paraId="08B16918" w14:textId="77777777" w:rsidTr="000E0C52">
        <w:tc>
          <w:tcPr>
            <w:tcW w:w="4536" w:type="dxa"/>
            <w:tcBorders>
              <w:top w:val="single" w:sz="4" w:space="0" w:color="auto"/>
              <w:bottom w:val="single" w:sz="4" w:space="0" w:color="auto"/>
            </w:tcBorders>
          </w:tcPr>
          <w:p w14:paraId="4185AD07" w14:textId="77777777" w:rsidR="00E61562" w:rsidRPr="0030308C" w:rsidRDefault="00E61562" w:rsidP="000E0C52">
            <w:pPr>
              <w:rPr>
                <w:rFonts w:ascii="Arial" w:hAnsi="Arial" w:cs="Arial"/>
                <w:b/>
                <w:bCs/>
                <w:color w:val="000000" w:themeColor="text1"/>
                <w:sz w:val="20"/>
                <w:szCs w:val="20"/>
                <w:lang w:val="en-US"/>
              </w:rPr>
            </w:pPr>
            <w:r w:rsidRPr="0030308C">
              <w:rPr>
                <w:rFonts w:ascii="Arial" w:hAnsi="Arial" w:cs="Arial"/>
                <w:b/>
                <w:bCs/>
                <w:color w:val="000000" w:themeColor="text1"/>
                <w:sz w:val="20"/>
                <w:szCs w:val="20"/>
                <w:lang w:val="en-US"/>
              </w:rPr>
              <w:t>Intravitreal injections (IVI) (yearly probabilities)</w:t>
            </w:r>
          </w:p>
        </w:tc>
        <w:tc>
          <w:tcPr>
            <w:tcW w:w="1451" w:type="dxa"/>
            <w:tcBorders>
              <w:top w:val="single" w:sz="4" w:space="0" w:color="auto"/>
              <w:bottom w:val="single" w:sz="4" w:space="0" w:color="auto"/>
            </w:tcBorders>
          </w:tcPr>
          <w:p w14:paraId="404BC9E0" w14:textId="77777777" w:rsidR="00E61562" w:rsidRPr="0030308C" w:rsidRDefault="00E61562" w:rsidP="000E0C52">
            <w:pPr>
              <w:jc w:val="both"/>
              <w:rPr>
                <w:rFonts w:ascii="Arial" w:hAnsi="Arial" w:cs="Arial"/>
                <w:color w:val="000000" w:themeColor="text1"/>
                <w:sz w:val="20"/>
                <w:szCs w:val="20"/>
                <w:lang w:val="en-US"/>
              </w:rPr>
            </w:pPr>
          </w:p>
        </w:tc>
        <w:tc>
          <w:tcPr>
            <w:tcW w:w="2375" w:type="dxa"/>
            <w:tcBorders>
              <w:top w:val="single" w:sz="4" w:space="0" w:color="auto"/>
              <w:bottom w:val="single" w:sz="4" w:space="0" w:color="auto"/>
            </w:tcBorders>
          </w:tcPr>
          <w:p w14:paraId="368C5DA2" w14:textId="77777777" w:rsidR="00E61562" w:rsidRPr="0030308C" w:rsidRDefault="00E61562" w:rsidP="000E0C52">
            <w:pPr>
              <w:jc w:val="both"/>
              <w:rPr>
                <w:rFonts w:ascii="Arial" w:hAnsi="Arial" w:cs="Arial"/>
                <w:color w:val="000000" w:themeColor="text1"/>
                <w:sz w:val="20"/>
                <w:szCs w:val="20"/>
                <w:lang w:val="en-US"/>
              </w:rPr>
            </w:pPr>
          </w:p>
        </w:tc>
        <w:tc>
          <w:tcPr>
            <w:tcW w:w="2318" w:type="dxa"/>
            <w:tcBorders>
              <w:top w:val="single" w:sz="4" w:space="0" w:color="auto"/>
              <w:bottom w:val="single" w:sz="4" w:space="0" w:color="auto"/>
            </w:tcBorders>
          </w:tcPr>
          <w:p w14:paraId="41F0DFBA" w14:textId="77777777" w:rsidR="00E61562" w:rsidRPr="0030308C" w:rsidRDefault="00E61562" w:rsidP="000E0C52">
            <w:pPr>
              <w:jc w:val="both"/>
              <w:rPr>
                <w:rFonts w:ascii="Arial" w:hAnsi="Arial" w:cs="Arial"/>
                <w:color w:val="000000" w:themeColor="text1"/>
                <w:sz w:val="20"/>
                <w:szCs w:val="20"/>
                <w:lang w:val="en-US"/>
              </w:rPr>
            </w:pPr>
          </w:p>
        </w:tc>
        <w:tc>
          <w:tcPr>
            <w:tcW w:w="2254" w:type="dxa"/>
            <w:tcBorders>
              <w:top w:val="single" w:sz="4" w:space="0" w:color="auto"/>
              <w:bottom w:val="single" w:sz="4" w:space="0" w:color="auto"/>
            </w:tcBorders>
          </w:tcPr>
          <w:p w14:paraId="50C3AE2C" w14:textId="77777777" w:rsidR="00E61562" w:rsidRPr="0030308C" w:rsidRDefault="00E61562" w:rsidP="000E0C52">
            <w:pPr>
              <w:jc w:val="both"/>
              <w:rPr>
                <w:rFonts w:ascii="Arial" w:hAnsi="Arial" w:cs="Arial"/>
                <w:color w:val="000000" w:themeColor="text1"/>
                <w:sz w:val="20"/>
                <w:szCs w:val="20"/>
                <w:lang w:val="en-US"/>
              </w:rPr>
            </w:pPr>
          </w:p>
        </w:tc>
        <w:tc>
          <w:tcPr>
            <w:tcW w:w="3368" w:type="dxa"/>
            <w:tcBorders>
              <w:top w:val="single" w:sz="4" w:space="0" w:color="auto"/>
              <w:bottom w:val="single" w:sz="4" w:space="0" w:color="auto"/>
            </w:tcBorders>
          </w:tcPr>
          <w:p w14:paraId="7DFDB263" w14:textId="77777777" w:rsidR="00E61562" w:rsidRPr="0030308C" w:rsidRDefault="00E61562" w:rsidP="000E0C52">
            <w:pPr>
              <w:jc w:val="both"/>
              <w:rPr>
                <w:rFonts w:ascii="Arial" w:hAnsi="Arial" w:cs="Arial"/>
                <w:color w:val="000000" w:themeColor="text1"/>
                <w:sz w:val="20"/>
                <w:szCs w:val="20"/>
                <w:lang w:val="en-US"/>
              </w:rPr>
            </w:pPr>
          </w:p>
        </w:tc>
      </w:tr>
      <w:tr w:rsidR="00E61562" w:rsidRPr="0030308C" w14:paraId="7F11F9F9" w14:textId="77777777" w:rsidTr="000E0C52">
        <w:tc>
          <w:tcPr>
            <w:tcW w:w="4536" w:type="dxa"/>
            <w:tcBorders>
              <w:top w:val="single" w:sz="4" w:space="0" w:color="auto"/>
            </w:tcBorders>
          </w:tcPr>
          <w:p w14:paraId="19196B34" w14:textId="77777777" w:rsidR="00E61562" w:rsidRPr="0030308C" w:rsidRDefault="00E61562" w:rsidP="000E0C52">
            <w:pPr>
              <w:rPr>
                <w:rFonts w:ascii="Arial" w:hAnsi="Arial" w:cs="Arial"/>
                <w:color w:val="000000" w:themeColor="text1"/>
                <w:sz w:val="20"/>
                <w:szCs w:val="20"/>
                <w:lang w:val="en-US"/>
              </w:rPr>
            </w:pPr>
            <w:r w:rsidRPr="0030308C">
              <w:rPr>
                <w:rFonts w:ascii="Arial" w:hAnsi="Arial" w:cs="Arial"/>
                <w:color w:val="000000" w:themeColor="text1"/>
                <w:sz w:val="20"/>
                <w:szCs w:val="20"/>
                <w:lang w:val="en-US"/>
              </w:rPr>
              <w:t>Cataract</w:t>
            </w:r>
          </w:p>
        </w:tc>
        <w:tc>
          <w:tcPr>
            <w:tcW w:w="1451" w:type="dxa"/>
            <w:tcBorders>
              <w:top w:val="single" w:sz="4" w:space="0" w:color="auto"/>
            </w:tcBorders>
          </w:tcPr>
          <w:p w14:paraId="7F32672E"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0.16%</w:t>
            </w:r>
          </w:p>
        </w:tc>
        <w:tc>
          <w:tcPr>
            <w:tcW w:w="2375" w:type="dxa"/>
            <w:tcBorders>
              <w:top w:val="single" w:sz="4" w:space="0" w:color="auto"/>
            </w:tcBorders>
          </w:tcPr>
          <w:p w14:paraId="4BAD3FE1"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Beta</w:t>
            </w:r>
          </w:p>
        </w:tc>
        <w:tc>
          <w:tcPr>
            <w:tcW w:w="2318" w:type="dxa"/>
            <w:tcBorders>
              <w:top w:val="single" w:sz="4" w:space="0" w:color="auto"/>
            </w:tcBorders>
          </w:tcPr>
          <w:p w14:paraId="5078716E"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2</w:t>
            </w:r>
          </w:p>
        </w:tc>
        <w:tc>
          <w:tcPr>
            <w:tcW w:w="2254" w:type="dxa"/>
            <w:tcBorders>
              <w:top w:val="single" w:sz="4" w:space="0" w:color="auto"/>
            </w:tcBorders>
          </w:tcPr>
          <w:p w14:paraId="37A468DF"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608</w:t>
            </w:r>
          </w:p>
        </w:tc>
        <w:tc>
          <w:tcPr>
            <w:tcW w:w="3368" w:type="dxa"/>
            <w:tcBorders>
              <w:top w:val="single" w:sz="4" w:space="0" w:color="auto"/>
            </w:tcBorders>
          </w:tcPr>
          <w:p w14:paraId="3957F9AB"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{"citationID":"PJaA7MYD","properties":{"formattedCitation":"(8)","plainCitation":"(8)","noteIndex":0},"citationItems":[{"id":299,"uris":["http://zotero.org/users/local/qnIpXHeo/items/HAB6TKEG"],"itemData":{"id":299,"type":"document","abstract":"Evidence-based recommendations on aflibercept (Eylea) solution for injection for treating wet age-related macular degeneration","language":"eng","note":"publisher: NICE","title":"Macula degeneration Appendix J: Health Economics","URL":"https://www.nice.org.uk/guidance/ta294/chapter/3-The-manufacturers-submission#cost-effectiveness","author":[{"family":"NICE","given":""}],"accessed":{"date-parts":[["2024",1,10]]},"issued":{"date-parts":[["2018"]]}}}],"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(8)</w:t>
            </w:r>
            <w:r w:rsidRPr="0030308C">
              <w:rPr>
                <w:rFonts w:ascii="Arial" w:hAnsi="Arial" w:cs="Arial"/>
                <w:color w:val="000000" w:themeColor="text1"/>
                <w:sz w:val="20"/>
                <w:szCs w:val="20"/>
                <w:lang w:val="en-US"/>
              </w:rPr>
              <w:fldChar w:fldCharType="end"/>
            </w:r>
          </w:p>
        </w:tc>
      </w:tr>
      <w:tr w:rsidR="00E61562" w:rsidRPr="0030308C" w14:paraId="192E178F" w14:textId="77777777" w:rsidTr="000E0C52">
        <w:tc>
          <w:tcPr>
            <w:tcW w:w="4536" w:type="dxa"/>
          </w:tcPr>
          <w:p w14:paraId="6FAFB207" w14:textId="77777777" w:rsidR="00E61562" w:rsidRPr="0030308C" w:rsidRDefault="00E61562" w:rsidP="000E0C52">
            <w:pPr>
              <w:rPr>
                <w:rFonts w:ascii="Arial" w:hAnsi="Arial" w:cs="Arial"/>
                <w:color w:val="000000" w:themeColor="text1"/>
                <w:sz w:val="20"/>
                <w:szCs w:val="20"/>
                <w:lang w:val="en-US"/>
              </w:rPr>
            </w:pPr>
            <w:r w:rsidRPr="0030308C">
              <w:rPr>
                <w:rFonts w:ascii="Arial" w:hAnsi="Arial" w:cs="Arial"/>
                <w:color w:val="000000" w:themeColor="text1"/>
                <w:sz w:val="20"/>
                <w:szCs w:val="20"/>
                <w:lang w:val="en-US"/>
              </w:rPr>
              <w:t>Endophthalmitis</w:t>
            </w:r>
          </w:p>
        </w:tc>
        <w:tc>
          <w:tcPr>
            <w:tcW w:w="1451" w:type="dxa"/>
          </w:tcPr>
          <w:p w14:paraId="424D9806"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0.47%</w:t>
            </w:r>
          </w:p>
        </w:tc>
        <w:tc>
          <w:tcPr>
            <w:tcW w:w="2375" w:type="dxa"/>
          </w:tcPr>
          <w:p w14:paraId="35CE0428"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Beta</w:t>
            </w:r>
          </w:p>
        </w:tc>
        <w:tc>
          <w:tcPr>
            <w:tcW w:w="2318" w:type="dxa"/>
          </w:tcPr>
          <w:p w14:paraId="3B82548A"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11</w:t>
            </w:r>
          </w:p>
        </w:tc>
        <w:tc>
          <w:tcPr>
            <w:tcW w:w="2254" w:type="dxa"/>
          </w:tcPr>
          <w:p w14:paraId="11F1FC17"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1174</w:t>
            </w:r>
          </w:p>
        </w:tc>
        <w:tc>
          <w:tcPr>
            <w:tcW w:w="3368" w:type="dxa"/>
          </w:tcPr>
          <w:p w14:paraId="0B60BC8D"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{"citationID":"cYyyiJmX","properties":{"formattedCitation":"(8)","plainCitation":"(8)","noteIndex":0},"citationItems":[{"id":299,"uris":["http://zotero.org/users/local/qnIpXHeo/items/HAB6TKEG"],"itemData":{"id":299,"type":"document","abstract":"Evidence-based recommendations on aflibercept (Eylea) solution for injection for treating wet age-related macular degeneration","language":"eng","note":"publisher: NICE","title":"Macula degeneration Appendix J: Health Economics","URL":"https://www.nice.org.uk/guidance/ta294/chapter/3-The-manufacturers-submission#cost-effectiveness","author":[{"family":"NICE","given":""}],"accessed":{"date-parts":[["2024",1,10]]},"issued":{"date-parts":[["2018"]]}}}],"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(8)</w:t>
            </w:r>
            <w:r w:rsidRPr="0030308C">
              <w:rPr>
                <w:rFonts w:ascii="Arial" w:hAnsi="Arial" w:cs="Arial"/>
                <w:color w:val="000000" w:themeColor="text1"/>
                <w:sz w:val="20"/>
                <w:szCs w:val="20"/>
                <w:lang w:val="en-US"/>
              </w:rPr>
              <w:fldChar w:fldCharType="end"/>
            </w:r>
          </w:p>
        </w:tc>
      </w:tr>
      <w:tr w:rsidR="00E61562" w:rsidRPr="0030308C" w14:paraId="1AA71B7B" w14:textId="77777777" w:rsidTr="000E0C52">
        <w:tc>
          <w:tcPr>
            <w:tcW w:w="4536" w:type="dxa"/>
          </w:tcPr>
          <w:p w14:paraId="184A947B" w14:textId="77777777" w:rsidR="00E61562" w:rsidRPr="0030308C" w:rsidRDefault="00E61562" w:rsidP="000E0C52">
            <w:pPr>
              <w:rPr>
                <w:rFonts w:ascii="Arial" w:hAnsi="Arial" w:cs="Arial"/>
                <w:color w:val="000000" w:themeColor="text1"/>
                <w:sz w:val="20"/>
                <w:szCs w:val="20"/>
                <w:lang w:val="en-US"/>
              </w:rPr>
            </w:pPr>
            <w:r w:rsidRPr="0030308C">
              <w:rPr>
                <w:rFonts w:ascii="Arial" w:hAnsi="Arial" w:cs="Arial"/>
                <w:color w:val="000000" w:themeColor="text1"/>
                <w:sz w:val="20"/>
                <w:szCs w:val="20"/>
                <w:lang w:val="en-US"/>
              </w:rPr>
              <w:t>Retinal detachment</w:t>
            </w:r>
          </w:p>
        </w:tc>
        <w:tc>
          <w:tcPr>
            <w:tcW w:w="1451" w:type="dxa"/>
          </w:tcPr>
          <w:p w14:paraId="002EE9C3"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0.08%</w:t>
            </w:r>
          </w:p>
        </w:tc>
        <w:tc>
          <w:tcPr>
            <w:tcW w:w="2375" w:type="dxa"/>
          </w:tcPr>
          <w:p w14:paraId="22CA7E5C"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Beta</w:t>
            </w:r>
          </w:p>
        </w:tc>
        <w:tc>
          <w:tcPr>
            <w:tcW w:w="2318" w:type="dxa"/>
          </w:tcPr>
          <w:p w14:paraId="4D5E62D1"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1</w:t>
            </w:r>
          </w:p>
        </w:tc>
        <w:tc>
          <w:tcPr>
            <w:tcW w:w="2254" w:type="dxa"/>
          </w:tcPr>
          <w:p w14:paraId="3901DA85"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609</w:t>
            </w:r>
          </w:p>
        </w:tc>
        <w:tc>
          <w:tcPr>
            <w:tcW w:w="3368" w:type="dxa"/>
          </w:tcPr>
          <w:p w14:paraId="1728FE0E"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{"citationID":"5pD12QNi","properties":{"formattedCitation":"(8)","plainCitation":"(8)","noteIndex":0},"citationItems":[{"id":299,"uris":["http://zotero.org/users/local/qnIpXHeo/items/HAB6TKEG"],"itemData":{"id":299,"type":"document","abstract":"Evidence-based recommendations on aflibercept (Eylea) solution for injection for treating wet age-related macular degeneration","language":"eng","note":"publisher: NICE","title":"Macula degeneration Appendix J: Health Economics","URL":"https://www.nice.org.uk/guidance/ta294/chapter/3-The-manufacturers-submission#cost-effectiveness","author":[{"family":"NICE","given":""}],"accessed":{"date-parts":[["2024",1,10]]},"issued":{"date-parts":[["2018"]]}}}],"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(8)</w:t>
            </w:r>
            <w:r w:rsidRPr="0030308C">
              <w:rPr>
                <w:rFonts w:ascii="Arial" w:hAnsi="Arial" w:cs="Arial"/>
                <w:color w:val="000000" w:themeColor="text1"/>
                <w:sz w:val="20"/>
                <w:szCs w:val="20"/>
                <w:lang w:val="en-US"/>
              </w:rPr>
              <w:fldChar w:fldCharType="end"/>
            </w:r>
          </w:p>
        </w:tc>
      </w:tr>
      <w:tr w:rsidR="00E61562" w:rsidRPr="0030308C" w14:paraId="54A88511" w14:textId="77777777" w:rsidTr="000E0C52">
        <w:tc>
          <w:tcPr>
            <w:tcW w:w="4536" w:type="dxa"/>
          </w:tcPr>
          <w:p w14:paraId="17D60099" w14:textId="77777777" w:rsidR="00E61562" w:rsidRPr="0030308C" w:rsidRDefault="00E61562" w:rsidP="000E0C52">
            <w:pPr>
              <w:rPr>
                <w:rFonts w:ascii="Arial" w:hAnsi="Arial" w:cs="Arial"/>
                <w:color w:val="000000" w:themeColor="text1"/>
                <w:sz w:val="20"/>
                <w:szCs w:val="20"/>
                <w:lang w:val="en-US"/>
              </w:rPr>
            </w:pPr>
            <w:r w:rsidRPr="0030308C">
              <w:rPr>
                <w:rFonts w:ascii="Arial" w:hAnsi="Arial" w:cs="Arial"/>
                <w:color w:val="000000" w:themeColor="text1"/>
                <w:sz w:val="20"/>
                <w:szCs w:val="20"/>
                <w:lang w:val="en-US"/>
              </w:rPr>
              <w:t>Retinal tear</w:t>
            </w:r>
          </w:p>
        </w:tc>
        <w:tc>
          <w:tcPr>
            <w:tcW w:w="1451" w:type="dxa"/>
          </w:tcPr>
          <w:p w14:paraId="07E1A8EE"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0.33%</w:t>
            </w:r>
          </w:p>
        </w:tc>
        <w:tc>
          <w:tcPr>
            <w:tcW w:w="2375" w:type="dxa"/>
          </w:tcPr>
          <w:p w14:paraId="771A608A"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Beta</w:t>
            </w:r>
          </w:p>
        </w:tc>
        <w:tc>
          <w:tcPr>
            <w:tcW w:w="2318" w:type="dxa"/>
          </w:tcPr>
          <w:p w14:paraId="49F6832C"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4</w:t>
            </w:r>
          </w:p>
        </w:tc>
        <w:tc>
          <w:tcPr>
            <w:tcW w:w="2254" w:type="dxa"/>
          </w:tcPr>
          <w:p w14:paraId="1112FE30"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606</w:t>
            </w:r>
          </w:p>
        </w:tc>
        <w:tc>
          <w:tcPr>
            <w:tcW w:w="3368" w:type="dxa"/>
          </w:tcPr>
          <w:p w14:paraId="20AE2AB1"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{"citationID":"qSZMYPh0","properties":{"formattedCitation":"(8)","plainCitation":"(8)","noteIndex":0},"citationItems":[{"id":299,"uris":["http://zotero.org/users/local/qnIpXHeo/items/HAB6TKEG"],"itemData":{"id":299,"type":"document","abstract":"Evidence-based recommendations on aflibercept (Eylea) solution for injection for treating wet age-related macular degeneration","language":"eng","note":"publisher: NICE","title":"Macula degeneration Appendix J: Health Economics","URL":"https://www.nice.org.uk/guidance/ta294/chapter/3-The-manufacturers-submission#cost-effectiveness","author":[{"family":"NICE","given":""}],"accessed":{"date-parts":[["2024",1,10]]},"issued":{"date-parts":[["2018"]]}}}],"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(8)</w:t>
            </w:r>
            <w:r w:rsidRPr="0030308C">
              <w:rPr>
                <w:rFonts w:ascii="Arial" w:hAnsi="Arial" w:cs="Arial"/>
                <w:color w:val="000000" w:themeColor="text1"/>
                <w:sz w:val="20"/>
                <w:szCs w:val="20"/>
                <w:lang w:val="en-US"/>
              </w:rPr>
              <w:fldChar w:fldCharType="end"/>
            </w:r>
          </w:p>
        </w:tc>
      </w:tr>
      <w:tr w:rsidR="00E61562" w:rsidRPr="0030308C" w14:paraId="680C8031" w14:textId="77777777" w:rsidTr="000E0C52">
        <w:trPr>
          <w:trHeight w:val="85"/>
        </w:trPr>
        <w:tc>
          <w:tcPr>
            <w:tcW w:w="4536" w:type="dxa"/>
          </w:tcPr>
          <w:p w14:paraId="6005C2ED" w14:textId="77777777" w:rsidR="00E61562" w:rsidRPr="0030308C" w:rsidRDefault="00E61562" w:rsidP="000E0C52">
            <w:pPr>
              <w:rPr>
                <w:rFonts w:ascii="Arial" w:hAnsi="Arial" w:cs="Arial"/>
                <w:color w:val="000000" w:themeColor="text1"/>
                <w:sz w:val="20"/>
                <w:szCs w:val="20"/>
                <w:lang w:val="en-US"/>
              </w:rPr>
            </w:pPr>
            <w:r w:rsidRPr="0030308C">
              <w:rPr>
                <w:rFonts w:ascii="Arial" w:hAnsi="Arial" w:cs="Arial"/>
                <w:color w:val="000000" w:themeColor="text1"/>
                <w:sz w:val="20"/>
                <w:szCs w:val="20"/>
                <w:lang w:val="en-US"/>
              </w:rPr>
              <w:t>Sensitivity analysis 1: relative risk of adverse events probabilities</w:t>
            </w:r>
          </w:p>
        </w:tc>
        <w:tc>
          <w:tcPr>
            <w:tcW w:w="1451" w:type="dxa"/>
          </w:tcPr>
          <w:p w14:paraId="5813F190"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t>0.31</w:t>
            </w:r>
          </w:p>
        </w:tc>
        <w:tc>
          <w:tcPr>
            <w:tcW w:w="2375" w:type="dxa"/>
          </w:tcPr>
          <w:p w14:paraId="1026F7A2" w14:textId="77777777" w:rsidR="00E61562" w:rsidRPr="0030308C" w:rsidRDefault="00E61562" w:rsidP="000E0C52">
            <w:pPr>
              <w:jc w:val="both"/>
              <w:rPr>
                <w:rFonts w:ascii="Arial" w:hAnsi="Arial" w:cs="Arial"/>
                <w:color w:val="000000" w:themeColor="text1"/>
                <w:sz w:val="20"/>
                <w:szCs w:val="20"/>
                <w:lang w:val="en-US"/>
              </w:rPr>
            </w:pPr>
          </w:p>
        </w:tc>
        <w:tc>
          <w:tcPr>
            <w:tcW w:w="2318" w:type="dxa"/>
          </w:tcPr>
          <w:p w14:paraId="41F6BEEB" w14:textId="77777777" w:rsidR="00E61562" w:rsidRPr="0030308C" w:rsidRDefault="00E61562" w:rsidP="000E0C52">
            <w:pPr>
              <w:jc w:val="both"/>
              <w:rPr>
                <w:rFonts w:ascii="Arial" w:hAnsi="Arial" w:cs="Arial"/>
                <w:color w:val="000000" w:themeColor="text1"/>
                <w:sz w:val="20"/>
                <w:szCs w:val="20"/>
                <w:lang w:val="en-US"/>
              </w:rPr>
            </w:pPr>
          </w:p>
        </w:tc>
        <w:tc>
          <w:tcPr>
            <w:tcW w:w="2254" w:type="dxa"/>
          </w:tcPr>
          <w:p w14:paraId="320718A3" w14:textId="77777777" w:rsidR="00E61562" w:rsidRPr="0030308C" w:rsidRDefault="00E61562" w:rsidP="000E0C52">
            <w:pPr>
              <w:jc w:val="both"/>
              <w:rPr>
                <w:rFonts w:ascii="Arial" w:hAnsi="Arial" w:cs="Arial"/>
                <w:color w:val="000000" w:themeColor="text1"/>
                <w:sz w:val="20"/>
                <w:szCs w:val="20"/>
                <w:lang w:val="en-US"/>
              </w:rPr>
            </w:pPr>
          </w:p>
        </w:tc>
        <w:tc>
          <w:tcPr>
            <w:tcW w:w="3368" w:type="dxa"/>
          </w:tcPr>
          <w:p w14:paraId="5548E1D5" w14:textId="77777777" w:rsidR="00E61562" w:rsidRPr="0030308C" w:rsidRDefault="00E61562" w:rsidP="000E0C5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fldChar w:fldCharType="begin"/>
            </w:r>
            <w:r>
              <w:rPr>
                <w:rFonts w:ascii="Arial" w:hAnsi="Arial" w:cs="Arial"/>
                <w:color w:val="000000" w:themeColor="text1"/>
                <w:sz w:val="20"/>
                <w:szCs w:val="20"/>
                <w:lang w:val="en-US"/>
              </w:rPr>
              <w:instrText xml:space="preserve"> ADDIN ZOTERO_ITEM CSL_CITATION {"citationID":"Vr3RNO1L","properties":{"formattedCitation":"(8)","plainCitation":"(8)","noteIndex":0},"citationItems":[{"id":299,"uris":["http://zotero.org/users/local/qnIpXHeo/items/HAB6TKEG"],"itemData":{"id":299,"type":"document","abstract":"Evidence-based recommendations on aflibercept (Eylea) solution for injection for treating wet age-related macular degeneration","language":"eng","note":"publisher: NICE","title":"Macula degeneration Appendix J: Health Economics","URL":"https://www.nice.org.uk/guidance/ta294/chapter/3-The-manufacturers-submission#cost-effectiveness","author":[{"family":"NICE","given":""}],"accessed":{"date-parts":[["2024",1,10]]},"issued":{"date-parts":[["2018"]]}}}],"schema":"https://github.com/citation-style-language/schema/raw/master/csl-citation.json"} </w:instrText>
            </w:r>
            <w:r w:rsidRPr="0030308C">
              <w:rPr>
                <w:rFonts w:ascii="Arial" w:hAnsi="Arial" w:cs="Arial"/>
                <w:color w:val="000000" w:themeColor="text1"/>
                <w:sz w:val="20"/>
                <w:szCs w:val="20"/>
                <w:lang w:val="en-US"/>
              </w:rPr>
              <w:fldChar w:fldCharType="separate"/>
            </w:r>
            <w:r>
              <w:rPr>
                <w:rFonts w:ascii="Arial" w:hAnsi="Arial" w:cs="Arial"/>
                <w:color w:val="000000"/>
                <w:sz w:val="20"/>
                <w:lang w:val="en-GB"/>
              </w:rPr>
              <w:t>(8)</w:t>
            </w:r>
            <w:r w:rsidRPr="0030308C">
              <w:rPr>
                <w:rFonts w:ascii="Arial" w:hAnsi="Arial" w:cs="Arial"/>
                <w:color w:val="000000" w:themeColor="text1"/>
                <w:sz w:val="20"/>
                <w:szCs w:val="20"/>
                <w:lang w:val="en-US"/>
              </w:rPr>
              <w:fldChar w:fldCharType="end"/>
            </w:r>
          </w:p>
        </w:tc>
      </w:tr>
    </w:tbl>
    <w:p w14:paraId="429ED382" w14:textId="77777777" w:rsidR="00E61562" w:rsidRPr="0030308C" w:rsidRDefault="00E61562" w:rsidP="00E61562">
      <w:pPr>
        <w:rPr>
          <w:color w:val="000000" w:themeColor="text1"/>
          <w:lang w:val="en-US"/>
        </w:rPr>
        <w:sectPr w:rsidR="00E61562" w:rsidRPr="0030308C" w:rsidSect="00E61562">
          <w:pgSz w:w="16838" w:h="11906" w:orient="landscape"/>
          <w:pgMar w:top="1440" w:right="1440" w:bottom="1440" w:left="1440" w:header="708" w:footer="708" w:gutter="0"/>
          <w:cols w:space="708"/>
          <w:titlePg/>
          <w:docGrid w:linePitch="360"/>
        </w:sectPr>
      </w:pPr>
    </w:p>
    <w:p w14:paraId="6224F7CB" w14:textId="77777777" w:rsidR="00E61562" w:rsidRPr="002E668C" w:rsidRDefault="00E61562" w:rsidP="00E61562">
      <w:pPr>
        <w:pStyle w:val="Caption"/>
        <w:keepNext/>
        <w:jc w:val="both"/>
        <w:rPr>
          <w:rFonts w:ascii="Arial" w:hAnsi="Arial" w:cs="Arial"/>
          <w:b/>
          <w:bCs/>
          <w:i w:val="0"/>
          <w:iCs w:val="0"/>
          <w:color w:val="000000" w:themeColor="text1"/>
          <w:sz w:val="16"/>
          <w:szCs w:val="16"/>
        </w:rPr>
      </w:pPr>
      <w:bookmarkStart w:id="5" w:name="_Ref168138836"/>
      <w:bookmarkStart w:id="6" w:name="_Toc168139199"/>
      <w:proofErr w:type="spellStart"/>
      <w:r w:rsidRPr="002E668C">
        <w:rPr>
          <w:rFonts w:ascii="Arial" w:hAnsi="Arial" w:cs="Arial"/>
          <w:i w:val="0"/>
          <w:iCs w:val="0"/>
          <w:color w:val="000000" w:themeColor="text1"/>
          <w:sz w:val="16"/>
          <w:szCs w:val="16"/>
          <w:vertAlign w:val="superscript"/>
        </w:rPr>
        <w:lastRenderedPageBreak/>
        <w:t>a</w:t>
      </w:r>
      <w:r w:rsidRPr="002E668C">
        <w:rPr>
          <w:rFonts w:ascii="Arial" w:hAnsi="Arial" w:cs="Arial"/>
          <w:i w:val="0"/>
          <w:iCs w:val="0"/>
          <w:color w:val="000000" w:themeColor="text1"/>
          <w:sz w:val="16"/>
          <w:szCs w:val="16"/>
        </w:rPr>
        <w:t>When</w:t>
      </w:r>
      <w:proofErr w:type="spellEnd"/>
      <w:r w:rsidRPr="002E668C">
        <w:rPr>
          <w:rFonts w:ascii="Arial" w:hAnsi="Arial" w:cs="Arial"/>
          <w:i w:val="0"/>
          <w:iCs w:val="0"/>
          <w:color w:val="000000" w:themeColor="text1"/>
          <w:sz w:val="16"/>
          <w:szCs w:val="16"/>
        </w:rPr>
        <w:t xml:space="preserve"> no distribution was reported, the variable is not included in the probabilistic analysis</w:t>
      </w:r>
    </w:p>
    <w:p w14:paraId="3F431138" w14:textId="77777777" w:rsidR="00E61562" w:rsidRPr="0030308C" w:rsidRDefault="00E61562" w:rsidP="00E61562">
      <w:pPr>
        <w:pStyle w:val="Caption"/>
        <w:keepNext/>
        <w:jc w:val="both"/>
        <w:rPr>
          <w:rFonts w:ascii="Arial" w:hAnsi="Arial" w:cs="Arial"/>
          <w:b/>
          <w:bCs/>
          <w:i w:val="0"/>
          <w:iCs w:val="0"/>
          <w:color w:val="000000" w:themeColor="text1"/>
          <w:sz w:val="24"/>
          <w:szCs w:val="24"/>
        </w:rPr>
      </w:pPr>
    </w:p>
    <w:bookmarkEnd w:id="3"/>
    <w:bookmarkEnd w:id="5"/>
    <w:p w14:paraId="0AF86F75" w14:textId="77777777" w:rsidR="00E61562" w:rsidRPr="00302132" w:rsidRDefault="00E61562" w:rsidP="00E61562">
      <w:pPr>
        <w:pStyle w:val="Caption"/>
        <w:keepNext/>
        <w:jc w:val="both"/>
        <w:rPr>
          <w:rFonts w:ascii="Arial" w:hAnsi="Arial" w:cs="Arial"/>
          <w:b/>
          <w:bCs/>
          <w:i w:val="0"/>
          <w:iCs w:val="0"/>
          <w:color w:val="000000" w:themeColor="text1"/>
          <w:sz w:val="24"/>
          <w:szCs w:val="24"/>
        </w:rPr>
      </w:pPr>
      <w:r w:rsidRPr="00302132">
        <w:rPr>
          <w:rFonts w:ascii="Arial" w:hAnsi="Arial" w:cs="Arial"/>
          <w:b/>
          <w:bCs/>
          <w:i w:val="0"/>
          <w:iCs w:val="0"/>
          <w:color w:val="000000" w:themeColor="text1"/>
          <w:sz w:val="24"/>
          <w:szCs w:val="24"/>
        </w:rPr>
        <w:t>eTable4. Age-dependent health-related quality of life (</w:t>
      </w:r>
      <w:proofErr w:type="spellStart"/>
      <w:r w:rsidRPr="00302132">
        <w:rPr>
          <w:rFonts w:ascii="Arial" w:hAnsi="Arial" w:cs="Arial"/>
          <w:b/>
          <w:bCs/>
          <w:i w:val="0"/>
          <w:iCs w:val="0"/>
          <w:color w:val="000000" w:themeColor="text1"/>
          <w:sz w:val="24"/>
          <w:szCs w:val="24"/>
        </w:rPr>
        <w:t>HRQoL</w:t>
      </w:r>
      <w:proofErr w:type="spellEnd"/>
      <w:r w:rsidRPr="00302132">
        <w:rPr>
          <w:rFonts w:ascii="Arial" w:hAnsi="Arial" w:cs="Arial"/>
          <w:b/>
          <w:bCs/>
          <w:i w:val="0"/>
          <w:iCs w:val="0"/>
          <w:color w:val="000000" w:themeColor="text1"/>
          <w:sz w:val="24"/>
          <w:szCs w:val="24"/>
        </w:rPr>
        <w:t>) values per health state, retrieved by the time trade-off method and based on Brown</w:t>
      </w:r>
      <w:bookmarkEnd w:id="4"/>
      <w:bookmarkEnd w:id="6"/>
      <w:r w:rsidRPr="00302132">
        <w:rPr>
          <w:rFonts w:ascii="Arial" w:hAnsi="Arial" w:cs="Arial"/>
          <w:b/>
          <w:bCs/>
          <w:i w:val="0"/>
          <w:iCs w:val="0"/>
          <w:color w:val="000000" w:themeColor="text1"/>
          <w:sz w:val="24"/>
          <w:szCs w:val="24"/>
        </w:rPr>
        <w:t>.</w:t>
      </w:r>
      <w:r w:rsidRPr="00302132">
        <w:rPr>
          <w:rFonts w:ascii="Arial" w:hAnsi="Arial" w:cs="Arial"/>
          <w:b/>
          <w:bCs/>
          <w:i w:val="0"/>
          <w:iCs w:val="0"/>
          <w:color w:val="000000" w:themeColor="text1"/>
          <w:sz w:val="24"/>
          <w:szCs w:val="24"/>
        </w:rPr>
        <w:fldChar w:fldCharType="begin"/>
      </w:r>
      <w:r w:rsidRPr="00302132">
        <w:rPr>
          <w:rFonts w:ascii="Arial" w:hAnsi="Arial" w:cs="Arial"/>
          <w:b/>
          <w:bCs/>
          <w:i w:val="0"/>
          <w:iCs w:val="0"/>
          <w:color w:val="000000" w:themeColor="text1"/>
          <w:sz w:val="24"/>
          <w:szCs w:val="24"/>
        </w:rPr>
        <w:instrText xml:space="preserve"> ADDIN ZOTERO_ITEM CSL_CITATION {"citationID":"PLCNhZnY","properties":{"formattedCitation":"(5,6)","plainCitation":"(5,6)","noteIndex":0},"citationItems":[{"id":405,"uris":["http://zotero.org/users/local/qnIpXHeo/items/9GDG2LNP"],"itemData":{"id":405,"type":"article-journal","abstract":"Objective: To determine the relationship of visual acuity loss to quality of life. Design: Three hundred twenty-five patients with visual loss to a minimum of 20/40 or greater in at least 1 eye were interviewed in a standardized fashion using a modified VF-14, questionnaire. Utility values were also obtained using both the time trade-off and standard gamble methods of utility assessment. Main Outcome Measures: Best-corrected visual acuity was correlated with the visual function score on the modified VF-14 questionnaire, as well as with utility values obtained using both the time trade-off and standard gamble methods. Results: Decreasing levels of vision in the eye with better acuity correlated directly with decreasing visual function scores on the modified VF-14 questionnaire, as did decreasing utility values using the time trade-off method of utility evaluation. The standard gamble method of utility evaluation was not as directly correlated with vision as the time trade-off method. Age, level of education, gender race, length of time of visual loss, and the number of associated systemic comorbidities did not significantly affect the time trade-off utility values associated with visual loss in the better eye. The level of reduced vision in the better eye, rather than the specific disease process causing reduced vision, was related to mean utility values. The average person with 20/40 vision in the better seeing eye was willing to trade 2 of every 10 years of life in return for perfect vision (utility value of 0.8), while the average person with counting fingers vision in the better eye was willing to trade approximately 5 of every 10 remaining years of life (utility value of 0.52) in return for perfect vision. Conclusions: The time trade-off method of utility evaluation appears to be an effective method for assessing quality of life associated with visual loss. Time trade-off utility values decrease in direct conjunction with decreasing vision in the better-seeing eye. Unlike the modified VF-14 test and its counterparts, utility values allow the quality of life associated with visual loss to be more readily compared to the quality of life associated with other health (disease) states. This information can be employed for cost-effective analyses that objectively compare evidence-based medicine, patient-based preferences and sound econometric principles across all specialties in health care.","archive":"Scopus","container-title":"Transactions of the American Ophthalmological Society","ISSN":"0065-9533","language":"English","page":"473-511","source":"Scopus","title":"Vision and quality-of-life","volume":"97","author":[{"family":"Brown","given":"G.C."}],"issued":{"date-parts":[["1999"]]}}},{"id":493,"uris":["http://zotero.org/users/local/qnIpXHeo/items/8FPP26UU"],"itemData":{"id":493,"type":"article-journal","abstract":"To ascertain the utility values associated with age-related macular degeneration and varying degrees of visual loss.A cross-sectional study.Eighty white patients with unilateral or bilateral age-related macular degeneration in 1 or both eyes, and visual loss to a minimum of the 20/40 level in at least 1 eye.Utility values were measured in 5 groups according to the visual acuity in the better-seeing eye, 1 (20/20 to 20/25), 2 (20/30 to 20/50), 3 (20/60 to 20/100), 4 (20/200 to 20/400), and 5 (counting fingers to light perception), using the time trade-off and the standard gamble methods. Conventionally assigned anchor utility values were 1.0 for perfect health and 0.0 for death.The mean utility value for the total group with age-related macular degeneration was 0.72 (95% confidence interval [CI], 0.66-0.78) using the time trade-off method and 0.81 (95% CI, 0.76-0.86) using the standard gamble method. Using the time trade-off method correlated with the visual acuity in the better-seeing eye, the results were as follow: group 1, 0.89 (95% CI, 0.82-0.96), group 2, 0.81 (95% CI, 0.73-0.89), group 3, 0.57 (95% CI, 0.47-0.67), group 4, 0.52 (95% CI, 0.38-0.66), and group 5, 0.40 (95% CI, 0.29-0.50). Thus, those patients in group 1 were willing to trade 11% of their remaining lifetime in return for perfect vision in each eye, whereas those in group 5 were willing to trade 60% of their remaining lifetime in return for perfect vision in each eye.Age-related macular degeneration causes a substantial decrease in patient utility values and is highly dependent on the degree of visual loss in the better-seeing eye.Arch Ophthalmol. 2000;118:47-51--&gt;","container-title":"Archives of Ophthalmology","DOI":"10.1001/archopht.118.1.47","ISSN":"0003-9950","issue":"1","journalAbbreviation":"Archives of Ophthalmology","page":"47-51","source":"Silverchair","title":"Utility Values and Age-related Macular Degeneration","volume":"118","author":[{"family":"Brown","given":"Gary C."},{"family":"Sharma","given":"Sanjay"},{"family":"Brown","given":"Melissa M."},{"family":"Kistler","given":"Jonathan"}],"issued":{"date-parts":[["2000",1,1]]}}}],"schema":"https://github.com/citation-style-language/schema/raw/master/csl-citation.json"} </w:instrText>
      </w:r>
      <w:r w:rsidRPr="00302132">
        <w:rPr>
          <w:rFonts w:ascii="Arial" w:hAnsi="Arial" w:cs="Arial"/>
          <w:b/>
          <w:bCs/>
          <w:i w:val="0"/>
          <w:iCs w:val="0"/>
          <w:color w:val="000000" w:themeColor="text1"/>
          <w:sz w:val="24"/>
          <w:szCs w:val="24"/>
        </w:rPr>
        <w:fldChar w:fldCharType="separate"/>
      </w:r>
      <w:r w:rsidRPr="00302132">
        <w:rPr>
          <w:rFonts w:ascii="Arial" w:hAnsi="Arial" w:cs="Arial"/>
          <w:b/>
          <w:bCs/>
          <w:i w:val="0"/>
          <w:iCs w:val="0"/>
          <w:color w:val="000000"/>
          <w:sz w:val="24"/>
          <w:lang w:val="en-GB"/>
        </w:rPr>
        <w:t>(5,6)</w:t>
      </w:r>
      <w:r w:rsidRPr="00302132">
        <w:rPr>
          <w:rFonts w:ascii="Arial" w:hAnsi="Arial" w:cs="Arial"/>
          <w:b/>
          <w:bCs/>
          <w:i w:val="0"/>
          <w:iCs w:val="0"/>
          <w:color w:val="000000" w:themeColor="text1"/>
          <w:sz w:val="24"/>
          <w:szCs w:val="24"/>
        </w:rPr>
        <w:fldChar w:fldCharType="end"/>
      </w:r>
      <w:r w:rsidRPr="00302132">
        <w:rPr>
          <w:rFonts w:ascii="Arial" w:hAnsi="Arial" w:cs="Arial"/>
          <w:b/>
          <w:bCs/>
          <w:i w:val="0"/>
          <w:iCs w:val="0"/>
          <w:color w:val="000000" w:themeColor="text1"/>
          <w:sz w:val="24"/>
          <w:szCs w:val="24"/>
          <w:vertAlign w:val="superscript"/>
        </w:rPr>
        <w:t>,a</w:t>
      </w:r>
    </w:p>
    <w:tbl>
      <w:tblPr>
        <w:tblStyle w:val="TableGridLight"/>
        <w:tblW w:w="1074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417"/>
        <w:gridCol w:w="1957"/>
        <w:gridCol w:w="1417"/>
        <w:gridCol w:w="1418"/>
        <w:gridCol w:w="1417"/>
        <w:gridCol w:w="1559"/>
      </w:tblGrid>
      <w:tr w:rsidR="00E61562" w:rsidRPr="0030308C" w14:paraId="4FBBFF75" w14:textId="77777777" w:rsidTr="000E0C52">
        <w:trPr>
          <w:jc w:val="center"/>
        </w:trPr>
        <w:tc>
          <w:tcPr>
            <w:tcW w:w="1560" w:type="dxa"/>
            <w:tcBorders>
              <w:bottom w:val="single" w:sz="4" w:space="0" w:color="auto"/>
              <w:right w:val="single" w:sz="4" w:space="0" w:color="auto"/>
            </w:tcBorders>
          </w:tcPr>
          <w:p w14:paraId="77D8945F" w14:textId="77777777" w:rsidR="00E61562" w:rsidRPr="0030308C" w:rsidRDefault="00E61562" w:rsidP="000E0C52">
            <w:pPr>
              <w:jc w:val="both"/>
              <w:rPr>
                <w:rFonts w:ascii="Arial" w:hAnsi="Arial" w:cs="Arial"/>
                <w:b/>
                <w:bCs/>
                <w:color w:val="000000" w:themeColor="text1"/>
                <w:sz w:val="20"/>
                <w:szCs w:val="20"/>
              </w:rPr>
            </w:pPr>
            <w:r w:rsidRPr="0030308C">
              <w:rPr>
                <w:rFonts w:ascii="Arial" w:hAnsi="Arial" w:cs="Arial"/>
                <w:b/>
                <w:bCs/>
                <w:color w:val="000000" w:themeColor="text1"/>
                <w:sz w:val="20"/>
                <w:szCs w:val="20"/>
              </w:rPr>
              <w:t>Age</w:t>
            </w:r>
          </w:p>
        </w:tc>
        <w:tc>
          <w:tcPr>
            <w:tcW w:w="1417" w:type="dxa"/>
            <w:tcBorders>
              <w:left w:val="single" w:sz="4" w:space="0" w:color="auto"/>
              <w:bottom w:val="single" w:sz="4" w:space="0" w:color="auto"/>
            </w:tcBorders>
          </w:tcPr>
          <w:p w14:paraId="4AC0FB8B" w14:textId="77777777" w:rsidR="00E61562" w:rsidRPr="0030308C" w:rsidRDefault="00E61562" w:rsidP="000E0C52">
            <w:pPr>
              <w:jc w:val="center"/>
              <w:rPr>
                <w:rFonts w:ascii="Arial" w:hAnsi="Arial" w:cs="Arial"/>
                <w:b/>
                <w:bCs/>
                <w:color w:val="000000" w:themeColor="text1"/>
                <w:sz w:val="20"/>
                <w:szCs w:val="20"/>
              </w:rPr>
            </w:pPr>
            <w:r w:rsidRPr="0030308C">
              <w:rPr>
                <w:rFonts w:ascii="Arial" w:hAnsi="Arial" w:cs="Arial"/>
                <w:b/>
                <w:bCs/>
                <w:color w:val="000000" w:themeColor="text1"/>
                <w:sz w:val="20"/>
                <w:szCs w:val="20"/>
              </w:rPr>
              <w:t>&gt; 85 letters</w:t>
            </w:r>
          </w:p>
        </w:tc>
        <w:tc>
          <w:tcPr>
            <w:tcW w:w="1957" w:type="dxa"/>
            <w:tcBorders>
              <w:bottom w:val="single" w:sz="4" w:space="0" w:color="auto"/>
            </w:tcBorders>
          </w:tcPr>
          <w:p w14:paraId="687EE713" w14:textId="77777777" w:rsidR="00E61562" w:rsidRPr="0030308C" w:rsidRDefault="00E61562" w:rsidP="000E0C52">
            <w:pPr>
              <w:jc w:val="center"/>
              <w:rPr>
                <w:rFonts w:ascii="Arial" w:hAnsi="Arial" w:cs="Arial"/>
                <w:b/>
                <w:bCs/>
                <w:color w:val="000000" w:themeColor="text1"/>
                <w:sz w:val="20"/>
                <w:szCs w:val="20"/>
              </w:rPr>
            </w:pPr>
            <w:r w:rsidRPr="0030308C">
              <w:rPr>
                <w:rFonts w:ascii="Arial" w:hAnsi="Arial" w:cs="Arial"/>
                <w:b/>
                <w:bCs/>
                <w:color w:val="000000" w:themeColor="text1"/>
                <w:sz w:val="20"/>
                <w:szCs w:val="20"/>
              </w:rPr>
              <w:t>85-71 letters</w:t>
            </w:r>
          </w:p>
        </w:tc>
        <w:tc>
          <w:tcPr>
            <w:tcW w:w="1417" w:type="dxa"/>
            <w:tcBorders>
              <w:bottom w:val="single" w:sz="4" w:space="0" w:color="auto"/>
            </w:tcBorders>
          </w:tcPr>
          <w:p w14:paraId="6773AD19" w14:textId="77777777" w:rsidR="00E61562" w:rsidRPr="0030308C" w:rsidRDefault="00E61562" w:rsidP="000E0C52">
            <w:pPr>
              <w:jc w:val="center"/>
              <w:rPr>
                <w:rFonts w:ascii="Arial" w:hAnsi="Arial" w:cs="Arial"/>
                <w:b/>
                <w:bCs/>
                <w:color w:val="000000" w:themeColor="text1"/>
                <w:sz w:val="20"/>
                <w:szCs w:val="20"/>
              </w:rPr>
            </w:pPr>
            <w:r w:rsidRPr="0030308C">
              <w:rPr>
                <w:rFonts w:ascii="Arial" w:hAnsi="Arial" w:cs="Arial"/>
                <w:b/>
                <w:bCs/>
                <w:color w:val="000000" w:themeColor="text1"/>
                <w:sz w:val="20"/>
                <w:szCs w:val="20"/>
              </w:rPr>
              <w:t>70-56 letters</w:t>
            </w:r>
          </w:p>
        </w:tc>
        <w:tc>
          <w:tcPr>
            <w:tcW w:w="1418" w:type="dxa"/>
            <w:tcBorders>
              <w:bottom w:val="single" w:sz="4" w:space="0" w:color="auto"/>
            </w:tcBorders>
          </w:tcPr>
          <w:p w14:paraId="5BC4992F" w14:textId="77777777" w:rsidR="00E61562" w:rsidRPr="0030308C" w:rsidRDefault="00E61562" w:rsidP="000E0C52">
            <w:pPr>
              <w:jc w:val="center"/>
              <w:rPr>
                <w:rFonts w:ascii="Arial" w:hAnsi="Arial" w:cs="Arial"/>
                <w:b/>
                <w:bCs/>
                <w:color w:val="000000" w:themeColor="text1"/>
                <w:sz w:val="20"/>
                <w:szCs w:val="20"/>
              </w:rPr>
            </w:pPr>
            <w:r w:rsidRPr="0030308C">
              <w:rPr>
                <w:rFonts w:ascii="Arial" w:hAnsi="Arial" w:cs="Arial"/>
                <w:b/>
                <w:bCs/>
                <w:color w:val="000000" w:themeColor="text1"/>
                <w:sz w:val="20"/>
                <w:szCs w:val="20"/>
              </w:rPr>
              <w:t>55-41 letters</w:t>
            </w:r>
          </w:p>
        </w:tc>
        <w:tc>
          <w:tcPr>
            <w:tcW w:w="1417" w:type="dxa"/>
            <w:tcBorders>
              <w:bottom w:val="single" w:sz="4" w:space="0" w:color="auto"/>
            </w:tcBorders>
          </w:tcPr>
          <w:p w14:paraId="203578A4" w14:textId="77777777" w:rsidR="00E61562" w:rsidRPr="0030308C" w:rsidRDefault="00E61562" w:rsidP="000E0C52">
            <w:pPr>
              <w:jc w:val="center"/>
              <w:rPr>
                <w:rFonts w:ascii="Arial" w:hAnsi="Arial" w:cs="Arial"/>
                <w:b/>
                <w:bCs/>
                <w:color w:val="000000" w:themeColor="text1"/>
                <w:sz w:val="20"/>
                <w:szCs w:val="20"/>
              </w:rPr>
            </w:pPr>
            <w:r w:rsidRPr="0030308C">
              <w:rPr>
                <w:rFonts w:ascii="Arial" w:hAnsi="Arial" w:cs="Arial"/>
                <w:b/>
                <w:bCs/>
                <w:color w:val="000000" w:themeColor="text1"/>
                <w:sz w:val="20"/>
                <w:szCs w:val="20"/>
              </w:rPr>
              <w:t>40-26 letters</w:t>
            </w:r>
          </w:p>
        </w:tc>
        <w:tc>
          <w:tcPr>
            <w:tcW w:w="1559" w:type="dxa"/>
            <w:tcBorders>
              <w:bottom w:val="single" w:sz="4" w:space="0" w:color="auto"/>
            </w:tcBorders>
          </w:tcPr>
          <w:p w14:paraId="3E61F9E1" w14:textId="77777777" w:rsidR="00E61562" w:rsidRPr="0030308C" w:rsidRDefault="00E61562" w:rsidP="000E0C52">
            <w:pPr>
              <w:jc w:val="center"/>
              <w:rPr>
                <w:rFonts w:ascii="Arial" w:hAnsi="Arial" w:cs="Arial"/>
                <w:b/>
                <w:bCs/>
                <w:color w:val="000000" w:themeColor="text1"/>
                <w:sz w:val="20"/>
                <w:szCs w:val="20"/>
              </w:rPr>
            </w:pPr>
            <w:r w:rsidRPr="0030308C">
              <w:rPr>
                <w:rFonts w:ascii="Arial" w:hAnsi="Arial" w:cs="Arial"/>
                <w:b/>
                <w:bCs/>
                <w:color w:val="000000" w:themeColor="text1"/>
                <w:sz w:val="20"/>
                <w:szCs w:val="20"/>
              </w:rPr>
              <w:t>≤ 25 letters</w:t>
            </w:r>
          </w:p>
        </w:tc>
      </w:tr>
      <w:tr w:rsidR="00E61562" w:rsidRPr="0030308C" w14:paraId="69FA075D" w14:textId="77777777" w:rsidTr="000E0C52">
        <w:trPr>
          <w:jc w:val="center"/>
        </w:trPr>
        <w:tc>
          <w:tcPr>
            <w:tcW w:w="1560" w:type="dxa"/>
            <w:tcBorders>
              <w:top w:val="single" w:sz="4" w:space="0" w:color="auto"/>
              <w:right w:val="single" w:sz="4" w:space="0" w:color="auto"/>
            </w:tcBorders>
          </w:tcPr>
          <w:p w14:paraId="7A4419B8" w14:textId="77777777" w:rsidR="00E61562" w:rsidRPr="0030308C" w:rsidRDefault="00E61562" w:rsidP="000E0C52">
            <w:pPr>
              <w:rPr>
                <w:rFonts w:ascii="Arial" w:hAnsi="Arial" w:cs="Arial"/>
                <w:color w:val="000000" w:themeColor="text1"/>
                <w:sz w:val="20"/>
                <w:szCs w:val="20"/>
                <w:vertAlign w:val="superscript"/>
              </w:rPr>
            </w:pPr>
            <w:r w:rsidRPr="0030308C">
              <w:rPr>
                <w:rFonts w:ascii="Arial" w:hAnsi="Arial" w:cs="Arial"/>
                <w:color w:val="000000" w:themeColor="text1"/>
                <w:sz w:val="20"/>
                <w:szCs w:val="20"/>
              </w:rPr>
              <w:t xml:space="preserve">Without age </w:t>
            </w:r>
            <w:proofErr w:type="spellStart"/>
            <w:r w:rsidRPr="0030308C">
              <w:rPr>
                <w:rFonts w:ascii="Arial" w:hAnsi="Arial" w:cs="Arial"/>
                <w:color w:val="000000" w:themeColor="text1"/>
                <w:sz w:val="20"/>
                <w:szCs w:val="20"/>
              </w:rPr>
              <w:t>adjustment</w:t>
            </w:r>
            <w:r w:rsidRPr="0030308C">
              <w:rPr>
                <w:rFonts w:ascii="Arial" w:hAnsi="Arial" w:cs="Arial"/>
                <w:color w:val="000000" w:themeColor="text1"/>
                <w:sz w:val="20"/>
                <w:szCs w:val="20"/>
                <w:vertAlign w:val="superscript"/>
              </w:rPr>
              <w:t>b</w:t>
            </w:r>
            <w:proofErr w:type="spellEnd"/>
          </w:p>
        </w:tc>
        <w:tc>
          <w:tcPr>
            <w:tcW w:w="1417" w:type="dxa"/>
            <w:tcBorders>
              <w:top w:val="single" w:sz="4" w:space="0" w:color="auto"/>
              <w:left w:val="single" w:sz="4" w:space="0" w:color="auto"/>
            </w:tcBorders>
          </w:tcPr>
          <w:p w14:paraId="219BAF77"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0.890</w:t>
            </w:r>
          </w:p>
        </w:tc>
        <w:tc>
          <w:tcPr>
            <w:tcW w:w="1957" w:type="dxa"/>
            <w:tcBorders>
              <w:top w:val="single" w:sz="4" w:space="0" w:color="auto"/>
            </w:tcBorders>
          </w:tcPr>
          <w:p w14:paraId="6CA7393A"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0.84</w:t>
            </w:r>
          </w:p>
          <w:p w14:paraId="664B4D78" w14:textId="77777777" w:rsidR="00E61562" w:rsidRPr="0030308C" w:rsidRDefault="00E61562" w:rsidP="000E0C52">
            <w:pPr>
              <w:jc w:val="center"/>
              <w:rPr>
                <w:rFonts w:ascii="Arial" w:hAnsi="Arial" w:cs="Arial"/>
                <w:color w:val="000000" w:themeColor="text1"/>
                <w:sz w:val="20"/>
                <w:szCs w:val="20"/>
              </w:rPr>
            </w:pPr>
          </w:p>
        </w:tc>
        <w:tc>
          <w:tcPr>
            <w:tcW w:w="1417" w:type="dxa"/>
            <w:tcBorders>
              <w:top w:val="single" w:sz="4" w:space="0" w:color="auto"/>
            </w:tcBorders>
          </w:tcPr>
          <w:p w14:paraId="71E7E7E8"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0.66</w:t>
            </w:r>
          </w:p>
        </w:tc>
        <w:tc>
          <w:tcPr>
            <w:tcW w:w="1418" w:type="dxa"/>
            <w:tcBorders>
              <w:top w:val="single" w:sz="4" w:space="0" w:color="auto"/>
            </w:tcBorders>
          </w:tcPr>
          <w:p w14:paraId="68B89E06"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0.564</w:t>
            </w:r>
          </w:p>
          <w:p w14:paraId="0D9337DB" w14:textId="77777777" w:rsidR="00E61562" w:rsidRPr="0030308C" w:rsidRDefault="00E61562" w:rsidP="000E0C52">
            <w:pPr>
              <w:jc w:val="center"/>
              <w:rPr>
                <w:rFonts w:ascii="Arial" w:hAnsi="Arial" w:cs="Arial"/>
                <w:color w:val="000000" w:themeColor="text1"/>
                <w:sz w:val="20"/>
                <w:szCs w:val="20"/>
              </w:rPr>
            </w:pPr>
          </w:p>
        </w:tc>
        <w:tc>
          <w:tcPr>
            <w:tcW w:w="1417" w:type="dxa"/>
            <w:tcBorders>
              <w:top w:val="single" w:sz="4" w:space="0" w:color="auto"/>
            </w:tcBorders>
          </w:tcPr>
          <w:p w14:paraId="63D280B5"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0.52</w:t>
            </w:r>
          </w:p>
          <w:p w14:paraId="1DA089C8" w14:textId="77777777" w:rsidR="00E61562" w:rsidRPr="0030308C" w:rsidRDefault="00E61562" w:rsidP="000E0C52">
            <w:pPr>
              <w:jc w:val="center"/>
              <w:rPr>
                <w:rFonts w:ascii="Arial" w:hAnsi="Arial" w:cs="Arial"/>
                <w:color w:val="000000" w:themeColor="text1"/>
                <w:sz w:val="20"/>
                <w:szCs w:val="20"/>
              </w:rPr>
            </w:pPr>
          </w:p>
        </w:tc>
        <w:tc>
          <w:tcPr>
            <w:tcW w:w="1559" w:type="dxa"/>
            <w:tcBorders>
              <w:top w:val="single" w:sz="4" w:space="0" w:color="auto"/>
            </w:tcBorders>
          </w:tcPr>
          <w:p w14:paraId="32D271F5"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0.425</w:t>
            </w:r>
          </w:p>
          <w:p w14:paraId="4E6A959A" w14:textId="77777777" w:rsidR="00E61562" w:rsidRPr="0030308C" w:rsidRDefault="00E61562" w:rsidP="000E0C52">
            <w:pPr>
              <w:jc w:val="center"/>
              <w:rPr>
                <w:rFonts w:ascii="Arial" w:hAnsi="Arial" w:cs="Arial"/>
                <w:color w:val="000000" w:themeColor="text1"/>
                <w:sz w:val="20"/>
                <w:szCs w:val="20"/>
              </w:rPr>
            </w:pPr>
          </w:p>
        </w:tc>
      </w:tr>
      <w:tr w:rsidR="00E61562" w:rsidRPr="0030308C" w14:paraId="26B4B2FD" w14:textId="77777777" w:rsidTr="000E0C52">
        <w:trPr>
          <w:jc w:val="center"/>
        </w:trPr>
        <w:tc>
          <w:tcPr>
            <w:tcW w:w="1560" w:type="dxa"/>
            <w:tcBorders>
              <w:right w:val="single" w:sz="4" w:space="0" w:color="auto"/>
            </w:tcBorders>
          </w:tcPr>
          <w:p w14:paraId="37F9737F"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65</w:t>
            </w:r>
          </w:p>
        </w:tc>
        <w:tc>
          <w:tcPr>
            <w:tcW w:w="1417" w:type="dxa"/>
            <w:tcBorders>
              <w:left w:val="single" w:sz="4" w:space="0" w:color="auto"/>
            </w:tcBorders>
          </w:tcPr>
          <w:p w14:paraId="77D09A83"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0.890</w:t>
            </w:r>
          </w:p>
        </w:tc>
        <w:tc>
          <w:tcPr>
            <w:tcW w:w="1957" w:type="dxa"/>
          </w:tcPr>
          <w:p w14:paraId="18C48974"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0.84</w:t>
            </w:r>
          </w:p>
          <w:p w14:paraId="46D9F657" w14:textId="77777777" w:rsidR="00E61562" w:rsidRPr="0030308C" w:rsidRDefault="00E61562" w:rsidP="000E0C52">
            <w:pPr>
              <w:jc w:val="center"/>
              <w:rPr>
                <w:rFonts w:ascii="Arial" w:hAnsi="Arial" w:cs="Arial"/>
                <w:color w:val="000000" w:themeColor="text1"/>
                <w:sz w:val="20"/>
                <w:szCs w:val="20"/>
              </w:rPr>
            </w:pPr>
          </w:p>
        </w:tc>
        <w:tc>
          <w:tcPr>
            <w:tcW w:w="1417" w:type="dxa"/>
          </w:tcPr>
          <w:p w14:paraId="32CC4139"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0.66</w:t>
            </w:r>
          </w:p>
        </w:tc>
        <w:tc>
          <w:tcPr>
            <w:tcW w:w="1418" w:type="dxa"/>
          </w:tcPr>
          <w:p w14:paraId="60EEE479"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0.564</w:t>
            </w:r>
          </w:p>
          <w:p w14:paraId="47BFDBB6" w14:textId="77777777" w:rsidR="00E61562" w:rsidRPr="0030308C" w:rsidRDefault="00E61562" w:rsidP="000E0C52">
            <w:pPr>
              <w:jc w:val="center"/>
              <w:rPr>
                <w:rFonts w:ascii="Arial" w:hAnsi="Arial" w:cs="Arial"/>
                <w:color w:val="000000" w:themeColor="text1"/>
                <w:sz w:val="20"/>
                <w:szCs w:val="20"/>
              </w:rPr>
            </w:pPr>
          </w:p>
        </w:tc>
        <w:tc>
          <w:tcPr>
            <w:tcW w:w="1417" w:type="dxa"/>
          </w:tcPr>
          <w:p w14:paraId="265CA238"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0.52</w:t>
            </w:r>
          </w:p>
          <w:p w14:paraId="4AC814A9" w14:textId="77777777" w:rsidR="00E61562" w:rsidRPr="0030308C" w:rsidRDefault="00E61562" w:rsidP="000E0C52">
            <w:pPr>
              <w:jc w:val="center"/>
              <w:rPr>
                <w:rFonts w:ascii="Arial" w:hAnsi="Arial" w:cs="Arial"/>
                <w:color w:val="000000" w:themeColor="text1"/>
                <w:sz w:val="20"/>
                <w:szCs w:val="20"/>
              </w:rPr>
            </w:pPr>
          </w:p>
        </w:tc>
        <w:tc>
          <w:tcPr>
            <w:tcW w:w="1559" w:type="dxa"/>
          </w:tcPr>
          <w:p w14:paraId="78CD7AD2"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0.425</w:t>
            </w:r>
          </w:p>
          <w:p w14:paraId="7DEDCBE9" w14:textId="77777777" w:rsidR="00E61562" w:rsidRPr="0030308C" w:rsidRDefault="00E61562" w:rsidP="000E0C52">
            <w:pPr>
              <w:jc w:val="center"/>
              <w:rPr>
                <w:rFonts w:ascii="Arial" w:hAnsi="Arial" w:cs="Arial"/>
                <w:color w:val="000000" w:themeColor="text1"/>
                <w:sz w:val="20"/>
                <w:szCs w:val="20"/>
              </w:rPr>
            </w:pPr>
          </w:p>
        </w:tc>
      </w:tr>
      <w:tr w:rsidR="00E61562" w:rsidRPr="0030308C" w14:paraId="049865FD" w14:textId="77777777" w:rsidTr="000E0C52">
        <w:trPr>
          <w:jc w:val="center"/>
        </w:trPr>
        <w:tc>
          <w:tcPr>
            <w:tcW w:w="1560" w:type="dxa"/>
            <w:tcBorders>
              <w:right w:val="single" w:sz="4" w:space="0" w:color="auto"/>
            </w:tcBorders>
          </w:tcPr>
          <w:p w14:paraId="7D436BCC"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75</w:t>
            </w:r>
          </w:p>
        </w:tc>
        <w:tc>
          <w:tcPr>
            <w:tcW w:w="1417" w:type="dxa"/>
            <w:tcBorders>
              <w:left w:val="single" w:sz="4" w:space="0" w:color="auto"/>
            </w:tcBorders>
          </w:tcPr>
          <w:p w14:paraId="1E8B73C9" w14:textId="77777777" w:rsidR="00E61562" w:rsidRPr="0030308C" w:rsidRDefault="00E61562" w:rsidP="000E0C52">
            <w:pPr>
              <w:tabs>
                <w:tab w:val="left" w:pos="628"/>
              </w:tabs>
              <w:jc w:val="center"/>
              <w:rPr>
                <w:rFonts w:ascii="Arial" w:hAnsi="Arial" w:cs="Arial"/>
                <w:color w:val="000000" w:themeColor="text1"/>
                <w:sz w:val="20"/>
                <w:szCs w:val="20"/>
              </w:rPr>
            </w:pPr>
            <w:r w:rsidRPr="0030308C">
              <w:rPr>
                <w:rFonts w:ascii="Arial" w:hAnsi="Arial" w:cs="Arial"/>
                <w:color w:val="000000" w:themeColor="text1"/>
                <w:sz w:val="20"/>
                <w:szCs w:val="20"/>
              </w:rPr>
              <w:t>0.887</w:t>
            </w:r>
          </w:p>
          <w:p w14:paraId="66E5B777" w14:textId="77777777" w:rsidR="00E61562" w:rsidRPr="0030308C" w:rsidRDefault="00E61562" w:rsidP="000E0C52">
            <w:pPr>
              <w:tabs>
                <w:tab w:val="left" w:pos="628"/>
              </w:tabs>
              <w:jc w:val="center"/>
              <w:rPr>
                <w:rFonts w:ascii="Arial" w:hAnsi="Arial" w:cs="Arial"/>
                <w:color w:val="000000" w:themeColor="text1"/>
                <w:sz w:val="20"/>
                <w:szCs w:val="20"/>
              </w:rPr>
            </w:pPr>
          </w:p>
        </w:tc>
        <w:tc>
          <w:tcPr>
            <w:tcW w:w="1957" w:type="dxa"/>
          </w:tcPr>
          <w:p w14:paraId="15BC3B15"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0.837</w:t>
            </w:r>
          </w:p>
          <w:p w14:paraId="713348DA" w14:textId="77777777" w:rsidR="00E61562" w:rsidRPr="0030308C" w:rsidRDefault="00E61562" w:rsidP="000E0C52">
            <w:pPr>
              <w:jc w:val="center"/>
              <w:rPr>
                <w:rFonts w:ascii="Arial" w:hAnsi="Arial" w:cs="Arial"/>
                <w:color w:val="000000" w:themeColor="text1"/>
                <w:sz w:val="20"/>
                <w:szCs w:val="20"/>
              </w:rPr>
            </w:pPr>
          </w:p>
        </w:tc>
        <w:tc>
          <w:tcPr>
            <w:tcW w:w="1417" w:type="dxa"/>
          </w:tcPr>
          <w:p w14:paraId="577EC430"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0.658</w:t>
            </w:r>
          </w:p>
          <w:p w14:paraId="35393BFB" w14:textId="77777777" w:rsidR="00E61562" w:rsidRPr="0030308C" w:rsidRDefault="00E61562" w:rsidP="000E0C52">
            <w:pPr>
              <w:jc w:val="center"/>
              <w:rPr>
                <w:rFonts w:ascii="Arial" w:hAnsi="Arial" w:cs="Arial"/>
                <w:color w:val="000000" w:themeColor="text1"/>
                <w:sz w:val="20"/>
                <w:szCs w:val="20"/>
              </w:rPr>
            </w:pPr>
          </w:p>
        </w:tc>
        <w:tc>
          <w:tcPr>
            <w:tcW w:w="1418" w:type="dxa"/>
          </w:tcPr>
          <w:p w14:paraId="6FBEDE27"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0.562</w:t>
            </w:r>
          </w:p>
          <w:p w14:paraId="085D736F" w14:textId="77777777" w:rsidR="00E61562" w:rsidRPr="0030308C" w:rsidRDefault="00E61562" w:rsidP="000E0C52">
            <w:pPr>
              <w:jc w:val="center"/>
              <w:rPr>
                <w:rFonts w:ascii="Arial" w:hAnsi="Arial" w:cs="Arial"/>
                <w:color w:val="000000" w:themeColor="text1"/>
                <w:sz w:val="20"/>
                <w:szCs w:val="20"/>
              </w:rPr>
            </w:pPr>
          </w:p>
        </w:tc>
        <w:tc>
          <w:tcPr>
            <w:tcW w:w="1417" w:type="dxa"/>
          </w:tcPr>
          <w:p w14:paraId="04222725"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0.518</w:t>
            </w:r>
          </w:p>
          <w:p w14:paraId="2D44644D" w14:textId="77777777" w:rsidR="00E61562" w:rsidRPr="0030308C" w:rsidRDefault="00E61562" w:rsidP="000E0C52">
            <w:pPr>
              <w:jc w:val="center"/>
              <w:rPr>
                <w:rFonts w:ascii="Arial" w:hAnsi="Arial" w:cs="Arial"/>
                <w:color w:val="000000" w:themeColor="text1"/>
                <w:sz w:val="20"/>
                <w:szCs w:val="20"/>
              </w:rPr>
            </w:pPr>
          </w:p>
        </w:tc>
        <w:tc>
          <w:tcPr>
            <w:tcW w:w="1559" w:type="dxa"/>
          </w:tcPr>
          <w:p w14:paraId="33C897BE"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0.423</w:t>
            </w:r>
          </w:p>
          <w:p w14:paraId="31722F96" w14:textId="77777777" w:rsidR="00E61562" w:rsidRPr="0030308C" w:rsidRDefault="00E61562" w:rsidP="000E0C52">
            <w:pPr>
              <w:jc w:val="center"/>
              <w:rPr>
                <w:rFonts w:ascii="Arial" w:hAnsi="Arial" w:cs="Arial"/>
                <w:color w:val="000000" w:themeColor="text1"/>
                <w:sz w:val="20"/>
                <w:szCs w:val="20"/>
              </w:rPr>
            </w:pPr>
          </w:p>
        </w:tc>
      </w:tr>
      <w:tr w:rsidR="00E61562" w:rsidRPr="0030308C" w14:paraId="6365FA76" w14:textId="77777777" w:rsidTr="000E0C52">
        <w:trPr>
          <w:jc w:val="center"/>
        </w:trPr>
        <w:tc>
          <w:tcPr>
            <w:tcW w:w="1560" w:type="dxa"/>
            <w:tcBorders>
              <w:right w:val="single" w:sz="4" w:space="0" w:color="auto"/>
            </w:tcBorders>
          </w:tcPr>
          <w:p w14:paraId="658D3BE0"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85</w:t>
            </w:r>
          </w:p>
        </w:tc>
        <w:tc>
          <w:tcPr>
            <w:tcW w:w="1417" w:type="dxa"/>
            <w:tcBorders>
              <w:left w:val="single" w:sz="4" w:space="0" w:color="auto"/>
            </w:tcBorders>
          </w:tcPr>
          <w:p w14:paraId="763EFD94"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0.801</w:t>
            </w:r>
          </w:p>
          <w:p w14:paraId="6993049C" w14:textId="77777777" w:rsidR="00E61562" w:rsidRPr="0030308C" w:rsidRDefault="00E61562" w:rsidP="000E0C52">
            <w:pPr>
              <w:jc w:val="center"/>
              <w:rPr>
                <w:rFonts w:ascii="Arial" w:hAnsi="Arial" w:cs="Arial"/>
                <w:color w:val="000000" w:themeColor="text1"/>
                <w:sz w:val="20"/>
                <w:szCs w:val="20"/>
              </w:rPr>
            </w:pPr>
          </w:p>
        </w:tc>
        <w:tc>
          <w:tcPr>
            <w:tcW w:w="1957" w:type="dxa"/>
          </w:tcPr>
          <w:p w14:paraId="4824B973"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0.756</w:t>
            </w:r>
          </w:p>
          <w:p w14:paraId="43EB5661" w14:textId="77777777" w:rsidR="00E61562" w:rsidRPr="0030308C" w:rsidRDefault="00E61562" w:rsidP="000E0C52">
            <w:pPr>
              <w:jc w:val="center"/>
              <w:rPr>
                <w:rFonts w:ascii="Arial" w:hAnsi="Arial" w:cs="Arial"/>
                <w:color w:val="000000" w:themeColor="text1"/>
                <w:sz w:val="20"/>
                <w:szCs w:val="20"/>
              </w:rPr>
            </w:pPr>
          </w:p>
        </w:tc>
        <w:tc>
          <w:tcPr>
            <w:tcW w:w="1417" w:type="dxa"/>
          </w:tcPr>
          <w:p w14:paraId="365DACC4"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0.594</w:t>
            </w:r>
          </w:p>
          <w:p w14:paraId="42B9B9C3" w14:textId="77777777" w:rsidR="00E61562" w:rsidRPr="0030308C" w:rsidRDefault="00E61562" w:rsidP="000E0C52">
            <w:pPr>
              <w:jc w:val="center"/>
              <w:rPr>
                <w:rFonts w:ascii="Arial" w:hAnsi="Arial" w:cs="Arial"/>
                <w:color w:val="000000" w:themeColor="text1"/>
                <w:sz w:val="20"/>
                <w:szCs w:val="20"/>
              </w:rPr>
            </w:pPr>
          </w:p>
        </w:tc>
        <w:tc>
          <w:tcPr>
            <w:tcW w:w="1418" w:type="dxa"/>
          </w:tcPr>
          <w:p w14:paraId="6A185085"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0.507</w:t>
            </w:r>
          </w:p>
          <w:p w14:paraId="41D5E09F" w14:textId="77777777" w:rsidR="00E61562" w:rsidRPr="0030308C" w:rsidRDefault="00E61562" w:rsidP="000E0C52">
            <w:pPr>
              <w:jc w:val="center"/>
              <w:rPr>
                <w:rFonts w:ascii="Arial" w:hAnsi="Arial" w:cs="Arial"/>
                <w:color w:val="000000" w:themeColor="text1"/>
                <w:sz w:val="20"/>
                <w:szCs w:val="20"/>
              </w:rPr>
            </w:pPr>
          </w:p>
        </w:tc>
        <w:tc>
          <w:tcPr>
            <w:tcW w:w="1417" w:type="dxa"/>
          </w:tcPr>
          <w:p w14:paraId="45171997"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0.468</w:t>
            </w:r>
          </w:p>
          <w:p w14:paraId="223D89ED" w14:textId="77777777" w:rsidR="00E61562" w:rsidRPr="0030308C" w:rsidRDefault="00E61562" w:rsidP="000E0C52">
            <w:pPr>
              <w:jc w:val="center"/>
              <w:rPr>
                <w:rFonts w:ascii="Arial" w:hAnsi="Arial" w:cs="Arial"/>
                <w:color w:val="000000" w:themeColor="text1"/>
                <w:sz w:val="20"/>
                <w:szCs w:val="20"/>
              </w:rPr>
            </w:pPr>
          </w:p>
        </w:tc>
        <w:tc>
          <w:tcPr>
            <w:tcW w:w="1559" w:type="dxa"/>
          </w:tcPr>
          <w:p w14:paraId="2DE11B4C"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0.382</w:t>
            </w:r>
          </w:p>
          <w:p w14:paraId="2FE0F00D" w14:textId="77777777" w:rsidR="00E61562" w:rsidRPr="0030308C" w:rsidRDefault="00E61562" w:rsidP="000E0C52">
            <w:pPr>
              <w:jc w:val="center"/>
              <w:rPr>
                <w:rFonts w:ascii="Arial" w:hAnsi="Arial" w:cs="Arial"/>
                <w:color w:val="000000" w:themeColor="text1"/>
                <w:sz w:val="20"/>
                <w:szCs w:val="20"/>
              </w:rPr>
            </w:pPr>
          </w:p>
        </w:tc>
      </w:tr>
      <w:tr w:rsidR="00E61562" w:rsidRPr="0030308C" w14:paraId="1022B2D7" w14:textId="77777777" w:rsidTr="000E0C52">
        <w:trPr>
          <w:jc w:val="center"/>
        </w:trPr>
        <w:tc>
          <w:tcPr>
            <w:tcW w:w="1560" w:type="dxa"/>
            <w:tcBorders>
              <w:right w:val="single" w:sz="4" w:space="0" w:color="auto"/>
            </w:tcBorders>
          </w:tcPr>
          <w:p w14:paraId="5A46759B"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95</w:t>
            </w:r>
          </w:p>
        </w:tc>
        <w:tc>
          <w:tcPr>
            <w:tcW w:w="1417" w:type="dxa"/>
            <w:tcBorders>
              <w:left w:val="single" w:sz="4" w:space="0" w:color="auto"/>
            </w:tcBorders>
          </w:tcPr>
          <w:p w14:paraId="5C1A94FF"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0.801</w:t>
            </w:r>
          </w:p>
          <w:p w14:paraId="02D2E4BD" w14:textId="77777777" w:rsidR="00E61562" w:rsidRPr="0030308C" w:rsidRDefault="00E61562" w:rsidP="000E0C52">
            <w:pPr>
              <w:jc w:val="center"/>
              <w:rPr>
                <w:rFonts w:ascii="Arial" w:hAnsi="Arial" w:cs="Arial"/>
                <w:color w:val="000000" w:themeColor="text1"/>
                <w:sz w:val="20"/>
                <w:szCs w:val="20"/>
              </w:rPr>
            </w:pPr>
          </w:p>
        </w:tc>
        <w:tc>
          <w:tcPr>
            <w:tcW w:w="1957" w:type="dxa"/>
          </w:tcPr>
          <w:p w14:paraId="6F9DE1ED"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0.756</w:t>
            </w:r>
          </w:p>
          <w:p w14:paraId="16F134F1" w14:textId="77777777" w:rsidR="00E61562" w:rsidRPr="0030308C" w:rsidRDefault="00E61562" w:rsidP="000E0C52">
            <w:pPr>
              <w:jc w:val="center"/>
              <w:rPr>
                <w:rFonts w:ascii="Arial" w:hAnsi="Arial" w:cs="Arial"/>
                <w:color w:val="000000" w:themeColor="text1"/>
                <w:sz w:val="20"/>
                <w:szCs w:val="20"/>
              </w:rPr>
            </w:pPr>
          </w:p>
        </w:tc>
        <w:tc>
          <w:tcPr>
            <w:tcW w:w="1417" w:type="dxa"/>
          </w:tcPr>
          <w:p w14:paraId="3E88C4E9"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0.594</w:t>
            </w:r>
          </w:p>
          <w:p w14:paraId="1FF703CD" w14:textId="77777777" w:rsidR="00E61562" w:rsidRPr="0030308C" w:rsidRDefault="00E61562" w:rsidP="000E0C52">
            <w:pPr>
              <w:jc w:val="center"/>
              <w:rPr>
                <w:rFonts w:ascii="Arial" w:hAnsi="Arial" w:cs="Arial"/>
                <w:color w:val="000000" w:themeColor="text1"/>
                <w:sz w:val="20"/>
                <w:szCs w:val="20"/>
              </w:rPr>
            </w:pPr>
          </w:p>
        </w:tc>
        <w:tc>
          <w:tcPr>
            <w:tcW w:w="1418" w:type="dxa"/>
          </w:tcPr>
          <w:p w14:paraId="62598B30"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0.507</w:t>
            </w:r>
          </w:p>
          <w:p w14:paraId="203DA7BA" w14:textId="77777777" w:rsidR="00E61562" w:rsidRPr="0030308C" w:rsidRDefault="00E61562" w:rsidP="000E0C52">
            <w:pPr>
              <w:jc w:val="center"/>
              <w:rPr>
                <w:rFonts w:ascii="Arial" w:hAnsi="Arial" w:cs="Arial"/>
                <w:color w:val="000000" w:themeColor="text1"/>
                <w:sz w:val="20"/>
                <w:szCs w:val="20"/>
              </w:rPr>
            </w:pPr>
          </w:p>
        </w:tc>
        <w:tc>
          <w:tcPr>
            <w:tcW w:w="1417" w:type="dxa"/>
          </w:tcPr>
          <w:p w14:paraId="785844A3"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0.468</w:t>
            </w:r>
          </w:p>
          <w:p w14:paraId="6D4E18A6" w14:textId="77777777" w:rsidR="00E61562" w:rsidRPr="0030308C" w:rsidRDefault="00E61562" w:rsidP="000E0C52">
            <w:pPr>
              <w:jc w:val="center"/>
              <w:rPr>
                <w:rFonts w:ascii="Arial" w:hAnsi="Arial" w:cs="Arial"/>
                <w:color w:val="000000" w:themeColor="text1"/>
                <w:sz w:val="20"/>
                <w:szCs w:val="20"/>
              </w:rPr>
            </w:pPr>
          </w:p>
        </w:tc>
        <w:tc>
          <w:tcPr>
            <w:tcW w:w="1559" w:type="dxa"/>
          </w:tcPr>
          <w:p w14:paraId="681486AC"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0.382</w:t>
            </w:r>
          </w:p>
          <w:p w14:paraId="767F63C0" w14:textId="77777777" w:rsidR="00E61562" w:rsidRPr="0030308C" w:rsidRDefault="00E61562" w:rsidP="000E0C52">
            <w:pPr>
              <w:jc w:val="center"/>
              <w:rPr>
                <w:rFonts w:ascii="Arial" w:hAnsi="Arial" w:cs="Arial"/>
                <w:color w:val="000000" w:themeColor="text1"/>
                <w:sz w:val="20"/>
                <w:szCs w:val="20"/>
              </w:rPr>
            </w:pPr>
          </w:p>
        </w:tc>
      </w:tr>
      <w:tr w:rsidR="00E61562" w:rsidRPr="0030308C" w14:paraId="06EE9CD1" w14:textId="77777777" w:rsidTr="000E0C52">
        <w:trPr>
          <w:jc w:val="center"/>
        </w:trPr>
        <w:tc>
          <w:tcPr>
            <w:tcW w:w="1560" w:type="dxa"/>
            <w:tcBorders>
              <w:right w:val="single" w:sz="4" w:space="0" w:color="auto"/>
            </w:tcBorders>
          </w:tcPr>
          <w:p w14:paraId="1E339FC6"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105</w:t>
            </w:r>
          </w:p>
        </w:tc>
        <w:tc>
          <w:tcPr>
            <w:tcW w:w="1417" w:type="dxa"/>
            <w:tcBorders>
              <w:left w:val="single" w:sz="4" w:space="0" w:color="auto"/>
            </w:tcBorders>
          </w:tcPr>
          <w:p w14:paraId="3D853537"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0.801</w:t>
            </w:r>
          </w:p>
          <w:p w14:paraId="3A5740FE" w14:textId="77777777" w:rsidR="00E61562" w:rsidRPr="0030308C" w:rsidRDefault="00E61562" w:rsidP="000E0C52">
            <w:pPr>
              <w:jc w:val="center"/>
              <w:rPr>
                <w:rFonts w:ascii="Arial" w:hAnsi="Arial" w:cs="Arial"/>
                <w:color w:val="000000" w:themeColor="text1"/>
                <w:sz w:val="20"/>
                <w:szCs w:val="20"/>
              </w:rPr>
            </w:pPr>
          </w:p>
        </w:tc>
        <w:tc>
          <w:tcPr>
            <w:tcW w:w="1957" w:type="dxa"/>
          </w:tcPr>
          <w:p w14:paraId="40652B16"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0.756</w:t>
            </w:r>
          </w:p>
          <w:p w14:paraId="0432CA88" w14:textId="77777777" w:rsidR="00E61562" w:rsidRPr="0030308C" w:rsidRDefault="00E61562" w:rsidP="000E0C52">
            <w:pPr>
              <w:jc w:val="center"/>
              <w:rPr>
                <w:rFonts w:ascii="Arial" w:hAnsi="Arial" w:cs="Arial"/>
                <w:color w:val="000000" w:themeColor="text1"/>
                <w:sz w:val="20"/>
                <w:szCs w:val="20"/>
              </w:rPr>
            </w:pPr>
          </w:p>
        </w:tc>
        <w:tc>
          <w:tcPr>
            <w:tcW w:w="1417" w:type="dxa"/>
          </w:tcPr>
          <w:p w14:paraId="2B906739"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0.594</w:t>
            </w:r>
          </w:p>
          <w:p w14:paraId="5DD4C8CD" w14:textId="77777777" w:rsidR="00E61562" w:rsidRPr="0030308C" w:rsidRDefault="00E61562" w:rsidP="000E0C52">
            <w:pPr>
              <w:jc w:val="center"/>
              <w:rPr>
                <w:rFonts w:ascii="Arial" w:hAnsi="Arial" w:cs="Arial"/>
                <w:color w:val="000000" w:themeColor="text1"/>
                <w:sz w:val="20"/>
                <w:szCs w:val="20"/>
              </w:rPr>
            </w:pPr>
          </w:p>
        </w:tc>
        <w:tc>
          <w:tcPr>
            <w:tcW w:w="1418" w:type="dxa"/>
          </w:tcPr>
          <w:p w14:paraId="47284B2C"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0.507</w:t>
            </w:r>
          </w:p>
          <w:p w14:paraId="6FD8A3A2" w14:textId="77777777" w:rsidR="00E61562" w:rsidRPr="0030308C" w:rsidRDefault="00E61562" w:rsidP="000E0C52">
            <w:pPr>
              <w:jc w:val="center"/>
              <w:rPr>
                <w:rFonts w:ascii="Arial" w:hAnsi="Arial" w:cs="Arial"/>
                <w:color w:val="000000" w:themeColor="text1"/>
                <w:sz w:val="20"/>
                <w:szCs w:val="20"/>
              </w:rPr>
            </w:pPr>
          </w:p>
        </w:tc>
        <w:tc>
          <w:tcPr>
            <w:tcW w:w="1417" w:type="dxa"/>
          </w:tcPr>
          <w:p w14:paraId="650A7715"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0.468</w:t>
            </w:r>
          </w:p>
          <w:p w14:paraId="5D875CC9" w14:textId="77777777" w:rsidR="00E61562" w:rsidRPr="0030308C" w:rsidRDefault="00E61562" w:rsidP="000E0C52">
            <w:pPr>
              <w:jc w:val="center"/>
              <w:rPr>
                <w:rFonts w:ascii="Arial" w:hAnsi="Arial" w:cs="Arial"/>
                <w:color w:val="000000" w:themeColor="text1"/>
                <w:sz w:val="20"/>
                <w:szCs w:val="20"/>
              </w:rPr>
            </w:pPr>
          </w:p>
        </w:tc>
        <w:tc>
          <w:tcPr>
            <w:tcW w:w="1559" w:type="dxa"/>
          </w:tcPr>
          <w:p w14:paraId="2CFF6409" w14:textId="77777777" w:rsidR="00E61562" w:rsidRPr="0030308C" w:rsidRDefault="00E61562" w:rsidP="000E0C52">
            <w:pPr>
              <w:jc w:val="center"/>
              <w:rPr>
                <w:rFonts w:ascii="Arial" w:hAnsi="Arial" w:cs="Arial"/>
                <w:color w:val="000000" w:themeColor="text1"/>
                <w:sz w:val="20"/>
                <w:szCs w:val="20"/>
              </w:rPr>
            </w:pPr>
            <w:r w:rsidRPr="0030308C">
              <w:rPr>
                <w:rFonts w:ascii="Arial" w:hAnsi="Arial" w:cs="Arial"/>
                <w:color w:val="000000" w:themeColor="text1"/>
                <w:sz w:val="20"/>
                <w:szCs w:val="20"/>
              </w:rPr>
              <w:t>0.382</w:t>
            </w:r>
          </w:p>
          <w:p w14:paraId="5CAD7F04" w14:textId="77777777" w:rsidR="00E61562" w:rsidRPr="0030308C" w:rsidRDefault="00E61562" w:rsidP="000E0C52">
            <w:pPr>
              <w:jc w:val="center"/>
              <w:rPr>
                <w:rFonts w:ascii="Arial" w:hAnsi="Arial" w:cs="Arial"/>
                <w:color w:val="000000" w:themeColor="text1"/>
                <w:sz w:val="20"/>
                <w:szCs w:val="20"/>
              </w:rPr>
            </w:pPr>
          </w:p>
        </w:tc>
      </w:tr>
    </w:tbl>
    <w:p w14:paraId="0B02A1AC" w14:textId="77777777" w:rsidR="00E61562" w:rsidRPr="0030308C" w:rsidRDefault="00E61562" w:rsidP="00E61562">
      <w:pPr>
        <w:jc w:val="both"/>
        <w:rPr>
          <w:rFonts w:ascii="Arial" w:hAnsi="Arial" w:cs="Arial"/>
          <w:color w:val="000000" w:themeColor="text1"/>
          <w:lang w:val="en-US"/>
        </w:rPr>
      </w:pPr>
    </w:p>
    <w:p w14:paraId="7F00E93F" w14:textId="77777777" w:rsidR="00E61562" w:rsidRPr="002E668C" w:rsidRDefault="00E61562" w:rsidP="00E61562">
      <w:pPr>
        <w:jc w:val="both"/>
        <w:rPr>
          <w:rFonts w:ascii="Arial" w:hAnsi="Arial" w:cs="Arial"/>
          <w:color w:val="000000" w:themeColor="text1"/>
          <w:sz w:val="16"/>
          <w:szCs w:val="16"/>
          <w:vertAlign w:val="superscript"/>
          <w:lang w:val="en-US"/>
        </w:rPr>
      </w:pPr>
      <w:r w:rsidRPr="002E668C">
        <w:rPr>
          <w:rFonts w:ascii="Arial" w:hAnsi="Arial" w:cs="Arial"/>
          <w:color w:val="000000" w:themeColor="text1"/>
          <w:sz w:val="16"/>
          <w:szCs w:val="16"/>
          <w:vertAlign w:val="superscript"/>
          <w:lang w:val="en-US"/>
        </w:rPr>
        <w:t>a</w:t>
      </w:r>
      <w:r>
        <w:rPr>
          <w:rFonts w:ascii="Arial" w:hAnsi="Arial" w:cs="Arial"/>
          <w:color w:val="000000" w:themeColor="text1"/>
          <w:sz w:val="16"/>
          <w:szCs w:val="16"/>
          <w:vertAlign w:val="superscript"/>
          <w:lang w:val="en-US"/>
        </w:rPr>
        <w:t xml:space="preserve"> </w:t>
      </w:r>
      <w:proofErr w:type="spellStart"/>
      <w:r w:rsidRPr="002E668C">
        <w:rPr>
          <w:rFonts w:ascii="Arial" w:hAnsi="Arial" w:cs="Arial"/>
          <w:color w:val="000000" w:themeColor="text1"/>
          <w:sz w:val="16"/>
          <w:szCs w:val="16"/>
          <w:lang w:val="en-US"/>
        </w:rPr>
        <w:t>HRQoL</w:t>
      </w:r>
      <w:proofErr w:type="spellEnd"/>
      <w:r w:rsidRPr="002E668C">
        <w:rPr>
          <w:rFonts w:ascii="Arial" w:hAnsi="Arial" w:cs="Arial"/>
          <w:color w:val="000000" w:themeColor="text1"/>
          <w:sz w:val="16"/>
          <w:szCs w:val="16"/>
          <w:lang w:val="en-US"/>
        </w:rPr>
        <w:t xml:space="preserve"> values range from 1 (perfect health) to 0 (death). While 1.0 represents the theoretical benchmark for guaranteed, permanent perfect vision, individuals with ocular diseases and good bilateral vision usually have maximum value lower, likely influenced by concerns about potential visual loss in the future (Brown et al., 2000).</w:t>
      </w:r>
      <w:r w:rsidRPr="002E668C">
        <w:rPr>
          <w:rFonts w:ascii="Arial" w:hAnsi="Arial" w:cs="Arial"/>
          <w:color w:val="000000" w:themeColor="text1"/>
          <w:sz w:val="16"/>
          <w:szCs w:val="16"/>
          <w:vertAlign w:val="superscript"/>
          <w:lang w:val="en-US"/>
        </w:rPr>
        <w:t xml:space="preserve">  </w:t>
      </w:r>
    </w:p>
    <w:p w14:paraId="610104B4" w14:textId="77777777" w:rsidR="00E61562" w:rsidRPr="0030308C" w:rsidRDefault="00E61562" w:rsidP="00E61562">
      <w:pPr>
        <w:rPr>
          <w:rFonts w:ascii="Arial" w:hAnsi="Arial" w:cs="Arial"/>
          <w:i/>
          <w:iCs/>
          <w:color w:val="000000" w:themeColor="text1"/>
          <w:sz w:val="20"/>
          <w:szCs w:val="20"/>
        </w:rPr>
      </w:pPr>
      <w:bookmarkStart w:id="7" w:name="_Ref166749345"/>
      <w:bookmarkStart w:id="8" w:name="_Toc168139200"/>
      <w:r w:rsidRPr="002E668C">
        <w:rPr>
          <w:rFonts w:ascii="Arial" w:hAnsi="Arial" w:cs="Arial"/>
          <w:color w:val="000000" w:themeColor="text1"/>
          <w:sz w:val="16"/>
          <w:szCs w:val="16"/>
          <w:vertAlign w:val="superscript"/>
          <w:lang w:val="en-US"/>
        </w:rPr>
        <w:t>b</w:t>
      </w:r>
      <w:r>
        <w:rPr>
          <w:rFonts w:ascii="Arial" w:hAnsi="Arial" w:cs="Arial"/>
          <w:color w:val="000000" w:themeColor="text1"/>
          <w:sz w:val="16"/>
          <w:szCs w:val="16"/>
          <w:vertAlign w:val="superscript"/>
          <w:lang w:val="en-US"/>
        </w:rPr>
        <w:t xml:space="preserve"> </w:t>
      </w:r>
      <w:proofErr w:type="spellStart"/>
      <w:r w:rsidRPr="002E668C">
        <w:rPr>
          <w:rFonts w:ascii="Arial" w:hAnsi="Arial" w:cs="Arial"/>
          <w:color w:val="000000" w:themeColor="text1"/>
          <w:sz w:val="16"/>
          <w:szCs w:val="16"/>
          <w:lang w:val="en-US"/>
        </w:rPr>
        <w:t>HRQoL</w:t>
      </w:r>
      <w:proofErr w:type="spellEnd"/>
      <w:r w:rsidRPr="002E668C">
        <w:rPr>
          <w:rFonts w:ascii="Arial" w:hAnsi="Arial" w:cs="Arial"/>
          <w:color w:val="000000" w:themeColor="text1"/>
          <w:sz w:val="16"/>
          <w:szCs w:val="16"/>
          <w:lang w:val="en-US"/>
        </w:rPr>
        <w:t xml:space="preserve"> values that are not age-adjusted do not </w:t>
      </w:r>
      <w:proofErr w:type="gramStart"/>
      <w:r w:rsidRPr="002E668C">
        <w:rPr>
          <w:rFonts w:ascii="Arial" w:hAnsi="Arial" w:cs="Arial"/>
          <w:color w:val="000000" w:themeColor="text1"/>
          <w:sz w:val="16"/>
          <w:szCs w:val="16"/>
          <w:lang w:val="en-US"/>
        </w:rPr>
        <w:t>take into account</w:t>
      </w:r>
      <w:proofErr w:type="gramEnd"/>
      <w:r w:rsidRPr="002E668C">
        <w:rPr>
          <w:rFonts w:ascii="Arial" w:hAnsi="Arial" w:cs="Arial"/>
          <w:color w:val="000000" w:themeColor="text1"/>
          <w:sz w:val="16"/>
          <w:szCs w:val="16"/>
          <w:lang w:val="en-US"/>
        </w:rPr>
        <w:t xml:space="preserve"> the natural decrease in </w:t>
      </w:r>
      <w:proofErr w:type="spellStart"/>
      <w:r w:rsidRPr="002E668C">
        <w:rPr>
          <w:rFonts w:ascii="Arial" w:hAnsi="Arial" w:cs="Arial"/>
          <w:color w:val="000000" w:themeColor="text1"/>
          <w:sz w:val="16"/>
          <w:szCs w:val="16"/>
          <w:lang w:val="en-US"/>
        </w:rPr>
        <w:t>HRQoL</w:t>
      </w:r>
      <w:proofErr w:type="spellEnd"/>
      <w:r w:rsidRPr="002E668C">
        <w:rPr>
          <w:rFonts w:ascii="Arial" w:hAnsi="Arial" w:cs="Arial"/>
          <w:color w:val="000000" w:themeColor="text1"/>
          <w:sz w:val="16"/>
          <w:szCs w:val="16"/>
          <w:lang w:val="en-US"/>
        </w:rPr>
        <w:t xml:space="preserve"> due to aging.</w:t>
      </w:r>
      <w:r w:rsidRPr="0030308C">
        <w:rPr>
          <w:rFonts w:ascii="Arial" w:hAnsi="Arial" w:cs="Arial"/>
          <w:color w:val="000000" w:themeColor="text1"/>
          <w:sz w:val="20"/>
          <w:szCs w:val="20"/>
        </w:rPr>
        <w:br w:type="page"/>
      </w:r>
    </w:p>
    <w:bookmarkEnd w:id="7"/>
    <w:p w14:paraId="7F1E601A" w14:textId="77777777" w:rsidR="00E61562" w:rsidRPr="0030308C" w:rsidRDefault="00E61562" w:rsidP="00E61562">
      <w:pPr>
        <w:pStyle w:val="Caption"/>
        <w:keepNext/>
        <w:jc w:val="both"/>
        <w:rPr>
          <w:rFonts w:ascii="Arial" w:hAnsi="Arial" w:cs="Arial"/>
          <w:b/>
          <w:bCs/>
          <w:i w:val="0"/>
          <w:iCs w:val="0"/>
          <w:color w:val="000000" w:themeColor="text1"/>
          <w:sz w:val="24"/>
          <w:szCs w:val="24"/>
        </w:rPr>
      </w:pPr>
      <w:r>
        <w:rPr>
          <w:rFonts w:ascii="Arial" w:hAnsi="Arial" w:cs="Arial"/>
          <w:b/>
          <w:bCs/>
          <w:i w:val="0"/>
          <w:iCs w:val="0"/>
          <w:color w:val="000000" w:themeColor="text1"/>
          <w:sz w:val="24"/>
          <w:szCs w:val="24"/>
        </w:rPr>
        <w:lastRenderedPageBreak/>
        <w:t>eTable5</w:t>
      </w:r>
      <w:r w:rsidRPr="0030308C">
        <w:rPr>
          <w:rFonts w:ascii="Arial" w:hAnsi="Arial" w:cs="Arial"/>
          <w:b/>
          <w:bCs/>
          <w:i w:val="0"/>
          <w:iCs w:val="0"/>
          <w:color w:val="000000" w:themeColor="text1"/>
          <w:sz w:val="24"/>
          <w:szCs w:val="24"/>
        </w:rPr>
        <w:t>. Adverse event health-related quality of life (</w:t>
      </w:r>
      <w:proofErr w:type="spellStart"/>
      <w:r w:rsidRPr="0030308C">
        <w:rPr>
          <w:rFonts w:ascii="Arial" w:hAnsi="Arial" w:cs="Arial"/>
          <w:b/>
          <w:bCs/>
          <w:i w:val="0"/>
          <w:iCs w:val="0"/>
          <w:color w:val="000000" w:themeColor="text1"/>
          <w:sz w:val="24"/>
          <w:szCs w:val="24"/>
        </w:rPr>
        <w:t>HRQoL</w:t>
      </w:r>
      <w:proofErr w:type="spellEnd"/>
      <w:r w:rsidRPr="0030308C">
        <w:rPr>
          <w:rFonts w:ascii="Arial" w:hAnsi="Arial" w:cs="Arial"/>
          <w:b/>
          <w:bCs/>
          <w:i w:val="0"/>
          <w:iCs w:val="0"/>
          <w:color w:val="000000" w:themeColor="text1"/>
          <w:sz w:val="24"/>
          <w:szCs w:val="24"/>
        </w:rPr>
        <w:t xml:space="preserve">) decrement values, durations and corresponding QALY loss per </w:t>
      </w:r>
      <w:r w:rsidRPr="0030308C">
        <w:rPr>
          <w:rFonts w:ascii="Arial" w:hAnsi="Arial" w:cs="Arial"/>
          <w:b/>
          <w:bCs/>
          <w:i w:val="0"/>
          <w:iCs w:val="0"/>
          <w:noProof/>
          <w:color w:val="000000" w:themeColor="text1"/>
          <w:sz w:val="24"/>
          <w:szCs w:val="24"/>
        </w:rPr>
        <w:t>event.</w:t>
      </w:r>
      <w:bookmarkEnd w:id="8"/>
    </w:p>
    <w:tbl>
      <w:tblPr>
        <w:tblStyle w:val="TableGridLight"/>
        <w:tblpPr w:leftFromText="180" w:rightFromText="180" w:vertAnchor="text" w:horzAnchor="margin" w:tblpXSpec="center" w:tblpY="12"/>
        <w:tblW w:w="11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9"/>
        <w:gridCol w:w="1843"/>
        <w:gridCol w:w="1701"/>
        <w:gridCol w:w="2263"/>
        <w:gridCol w:w="2692"/>
      </w:tblGrid>
      <w:tr w:rsidR="00E61562" w:rsidRPr="0030308C" w14:paraId="54382049" w14:textId="77777777" w:rsidTr="000E0C52">
        <w:tc>
          <w:tcPr>
            <w:tcW w:w="3119" w:type="dxa"/>
            <w:tcBorders>
              <w:bottom w:val="single" w:sz="4" w:space="0" w:color="auto"/>
            </w:tcBorders>
          </w:tcPr>
          <w:p w14:paraId="4B59C92B" w14:textId="77777777" w:rsidR="00E61562" w:rsidRPr="0030308C" w:rsidRDefault="00E61562" w:rsidP="000E0C52">
            <w:pPr>
              <w:rPr>
                <w:rFonts w:ascii="Arial" w:hAnsi="Arial" w:cs="Arial"/>
                <w:b/>
                <w:bCs/>
                <w:color w:val="000000" w:themeColor="text1"/>
                <w:sz w:val="20"/>
                <w:szCs w:val="20"/>
              </w:rPr>
            </w:pPr>
            <w:bookmarkStart w:id="9" w:name="_Ref166800541"/>
            <w:r w:rsidRPr="0030308C">
              <w:rPr>
                <w:rFonts w:ascii="Arial" w:hAnsi="Arial" w:cs="Arial"/>
                <w:b/>
                <w:bCs/>
                <w:color w:val="000000" w:themeColor="text1"/>
                <w:sz w:val="20"/>
                <w:szCs w:val="20"/>
              </w:rPr>
              <w:t>Adverse event</w:t>
            </w:r>
          </w:p>
        </w:tc>
        <w:tc>
          <w:tcPr>
            <w:tcW w:w="1843" w:type="dxa"/>
            <w:tcBorders>
              <w:bottom w:val="single" w:sz="4" w:space="0" w:color="auto"/>
            </w:tcBorders>
          </w:tcPr>
          <w:p w14:paraId="4E875CE6" w14:textId="77777777" w:rsidR="00E61562" w:rsidRPr="0030308C" w:rsidRDefault="00E61562" w:rsidP="000E0C52">
            <w:pPr>
              <w:rPr>
                <w:rFonts w:ascii="Arial" w:hAnsi="Arial" w:cs="Arial"/>
                <w:b/>
                <w:bCs/>
                <w:color w:val="000000" w:themeColor="text1"/>
                <w:sz w:val="20"/>
                <w:szCs w:val="20"/>
              </w:rPr>
            </w:pPr>
            <w:proofErr w:type="spellStart"/>
            <w:r w:rsidRPr="0030308C">
              <w:rPr>
                <w:rFonts w:ascii="Arial" w:hAnsi="Arial" w:cs="Arial"/>
                <w:b/>
                <w:bCs/>
                <w:color w:val="000000" w:themeColor="text1"/>
                <w:sz w:val="20"/>
                <w:szCs w:val="20"/>
              </w:rPr>
              <w:t>HRQoL</w:t>
            </w:r>
            <w:proofErr w:type="spellEnd"/>
            <w:r w:rsidRPr="0030308C">
              <w:rPr>
                <w:rFonts w:ascii="Arial" w:hAnsi="Arial" w:cs="Arial"/>
                <w:b/>
                <w:bCs/>
                <w:color w:val="000000" w:themeColor="text1"/>
                <w:sz w:val="20"/>
                <w:szCs w:val="20"/>
              </w:rPr>
              <w:t xml:space="preserve"> decrement value</w:t>
            </w:r>
          </w:p>
        </w:tc>
        <w:tc>
          <w:tcPr>
            <w:tcW w:w="1701" w:type="dxa"/>
            <w:tcBorders>
              <w:bottom w:val="single" w:sz="4" w:space="0" w:color="auto"/>
            </w:tcBorders>
          </w:tcPr>
          <w:p w14:paraId="3A03BB12" w14:textId="77777777" w:rsidR="00E61562" w:rsidRPr="0030308C" w:rsidRDefault="00E61562" w:rsidP="000E0C52">
            <w:pPr>
              <w:rPr>
                <w:rFonts w:ascii="Arial" w:hAnsi="Arial" w:cs="Arial"/>
                <w:b/>
                <w:bCs/>
                <w:color w:val="000000" w:themeColor="text1"/>
                <w:sz w:val="20"/>
                <w:szCs w:val="20"/>
              </w:rPr>
            </w:pPr>
            <w:r w:rsidRPr="0030308C">
              <w:rPr>
                <w:rFonts w:ascii="Arial" w:hAnsi="Arial" w:cs="Arial"/>
                <w:b/>
                <w:bCs/>
                <w:color w:val="000000" w:themeColor="text1"/>
                <w:sz w:val="20"/>
                <w:szCs w:val="20"/>
              </w:rPr>
              <w:t>Event duration</w:t>
            </w:r>
          </w:p>
        </w:tc>
        <w:tc>
          <w:tcPr>
            <w:tcW w:w="2263" w:type="dxa"/>
            <w:tcBorders>
              <w:bottom w:val="single" w:sz="4" w:space="0" w:color="auto"/>
            </w:tcBorders>
          </w:tcPr>
          <w:p w14:paraId="3C2C815F" w14:textId="77777777" w:rsidR="00E61562" w:rsidRPr="0030308C" w:rsidRDefault="00E61562" w:rsidP="000E0C52">
            <w:pPr>
              <w:rPr>
                <w:rFonts w:ascii="Arial" w:hAnsi="Arial" w:cs="Arial"/>
                <w:b/>
                <w:bCs/>
                <w:color w:val="000000" w:themeColor="text1"/>
                <w:sz w:val="20"/>
                <w:szCs w:val="20"/>
              </w:rPr>
            </w:pPr>
            <w:r w:rsidRPr="0030308C">
              <w:rPr>
                <w:rFonts w:ascii="Arial" w:hAnsi="Arial" w:cs="Arial"/>
                <w:b/>
                <w:bCs/>
                <w:color w:val="000000" w:themeColor="text1"/>
                <w:sz w:val="20"/>
                <w:szCs w:val="20"/>
              </w:rPr>
              <w:t>QALY loss per event</w:t>
            </w:r>
          </w:p>
        </w:tc>
        <w:tc>
          <w:tcPr>
            <w:tcW w:w="2692" w:type="dxa"/>
            <w:tcBorders>
              <w:bottom w:val="single" w:sz="4" w:space="0" w:color="auto"/>
            </w:tcBorders>
          </w:tcPr>
          <w:p w14:paraId="126BFF91" w14:textId="77777777" w:rsidR="00E61562" w:rsidRPr="0030308C" w:rsidRDefault="00E61562" w:rsidP="000E0C52">
            <w:pPr>
              <w:rPr>
                <w:rFonts w:ascii="Arial" w:hAnsi="Arial" w:cs="Arial"/>
                <w:b/>
                <w:bCs/>
                <w:color w:val="000000" w:themeColor="text1"/>
                <w:sz w:val="20"/>
                <w:szCs w:val="20"/>
              </w:rPr>
            </w:pPr>
            <w:r w:rsidRPr="0030308C">
              <w:rPr>
                <w:rFonts w:ascii="Arial" w:hAnsi="Arial" w:cs="Arial"/>
                <w:b/>
                <w:bCs/>
                <w:color w:val="000000" w:themeColor="text1"/>
                <w:sz w:val="20"/>
                <w:szCs w:val="20"/>
              </w:rPr>
              <w:t>Source</w:t>
            </w:r>
          </w:p>
        </w:tc>
      </w:tr>
      <w:tr w:rsidR="00E61562" w:rsidRPr="0030308C" w14:paraId="0EDF0442" w14:textId="77777777" w:rsidTr="000E0C52">
        <w:tc>
          <w:tcPr>
            <w:tcW w:w="3119" w:type="dxa"/>
            <w:tcBorders>
              <w:top w:val="single" w:sz="4" w:space="0" w:color="auto"/>
            </w:tcBorders>
          </w:tcPr>
          <w:p w14:paraId="083B7CB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Conjunctival bleb or conjunctival filtering bleb leak</w:t>
            </w:r>
          </w:p>
        </w:tc>
        <w:tc>
          <w:tcPr>
            <w:tcW w:w="1843" w:type="dxa"/>
            <w:tcBorders>
              <w:top w:val="single" w:sz="4" w:space="0" w:color="auto"/>
            </w:tcBorders>
          </w:tcPr>
          <w:p w14:paraId="6D2C5D6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-0.13</w:t>
            </w:r>
          </w:p>
        </w:tc>
        <w:tc>
          <w:tcPr>
            <w:tcW w:w="1701" w:type="dxa"/>
            <w:tcBorders>
              <w:top w:val="single" w:sz="4" w:space="0" w:color="auto"/>
            </w:tcBorders>
          </w:tcPr>
          <w:p w14:paraId="5A08525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2 weeks</w:t>
            </w:r>
          </w:p>
        </w:tc>
        <w:tc>
          <w:tcPr>
            <w:tcW w:w="2263" w:type="dxa"/>
            <w:tcBorders>
              <w:top w:val="single" w:sz="4" w:space="0" w:color="auto"/>
            </w:tcBorders>
          </w:tcPr>
          <w:p w14:paraId="0C4AF114"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-0.005</w:t>
            </w:r>
          </w:p>
        </w:tc>
        <w:tc>
          <w:tcPr>
            <w:tcW w:w="2692" w:type="dxa"/>
            <w:tcBorders>
              <w:top w:val="single" w:sz="4" w:space="0" w:color="auto"/>
            </w:tcBorders>
          </w:tcPr>
          <w:p w14:paraId="320F4536"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{"citationID":"eJWX8iUn","properties":{"formattedCitation":"(9)","plainCitation":"(9)","noteIndex":0},"citationItems":[{"id":344,"uris":["http://zotero.org/users/local/qnIpXHeo/items/QDL3J679"],"itemData":{"id":344,"type":"article-journal","abstract":"Purpose\nTo quantify the cost-utility ratio of the ranibizumab Port Delivery System (PDS; SUSVIMO) versus intravitreal ranibizumab injections for treating neovascular age-related macular degeneration (nAMD) based upon Archway Phase 3 Trial data.\nDesign\nCost-utility analysis.\nSubjects\nArchway Phase 3 Clinical Trial nAMD participants previously responsive to anti-VEGF therapy were randomized 3:2. Two hundred forty received PDS refills q 24 weeks and 162 received ranibizumab injections.\nMethods\nOphthalmic patient, time tradeoff utilities, direct medical and societal cost perspectives, 12-year, 1-year, and 5-year timelines, United States 2022 real dollars, and a 3% annual discount rate were employed. Utilities were adjusted for nAMD conversion in fellow eyes during the 12-year, mean participant life expectancy. Premature death associated with severe vision loss was integrated as per the population-based Salisbury Eye Evaluation Study.\nMain Outcome Measures\nQuality-adjusted life-year (QALY) accruals, costs, and incremental and average cost-utility ratios in $/QALY (dollars expended per QALY gained).\nResults\nVersus no therapy, the 1-year PDS QALY gain was 0.0156 (6.8%) versus 0.0063 (0.82%) for intravitreal injections (P &lt; 0.001), whereas the respective 12-year QALY gains were 1.714 (28%) and 1.639 (26.8%) (P = 0.99). One-year direct PDS ophthalmic costs totaled $21 825 with 2 ranibizumab fills, whereas ranibizumab injection therapy totaled $18 405 with 11.8 injections. The 1-year incremental PDS $/QALY versus injections was cost effective at $75 497/QALY. Five-year PDS therapy was not incrementally cost effective at $304 108/QALY, nor was the 12-year therapy at $761 646/QALY. Average 12-year cost-utility ratios were $78 773/QALY for the PDS and $47 917/QALY for injection therapy. Adding −$476 442 12-year offsetting societal costs netted $314 521 to society per PDS participant versus $370 958 per participant for injection therapy.\nConclusions\nRanibizumab PDS therapy was not incrementally cost effective versus ranibizumab injection therapy at 12 or 5 years but was at 1 year. Injection therapy had a more favorable 12-year average cost-utility ratio. Vision gain was the major determinant of participant value gain and was the same for both interventions. Both interventions were highly cost effective utilizing average cost-utility analysis with the societal cost perspective.\nFinancial Disclosure(s)\nProprietary or commercial disclosure may be found in the Footnotes and Disclosures at the end of this article.","container-title":"Ophthalmology Retina","DOI":"10.1016/j.oret.2023.11.002","ISSN":"2468-6530","journalAbbreviation":"Ophthalmology Retina","source":"ScienceDirect","title":"Cost-Utility Analysis of the Port Delivery System with Ranibizumab for Neovascular Age-Related Macular Degeneration","URL":"https://www.sciencedirect.com/science/article/pii/S246865302300578X","author":[{"family":"Brown","given":"Gary C."},{"family":"Brown","given":"Melissa M."},{"family":"Monigle","given":"Meg C."}],"accessed":{"date-parts":[["2024",1,11]]},"issued":{"date-parts":[["2023",11,21]]}}}],"schema":"https://github.com/citation-style-language/schema/raw/master/csl-citation.json"}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(9)</w:t>
            </w:r>
            <w:r w:rsidRPr="0030308C">
              <w:rPr>
                <w:rFonts w:ascii="Arial" w:hAnsi="Arial" w:cs="Arial"/>
                <w:color w:val="000000" w:themeColor="text1"/>
                <w:sz w:val="20"/>
                <w:szCs w:val="20"/>
              </w:rPr>
              <w:fldChar w:fldCharType="end"/>
            </w:r>
          </w:p>
        </w:tc>
      </w:tr>
      <w:tr w:rsidR="00E61562" w:rsidRPr="0030308C" w14:paraId="5E545960" w14:textId="77777777" w:rsidTr="000E0C52">
        <w:tc>
          <w:tcPr>
            <w:tcW w:w="3119" w:type="dxa"/>
          </w:tcPr>
          <w:p w14:paraId="1CB31113"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Vitreous hemorrhage, any grade</w:t>
            </w:r>
          </w:p>
        </w:tc>
        <w:tc>
          <w:tcPr>
            <w:tcW w:w="1843" w:type="dxa"/>
          </w:tcPr>
          <w:p w14:paraId="1CA2C91E"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-0.15</w:t>
            </w:r>
          </w:p>
        </w:tc>
        <w:tc>
          <w:tcPr>
            <w:tcW w:w="1701" w:type="dxa"/>
          </w:tcPr>
          <w:p w14:paraId="2C0A34C1"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6 months</w:t>
            </w:r>
          </w:p>
        </w:tc>
        <w:tc>
          <w:tcPr>
            <w:tcW w:w="2263" w:type="dxa"/>
          </w:tcPr>
          <w:p w14:paraId="1E969413"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-0.075</w:t>
            </w:r>
          </w:p>
        </w:tc>
        <w:tc>
          <w:tcPr>
            <w:tcW w:w="2692" w:type="dxa"/>
          </w:tcPr>
          <w:p w14:paraId="11BB6D14"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{"citationID":"i8na1wRt","properties":{"formattedCitation":"(9)","plainCitation":"(9)","noteIndex":0},"citationItems":[{"id":344,"uris":["http://zotero.org/users/local/qnIpXHeo/items/QDL3J679"],"itemData":{"id":344,"type":"article-journal","abstract":"Purpose\nTo quantify the cost-utility ratio of the ranibizumab Port Delivery System (PDS; SUSVIMO) versus intravitreal ranibizumab injections for treating neovascular age-related macular degeneration (nAMD) based upon Archway Phase 3 Trial data.\nDesign\nCost-utility analysis.\nSubjects\nArchway Phase 3 Clinical Trial nAMD participants previously responsive to anti-VEGF therapy were randomized 3:2. Two hundred forty received PDS refills q 24 weeks and 162 received ranibizumab injections.\nMethods\nOphthalmic patient, time tradeoff utilities, direct medical and societal cost perspectives, 12-year, 1-year, and 5-year timelines, United States 2022 real dollars, and a 3% annual discount rate were employed. Utilities were adjusted for nAMD conversion in fellow eyes during the 12-year, mean participant life expectancy. Premature death associated with severe vision loss was integrated as per the population-based Salisbury Eye Evaluation Study.\nMain Outcome Measures\nQuality-adjusted life-year (QALY) accruals, costs, and incremental and average cost-utility ratios in $/QALY (dollars expended per QALY gained).\nResults\nVersus no therapy, the 1-year PDS QALY gain was 0.0156 (6.8%) versus 0.0063 (0.82%) for intravitreal injections (P &lt; 0.001), whereas the respective 12-year QALY gains were 1.714 (28%) and 1.639 (26.8%) (P = 0.99). One-year direct PDS ophthalmic costs totaled $21 825 with 2 ranibizumab fills, whereas ranibizumab injection therapy totaled $18 405 with 11.8 injections. The 1-year incremental PDS $/QALY versus injections was cost effective at $75 497/QALY. Five-year PDS therapy was not incrementally cost effective at $304 108/QALY, nor was the 12-year therapy at $761 646/QALY. Average 12-year cost-utility ratios were $78 773/QALY for the PDS and $47 917/QALY for injection therapy. Adding −$476 442 12-year offsetting societal costs netted $314 521 to society per PDS participant versus $370 958 per participant for injection therapy.\nConclusions\nRanibizumab PDS therapy was not incrementally cost effective versus ranibizumab injection therapy at 12 or 5 years but was at 1 year. Injection therapy had a more favorable 12-year average cost-utility ratio. Vision gain was the major determinant of participant value gain and was the same for both interventions. Both interventions were highly cost effective utilizing average cost-utility analysis with the societal cost perspective.\nFinancial Disclosure(s)\nProprietary or commercial disclosure may be found in the Footnotes and Disclosures at the end of this article.","container-title":"Ophthalmology Retina","DOI":"10.1016/j.oret.2023.11.002","ISSN":"2468-6530","journalAbbreviation":"Ophthalmology Retina","source":"ScienceDirect","title":"Cost-Utility Analysis of the Port Delivery System with Ranibizumab for Neovascular Age-Related Macular Degeneration","URL":"https://www.sciencedirect.com/science/article/pii/S246865302300578X","author":[{"family":"Brown","given":"Gary C."},{"family":"Brown","given":"Melissa M."},{"family":"Monigle","given":"Meg C."}],"accessed":{"date-parts":[["2024",1,11]]},"issued":{"date-parts":[["2023",11,21]]}}}],"schema":"https://github.com/citation-style-language/schema/raw/master/csl-citation.json"}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(9)</w:t>
            </w:r>
            <w:r w:rsidRPr="0030308C">
              <w:rPr>
                <w:rFonts w:ascii="Arial" w:hAnsi="Arial" w:cs="Arial"/>
                <w:color w:val="000000" w:themeColor="text1"/>
                <w:sz w:val="20"/>
                <w:szCs w:val="20"/>
              </w:rPr>
              <w:fldChar w:fldCharType="end"/>
            </w:r>
            <w:r w:rsidRPr="0030308C">
              <w:rPr>
                <w:rFonts w:ascii="Arial" w:hAnsi="Arial" w:cs="Arial"/>
                <w:color w:val="000000" w:themeColor="text1"/>
                <w:sz w:val="20"/>
                <w:szCs w:val="20"/>
              </w:rPr>
              <w:t xml:space="preserve"> and expert opinion</w:t>
            </w:r>
          </w:p>
        </w:tc>
      </w:tr>
      <w:tr w:rsidR="00E61562" w:rsidRPr="0030308C" w14:paraId="220F69EA" w14:textId="77777777" w:rsidTr="000E0C52">
        <w:tc>
          <w:tcPr>
            <w:tcW w:w="3119" w:type="dxa"/>
          </w:tcPr>
          <w:p w14:paraId="64F5B22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Cataract</w:t>
            </w:r>
          </w:p>
        </w:tc>
        <w:tc>
          <w:tcPr>
            <w:tcW w:w="1843" w:type="dxa"/>
          </w:tcPr>
          <w:p w14:paraId="40C0932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-0.142</w:t>
            </w:r>
          </w:p>
        </w:tc>
        <w:tc>
          <w:tcPr>
            <w:tcW w:w="1701" w:type="dxa"/>
          </w:tcPr>
          <w:p w14:paraId="36DA2B37"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 month</w:t>
            </w:r>
          </w:p>
        </w:tc>
        <w:tc>
          <w:tcPr>
            <w:tcW w:w="2263" w:type="dxa"/>
          </w:tcPr>
          <w:p w14:paraId="6AB8B3F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-0.011</w:t>
            </w:r>
          </w:p>
        </w:tc>
        <w:tc>
          <w:tcPr>
            <w:tcW w:w="2692" w:type="dxa"/>
          </w:tcPr>
          <w:p w14:paraId="4ADD2CE0"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{"citationID":"5ZYAO3Tk","properties":{"formattedCitation":"(8)","plainCitation":"(8)","noteIndex":0},"citationItems":[{"id":299,"uris":["http://zotero.org/users/local/qnIpXHeo/items/HAB6TKEG"],"itemData":{"id":299,"type":"document","abstract":"Evidence-based recommendations on aflibercept (Eylea) solution for injection for treating wet age-related macular degeneration","language":"eng","note":"publisher: NICE","title":"Macula degeneration Appendix J: Health Economics","URL":"https://www.nice.org.uk/guidance/ta294/chapter/3-The-manufacturers-submission#cost-effectiveness","author":[{"family":"NICE","given":""}],"accessed":{"date-parts":[["2024",1,10]]},"issued":{"date-parts":[["2018"]]}}}],"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sz w:val="20"/>
                <w:lang w:val="en-GB"/>
              </w:rPr>
              <w:t>(8)</w:t>
            </w:r>
            <w:r w:rsidRPr="0030308C">
              <w:rPr>
                <w:rFonts w:ascii="Arial" w:hAnsi="Arial" w:cs="Arial"/>
                <w:color w:val="000000" w:themeColor="text1"/>
                <w:sz w:val="20"/>
                <w:szCs w:val="20"/>
              </w:rPr>
              <w:fldChar w:fldCharType="end"/>
            </w:r>
          </w:p>
        </w:tc>
      </w:tr>
      <w:tr w:rsidR="00E61562" w:rsidRPr="0030308C" w14:paraId="45AED22D" w14:textId="77777777" w:rsidTr="000E0C52">
        <w:tc>
          <w:tcPr>
            <w:tcW w:w="3119" w:type="dxa"/>
          </w:tcPr>
          <w:p w14:paraId="445EF5FF"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Conjunctival erosion</w:t>
            </w:r>
          </w:p>
        </w:tc>
        <w:tc>
          <w:tcPr>
            <w:tcW w:w="1843" w:type="dxa"/>
          </w:tcPr>
          <w:p w14:paraId="0A101620"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-0.13</w:t>
            </w:r>
          </w:p>
        </w:tc>
        <w:tc>
          <w:tcPr>
            <w:tcW w:w="1701" w:type="dxa"/>
          </w:tcPr>
          <w:p w14:paraId="262D7EFA"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 week</w:t>
            </w:r>
          </w:p>
        </w:tc>
        <w:tc>
          <w:tcPr>
            <w:tcW w:w="2263" w:type="dxa"/>
          </w:tcPr>
          <w:p w14:paraId="3A6CFCE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-0.003</w:t>
            </w:r>
          </w:p>
        </w:tc>
        <w:tc>
          <w:tcPr>
            <w:tcW w:w="2692" w:type="dxa"/>
          </w:tcPr>
          <w:p w14:paraId="022E4F8F"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{"citationID":"hl7XUaiH","properties":{"formattedCitation":"(9)","plainCitation":"(9)","noteIndex":0},"citationItems":[{"id":344,"uris":["http://zotero.org/users/local/qnIpXHeo/items/QDL3J679"],"itemData":{"id":344,"type":"article-journal","abstract":"Purpose\nTo quantify the cost-utility ratio of the ranibizumab Port Delivery System (PDS; SUSVIMO) versus intravitreal ranibizumab injections for treating neovascular age-related macular degeneration (nAMD) based upon Archway Phase 3 Trial data.\nDesign\nCost-utility analysis.\nSubjects\nArchway Phase 3 Clinical Trial nAMD participants previously responsive to anti-VEGF therapy were randomized 3:2. Two hundred forty received PDS refills q 24 weeks and 162 received ranibizumab injections.\nMethods\nOphthalmic patient, time tradeoff utilities, direct medical and societal cost perspectives, 12-year, 1-year, and 5-year timelines, United States 2022 real dollars, and a 3% annual discount rate were employed. Utilities were adjusted for nAMD conversion in fellow eyes during the 12-year, mean participant life expectancy. Premature death associated with severe vision loss was integrated as per the population-based Salisbury Eye Evaluation Study.\nMain Outcome Measures\nQuality-adjusted life-year (QALY) accruals, costs, and incremental and average cost-utility ratios in $/QALY (dollars expended per QALY gained).\nResults\nVersus no therapy, the 1-year PDS QALY gain was 0.0156 (6.8%) versus 0.0063 (0.82%) for intravitreal injections (P &lt; 0.001), whereas the respective 12-year QALY gains were 1.714 (28%) and 1.639 (26.8%) (P = 0.99). One-year direct PDS ophthalmic costs totaled $21 825 with 2 ranibizumab fills, whereas ranibizumab injection therapy totaled $18 405 with 11.8 injections. The 1-year incremental PDS $/QALY versus injections was cost effective at $75 497/QALY. Five-year PDS therapy was not incrementally cost effective at $304 108/QALY, nor was the 12-year therapy at $761 646/QALY. Average 12-year cost-utility ratios were $78 773/QALY for the PDS and $47 917/QALY for injection therapy. Adding −$476 442 12-year offsetting societal costs netted $314 521 to society per PDS participant versus $370 958 per participant for injection therapy.\nConclusions\nRanibizumab PDS therapy was not incrementally cost effective versus ranibizumab injection therapy at 12 or 5 years but was at 1 year. Injection therapy had a more favorable 12-year average cost-utility ratio. Vision gain was the major determinant of participant value gain and was the same for both interventions. Both interventions were highly cost effective utilizing average cost-utility analysis with the societal cost perspective.\nFinancial Disclosure(s)\nProprietary or commercial disclosure may be found in the Footnotes and Disclosures at the end of this article.","container-title":"Ophthalmology Retina","DOI":"10.1016/j.oret.2023.11.002","ISSN":"2468-6530","journalAbbreviation":"Ophthalmology Retina","source":"ScienceDirect","title":"Cost-Utility Analysis of the Port Delivery System with Ranibizumab for Neovascular Age-Related Macular Degeneration","URL":"https://www.sciencedirect.com/science/article/pii/S246865302300578X","author":[{"family":"Brown","given":"Gary C."},{"family":"Brown","given":"Melissa M."},{"family":"Monigle","given":"Meg C."}],"accessed":{"date-parts":[["2024",1,11]]},"issued":{"date-parts":[["2023",11,21]]}}}],"schema":"https://github.com/citation-style-language/schema/raw/master/csl-citation.json"}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(9)</w:t>
            </w:r>
            <w:r w:rsidRPr="0030308C">
              <w:rPr>
                <w:rFonts w:ascii="Arial" w:hAnsi="Arial" w:cs="Arial"/>
                <w:color w:val="000000" w:themeColor="text1"/>
                <w:sz w:val="20"/>
                <w:szCs w:val="20"/>
              </w:rPr>
              <w:fldChar w:fldCharType="end"/>
            </w:r>
            <w:r w:rsidRPr="0030308C">
              <w:rPr>
                <w:rFonts w:ascii="Arial" w:hAnsi="Arial" w:cs="Arial"/>
                <w:color w:val="000000" w:themeColor="text1"/>
                <w:sz w:val="20"/>
                <w:szCs w:val="20"/>
              </w:rPr>
              <w:t xml:space="preserve"> and expert opinion</w:t>
            </w:r>
          </w:p>
        </w:tc>
      </w:tr>
      <w:tr w:rsidR="00E61562" w:rsidRPr="0030308C" w14:paraId="4593188A" w14:textId="77777777" w:rsidTr="000E0C52">
        <w:tc>
          <w:tcPr>
            <w:tcW w:w="3119" w:type="dxa"/>
          </w:tcPr>
          <w:p w14:paraId="5EC1EF26"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Conjunctival retraction</w:t>
            </w:r>
          </w:p>
        </w:tc>
        <w:tc>
          <w:tcPr>
            <w:tcW w:w="1843" w:type="dxa"/>
          </w:tcPr>
          <w:p w14:paraId="51007DBD"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-0.13</w:t>
            </w:r>
          </w:p>
        </w:tc>
        <w:tc>
          <w:tcPr>
            <w:tcW w:w="1701" w:type="dxa"/>
          </w:tcPr>
          <w:p w14:paraId="1AE49BF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2 weeks</w:t>
            </w:r>
          </w:p>
        </w:tc>
        <w:tc>
          <w:tcPr>
            <w:tcW w:w="2263" w:type="dxa"/>
          </w:tcPr>
          <w:p w14:paraId="4F3F560D"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-0.005</w:t>
            </w:r>
          </w:p>
        </w:tc>
        <w:tc>
          <w:tcPr>
            <w:tcW w:w="2692" w:type="dxa"/>
          </w:tcPr>
          <w:p w14:paraId="4BD500F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{"citationID":"SbQKPlRC","properties":{"formattedCitation":"(9)","plainCitation":"(9)","noteIndex":0},"citationItems":[{"id":344,"uris":["http://zotero.org/users/local/qnIpXHeo/items/QDL3J679"],"itemData":{"id":344,"type":"article-journal","abstract":"Purpose\nTo quantify the cost-utility ratio of the ranibizumab Port Delivery System (PDS; SUSVIMO) versus intravitreal ranibizumab injections for treating neovascular age-related macular degeneration (nAMD) based upon Archway Phase 3 Trial data.\nDesign\nCost-utility analysis.\nSubjects\nArchway Phase 3 Clinical Trial nAMD participants previously responsive to anti-VEGF therapy were randomized 3:2. Two hundred forty received PDS refills q 24 weeks and 162 received ranibizumab injections.\nMethods\nOphthalmic patient, time tradeoff utilities, direct medical and societal cost perspectives, 12-year, 1-year, and 5-year timelines, United States 2022 real dollars, and a 3% annual discount rate were employed. Utilities were adjusted for nAMD conversion in fellow eyes during the 12-year, mean participant life expectancy. Premature death associated with severe vision loss was integrated as per the population-based Salisbury Eye Evaluation Study.\nMain Outcome Measures\nQuality-adjusted life-year (QALY) accruals, costs, and incremental and average cost-utility ratios in $/QALY (dollars expended per QALY gained).\nResults\nVersus no therapy, the 1-year PDS QALY gain was 0.0156 (6.8%) versus 0.0063 (0.82%) for intravitreal injections (P &lt; 0.001), whereas the respective 12-year QALY gains were 1.714 (28%) and 1.639 (26.8%) (P = 0.99). One-year direct PDS ophthalmic costs totaled $21 825 with 2 ranibizumab fills, whereas ranibizumab injection therapy totaled $18 405 with 11.8 injections. The 1-year incremental PDS $/QALY versus injections was cost effective at $75 497/QALY. Five-year PDS therapy was not incrementally cost effective at $304 108/QALY, nor was the 12-year therapy at $761 646/QALY. Average 12-year cost-utility ratios were $78 773/QALY for the PDS and $47 917/QALY for injection therapy. Adding −$476 442 12-year offsetting societal costs netted $314 521 to society per PDS participant versus $370 958 per participant for injection therapy.\nConclusions\nRanibizumab PDS therapy was not incrementally cost effective versus ranibizumab injection therapy at 12 or 5 years but was at 1 year. Injection therapy had a more favorable 12-year average cost-utility ratio. Vision gain was the major determinant of participant value gain and was the same for both interventions. Both interventions were highly cost effective utilizing average cost-utility analysis with the societal cost perspective.\nFinancial Disclosure(s)\nProprietary or commercial disclosure may be found in the Footnotes and Disclosures at the end of this article.","container-title":"Ophthalmology Retina","DOI":"10.1016/j.oret.2023.11.002","ISSN":"2468-6530","journalAbbreviation":"Ophthalmology Retina","source":"ScienceDirect","title":"Cost-Utility Analysis of the Port Delivery System with Ranibizumab for Neovascular Age-Related Macular Degeneration","URL":"https://www.sciencedirect.com/science/article/pii/S246865302300578X","author":[{"family":"Brown","given":"Gary C."},{"family":"Brown","given":"Melissa M."},{"family":"Monigle","given":"Meg C."}],"accessed":{"date-parts":[["2024",1,11]]},"issued":{"date-parts":[["2023",11,21]]}}}],"schema":"https://github.com/citation-style-language/schema/raw/master/csl-citation.json"}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(9)</w:t>
            </w:r>
            <w:r w:rsidRPr="0030308C">
              <w:rPr>
                <w:rFonts w:ascii="Arial" w:hAnsi="Arial" w:cs="Arial"/>
                <w:color w:val="000000" w:themeColor="text1"/>
                <w:sz w:val="20"/>
                <w:szCs w:val="20"/>
              </w:rPr>
              <w:fldChar w:fldCharType="end"/>
            </w:r>
            <w:r w:rsidRPr="0030308C">
              <w:rPr>
                <w:rFonts w:ascii="Arial" w:hAnsi="Arial" w:cs="Arial"/>
                <w:color w:val="000000" w:themeColor="text1"/>
                <w:sz w:val="20"/>
                <w:szCs w:val="20"/>
              </w:rPr>
              <w:t xml:space="preserve"> and expert opinion</w:t>
            </w:r>
          </w:p>
        </w:tc>
      </w:tr>
      <w:tr w:rsidR="00E61562" w:rsidRPr="0030308C" w14:paraId="4D8D02DD" w14:textId="77777777" w:rsidTr="000E0C52">
        <w:tc>
          <w:tcPr>
            <w:tcW w:w="3119" w:type="dxa"/>
          </w:tcPr>
          <w:p w14:paraId="372135EF"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Endophthalmitis</w:t>
            </w:r>
          </w:p>
        </w:tc>
        <w:tc>
          <w:tcPr>
            <w:tcW w:w="1843" w:type="dxa"/>
          </w:tcPr>
          <w:p w14:paraId="101ED676"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-0.3</w:t>
            </w:r>
          </w:p>
        </w:tc>
        <w:tc>
          <w:tcPr>
            <w:tcW w:w="1701" w:type="dxa"/>
          </w:tcPr>
          <w:p w14:paraId="0A162F08" w14:textId="77777777" w:rsidR="00E61562" w:rsidRPr="0030308C" w:rsidRDefault="00E61562" w:rsidP="000E0C52">
            <w:pPr>
              <w:pStyle w:val="NormalWeb"/>
              <w:spacing w:before="0" w:beforeAutospacing="0" w:after="0" w:afterAutospacing="0"/>
              <w:rPr>
                <w:rFonts w:ascii="Arial" w:hAnsi="Arial" w:cs="Arial"/>
                <w:color w:val="000000" w:themeColor="text1"/>
                <w:sz w:val="20"/>
                <w:szCs w:val="20"/>
              </w:rPr>
            </w:pPr>
            <w:r w:rsidRPr="0030308C">
              <w:rPr>
                <w:rFonts w:ascii="Arial" w:hAnsi="Arial" w:cs="Arial"/>
                <w:color w:val="000000" w:themeColor="text1"/>
                <w:sz w:val="20"/>
                <w:szCs w:val="20"/>
              </w:rPr>
              <w:t>20%: 1 year</w:t>
            </w:r>
          </w:p>
          <w:p w14:paraId="1017084C" w14:textId="77777777" w:rsidR="00E61562" w:rsidRPr="0030308C" w:rsidRDefault="00E61562" w:rsidP="000E0C52">
            <w:pPr>
              <w:pStyle w:val="NormalWeb"/>
              <w:spacing w:before="0" w:beforeAutospacing="0" w:after="0" w:afterAutospacing="0"/>
              <w:rPr>
                <w:rFonts w:ascii="Arial" w:hAnsi="Arial" w:cs="Arial"/>
                <w:color w:val="000000" w:themeColor="text1"/>
                <w:sz w:val="20"/>
                <w:szCs w:val="20"/>
              </w:rPr>
            </w:pPr>
            <w:r w:rsidRPr="0030308C">
              <w:rPr>
                <w:rFonts w:ascii="Arial" w:hAnsi="Arial" w:cs="Arial"/>
                <w:color w:val="000000" w:themeColor="text1"/>
                <w:sz w:val="20"/>
                <w:szCs w:val="20"/>
              </w:rPr>
              <w:t>80%: 1.5 months</w:t>
            </w:r>
          </w:p>
        </w:tc>
        <w:tc>
          <w:tcPr>
            <w:tcW w:w="2263" w:type="dxa"/>
          </w:tcPr>
          <w:p w14:paraId="5EA5FC89"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-0.088</w:t>
            </w:r>
          </w:p>
        </w:tc>
        <w:tc>
          <w:tcPr>
            <w:tcW w:w="2692" w:type="dxa"/>
          </w:tcPr>
          <w:p w14:paraId="20D60510"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{"citationID":"ZQxCDvDq","properties":{"formattedCitation":"(8)","plainCitation":"(8)","noteIndex":0},"citationItems":[{"id":299,"uris":["http://zotero.org/users/local/qnIpXHeo/items/HAB6TKEG"],"itemData":{"id":299,"type":"document","abstract":"Evidence-based recommendations on aflibercept (Eylea) solution for injection for treating wet age-related macular degeneration","language":"eng","note":"publisher: NICE","title":"Macula degeneration Appendix J: Health Economics","URL":"https://www.nice.org.uk/guidance/ta294/chapter/3-The-manufacturers-submission#cost-effectiveness","author":[{"family":"NICE","given":""}],"accessed":{"date-parts":[["2024",1,10]]},"issued":{"date-parts":[["2018"]]}}}],"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sz w:val="20"/>
                <w:lang w:val="en-GB"/>
              </w:rPr>
              <w:t>(8)</w:t>
            </w:r>
            <w:r w:rsidRPr="0030308C">
              <w:rPr>
                <w:rFonts w:ascii="Arial" w:hAnsi="Arial" w:cs="Arial"/>
                <w:color w:val="000000" w:themeColor="text1"/>
                <w:sz w:val="20"/>
                <w:szCs w:val="20"/>
              </w:rPr>
              <w:fldChar w:fldCharType="end"/>
            </w:r>
          </w:p>
        </w:tc>
      </w:tr>
      <w:tr w:rsidR="00E61562" w:rsidRPr="0030308C" w14:paraId="1FFA3C23" w14:textId="77777777" w:rsidTr="000E0C52">
        <w:tc>
          <w:tcPr>
            <w:tcW w:w="3119" w:type="dxa"/>
          </w:tcPr>
          <w:p w14:paraId="35B3C023"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Retinal detachment (rhegmatogenous)</w:t>
            </w:r>
          </w:p>
        </w:tc>
        <w:tc>
          <w:tcPr>
            <w:tcW w:w="1843" w:type="dxa"/>
          </w:tcPr>
          <w:p w14:paraId="4BDECF1D"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-0.27</w:t>
            </w:r>
          </w:p>
        </w:tc>
        <w:tc>
          <w:tcPr>
            <w:tcW w:w="1701" w:type="dxa"/>
          </w:tcPr>
          <w:p w14:paraId="3DBC618E"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3 months</w:t>
            </w:r>
          </w:p>
        </w:tc>
        <w:tc>
          <w:tcPr>
            <w:tcW w:w="2263" w:type="dxa"/>
          </w:tcPr>
          <w:p w14:paraId="7EF74C24"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-0.016</w:t>
            </w:r>
          </w:p>
        </w:tc>
        <w:tc>
          <w:tcPr>
            <w:tcW w:w="2692" w:type="dxa"/>
          </w:tcPr>
          <w:p w14:paraId="7030ECD3"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{"citationID":"dfMXk0bm","properties":{"formattedCitation":"(8)","plainCitation":"(8)","noteIndex":0},"citationItems":[{"id":299,"uris":["http://zotero.org/users/local/qnIpXHeo/items/HAB6TKEG"],"itemData":{"id":299,"type":"document","abstract":"Evidence-based recommendations on aflibercept (Eylea) solution for injection for treating wet age-related macular degeneration","language":"eng","note":"publisher: NICE","title":"Macula degeneration Appendix J: Health Economics","URL":"https://www.nice.org.uk/guidance/ta294/chapter/3-The-manufacturers-submission#cost-effectiveness","author":[{"family":"NICE","given":""}],"accessed":{"date-parts":[["2024",1,10]]},"issued":{"date-parts":[["2018"]]}}}],"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sz w:val="20"/>
                <w:lang w:val="en-GB"/>
              </w:rPr>
              <w:t>(8)</w:t>
            </w:r>
            <w:r w:rsidRPr="0030308C">
              <w:rPr>
                <w:rFonts w:ascii="Arial" w:hAnsi="Arial" w:cs="Arial"/>
                <w:color w:val="000000" w:themeColor="text1"/>
                <w:sz w:val="20"/>
                <w:szCs w:val="20"/>
              </w:rPr>
              <w:fldChar w:fldCharType="end"/>
            </w:r>
          </w:p>
        </w:tc>
      </w:tr>
      <w:tr w:rsidR="00E61562" w:rsidRPr="0030308C" w14:paraId="16095B37" w14:textId="77777777" w:rsidTr="000E0C52">
        <w:tc>
          <w:tcPr>
            <w:tcW w:w="3119" w:type="dxa"/>
          </w:tcPr>
          <w:p w14:paraId="5DE1CA54" w14:textId="77777777" w:rsidR="00E61562" w:rsidRPr="0030308C" w:rsidRDefault="00E61562" w:rsidP="000E0C52">
            <w:pPr>
              <w:rPr>
                <w:rFonts w:ascii="Arial" w:hAnsi="Arial" w:cs="Arial"/>
                <w:color w:val="000000" w:themeColor="text1"/>
                <w:sz w:val="20"/>
                <w:szCs w:val="20"/>
              </w:rPr>
            </w:pPr>
            <w:proofErr w:type="spellStart"/>
            <w:r w:rsidRPr="0030308C">
              <w:rPr>
                <w:rFonts w:ascii="Arial" w:hAnsi="Arial" w:cs="Arial"/>
                <w:color w:val="000000" w:themeColor="text1"/>
                <w:sz w:val="20"/>
                <w:szCs w:val="20"/>
              </w:rPr>
              <w:t>Hyphema</w:t>
            </w:r>
            <w:proofErr w:type="spellEnd"/>
          </w:p>
        </w:tc>
        <w:tc>
          <w:tcPr>
            <w:tcW w:w="1843" w:type="dxa"/>
          </w:tcPr>
          <w:p w14:paraId="3A1BDA86"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-0.15</w:t>
            </w:r>
          </w:p>
        </w:tc>
        <w:tc>
          <w:tcPr>
            <w:tcW w:w="1701" w:type="dxa"/>
          </w:tcPr>
          <w:p w14:paraId="599B10A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 month</w:t>
            </w:r>
          </w:p>
        </w:tc>
        <w:tc>
          <w:tcPr>
            <w:tcW w:w="2263" w:type="dxa"/>
          </w:tcPr>
          <w:p w14:paraId="2CD9FB6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-0.012</w:t>
            </w:r>
          </w:p>
        </w:tc>
        <w:tc>
          <w:tcPr>
            <w:tcW w:w="2692" w:type="dxa"/>
          </w:tcPr>
          <w:p w14:paraId="418E957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{"citationID":"0NQq1XmP","properties":{"formattedCitation":"(9)","plainCitation":"(9)","noteIndex":0},"citationItems":[{"id":344,"uris":["http://zotero.org/users/local/qnIpXHeo/items/QDL3J679"],"itemData":{"id":344,"type":"article-journal","abstract":"Purpose\nTo quantify the cost-utility ratio of the ranibizumab Port Delivery System (PDS; SUSVIMO) versus intravitreal ranibizumab injections for treating neovascular age-related macular degeneration (nAMD) based upon Archway Phase 3 Trial data.\nDesign\nCost-utility analysis.\nSubjects\nArchway Phase 3 Clinical Trial nAMD participants previously responsive to anti-VEGF therapy were randomized 3:2. Two hundred forty received PDS refills q 24 weeks and 162 received ranibizumab injections.\nMethods\nOphthalmic patient, time tradeoff utilities, direct medical and societal cost perspectives, 12-year, 1-year, and 5-year timelines, United States 2022 real dollars, and a 3% annual discount rate were employed. Utilities were adjusted for nAMD conversion in fellow eyes during the 12-year, mean participant life expectancy. Premature death associated with severe vision loss was integrated as per the population-based Salisbury Eye Evaluation Study.\nMain Outcome Measures\nQuality-adjusted life-year (QALY) accruals, costs, and incremental and average cost-utility ratios in $/QALY (dollars expended per QALY gained).\nResults\nVersus no therapy, the 1-year PDS QALY gain was 0.0156 (6.8%) versus 0.0063 (0.82%) for intravitreal injections (P &lt; 0.001), whereas the respective 12-year QALY gains were 1.714 (28%) and 1.639 (26.8%) (P = 0.99). One-year direct PDS ophthalmic costs totaled $21 825 with 2 ranibizumab fills, whereas ranibizumab injection therapy totaled $18 405 with 11.8 injections. The 1-year incremental PDS $/QALY versus injections was cost effective at $75 497/QALY. Five-year PDS therapy was not incrementally cost effective at $304 108/QALY, nor was the 12-year therapy at $761 646/QALY. Average 12-year cost-utility ratios were $78 773/QALY for the PDS and $47 917/QALY for injection therapy. Adding −$476 442 12-year offsetting societal costs netted $314 521 to society per PDS participant versus $370 958 per participant for injection therapy.\nConclusions\nRanibizumab PDS therapy was not incrementally cost effective versus ranibizumab injection therapy at 12 or 5 years but was at 1 year. Injection therapy had a more favorable 12-year average cost-utility ratio. Vision gain was the major determinant of participant value gain and was the same for both interventions. Both interventions were highly cost effective utilizing average cost-utility analysis with the societal cost perspective.\nFinancial Disclosure(s)\nProprietary or commercial disclosure may be found in the Footnotes and Disclosures at the end of this article.","container-title":"Ophthalmology Retina","DOI":"10.1016/j.oret.2023.11.002","ISSN":"2468-6530","journalAbbreviation":"Ophthalmology Retina","source":"ScienceDirect","title":"Cost-Utility Analysis of the Port Delivery System with Ranibizumab for Neovascular Age-Related Macular Degeneration","URL":"https://www.sciencedirect.com/science/article/pii/S246865302300578X","author":[{"family":"Brown","given":"Gary C."},{"family":"Brown","given":"Melissa M."},{"family":"Monigle","given":"Meg C."}],"accessed":{"date-parts":[["2024",1,11]]},"issued":{"date-parts":[["2023",11,21]]}}}],"schema":"https://github.com/citation-style-language/schema/raw/master/csl-citation.json"}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(9)</w:t>
            </w:r>
            <w:r w:rsidRPr="0030308C">
              <w:rPr>
                <w:rFonts w:ascii="Arial" w:hAnsi="Arial" w:cs="Arial"/>
                <w:color w:val="000000" w:themeColor="text1"/>
                <w:sz w:val="20"/>
                <w:szCs w:val="20"/>
              </w:rPr>
              <w:fldChar w:fldCharType="end"/>
            </w:r>
            <w:r w:rsidRPr="0030308C">
              <w:rPr>
                <w:rFonts w:ascii="Arial" w:hAnsi="Arial" w:cs="Arial"/>
                <w:color w:val="000000" w:themeColor="text1"/>
                <w:sz w:val="20"/>
                <w:szCs w:val="20"/>
              </w:rPr>
              <w:t xml:space="preserve"> and expert opinion</w:t>
            </w:r>
          </w:p>
        </w:tc>
      </w:tr>
      <w:tr w:rsidR="00E61562" w:rsidRPr="0030308C" w14:paraId="3E9DD8E8" w14:textId="77777777" w:rsidTr="000E0C52">
        <w:tc>
          <w:tcPr>
            <w:tcW w:w="3119" w:type="dxa"/>
          </w:tcPr>
          <w:p w14:paraId="7FFD040D"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Implant dislocation</w:t>
            </w:r>
          </w:p>
        </w:tc>
        <w:tc>
          <w:tcPr>
            <w:tcW w:w="1843" w:type="dxa"/>
          </w:tcPr>
          <w:p w14:paraId="289153F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-0.13</w:t>
            </w:r>
          </w:p>
        </w:tc>
        <w:tc>
          <w:tcPr>
            <w:tcW w:w="1701" w:type="dxa"/>
          </w:tcPr>
          <w:p w14:paraId="6A4F247D"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2 weeks</w:t>
            </w:r>
          </w:p>
        </w:tc>
        <w:tc>
          <w:tcPr>
            <w:tcW w:w="2263" w:type="dxa"/>
          </w:tcPr>
          <w:p w14:paraId="7937AF9D"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-0.005</w:t>
            </w:r>
          </w:p>
        </w:tc>
        <w:tc>
          <w:tcPr>
            <w:tcW w:w="2692" w:type="dxa"/>
          </w:tcPr>
          <w:p w14:paraId="685922ED"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{"citationID":"HyzUs7ED","properties":{"formattedCitation":"(9)","plainCitation":"(9)","noteIndex":0},"citationItems":[{"id":344,"uris":["http://zotero.org/users/local/qnIpXHeo/items/QDL3J679"],"itemData":{"id":344,"type":"article-journal","abstract":"Purpose\nTo quantify the cost-utility ratio of the ranibizumab Port Delivery System (PDS; SUSVIMO) versus intravitreal ranibizumab injections for treating neovascular age-related macular degeneration (nAMD) based upon Archway Phase 3 Trial data.\nDesign\nCost-utility analysis.\nSubjects\nArchway Phase 3 Clinical Trial nAMD participants previously responsive to anti-VEGF therapy were randomized 3:2. Two hundred forty received PDS refills q 24 weeks and 162 received ranibizumab injections.\nMethods\nOphthalmic patient, time tradeoff utilities, direct medical and societal cost perspectives, 12-year, 1-year, and 5-year timelines, United States 2022 real dollars, and a 3% annual discount rate were employed. Utilities were adjusted for nAMD conversion in fellow eyes during the 12-year, mean participant life expectancy. Premature death associated with severe vision loss was integrated as per the population-based Salisbury Eye Evaluation Study.\nMain Outcome Measures\nQuality-adjusted life-year (QALY) accruals, costs, and incremental and average cost-utility ratios in $/QALY (dollars expended per QALY gained).\nResults\nVersus no therapy, the 1-year PDS QALY gain was 0.0156 (6.8%) versus 0.0063 (0.82%) for intravitreal injections (P &lt; 0.001), whereas the respective 12-year QALY gains were 1.714 (28%) and 1.639 (26.8%) (P = 0.99). One-year direct PDS ophthalmic costs totaled $21 825 with 2 ranibizumab fills, whereas ranibizumab injection therapy totaled $18 405 with 11.8 injections. The 1-year incremental PDS $/QALY versus injections was cost effective at $75 497/QALY. Five-year PDS therapy was not incrementally cost effective at $304 108/QALY, nor was the 12-year therapy at $761 646/QALY. Average 12-year cost-utility ratios were $78 773/QALY for the PDS and $47 917/QALY for injection therapy. Adding −$476 442 12-year offsetting societal costs netted $314 521 to society per PDS participant versus $370 958 per participant for injection therapy.\nConclusions\nRanibizumab PDS therapy was not incrementally cost effective versus ranibizumab injection therapy at 12 or 5 years but was at 1 year. Injection therapy had a more favorable 12-year average cost-utility ratio. Vision gain was the major determinant of participant value gain and was the same for both interventions. Both interventions were highly cost effective utilizing average cost-utility analysis with the societal cost perspective.\nFinancial Disclosure(s)\nProprietary or commercial disclosure may be found in the Footnotes and Disclosures at the end of this article.","container-title":"Ophthalmology Retina","DOI":"10.1016/j.oret.2023.11.002","ISSN":"2468-6530","journalAbbreviation":"Ophthalmology Retina","source":"ScienceDirect","title":"Cost-Utility Analysis of the Port Delivery System with Ranibizumab for Neovascular Age-Related Macular Degeneration","URL":"https://www.sciencedirect.com/science/article/pii/S246865302300578X","author":[{"family":"Brown","given":"Gary C."},{"family":"Brown","given":"Melissa M."},{"family":"Monigle","given":"Meg C."}],"accessed":{"date-parts":[["2024",1,11]]},"issued":{"date-parts":[["2023",11,21]]}}}],"schema":"https://github.com/citation-style-language/schema/raw/master/csl-citation.json"}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(9)</w:t>
            </w:r>
            <w:r w:rsidRPr="0030308C">
              <w:rPr>
                <w:rFonts w:ascii="Arial" w:hAnsi="Arial" w:cs="Arial"/>
                <w:color w:val="000000" w:themeColor="text1"/>
                <w:sz w:val="20"/>
                <w:szCs w:val="20"/>
              </w:rPr>
              <w:fldChar w:fldCharType="end"/>
            </w:r>
          </w:p>
        </w:tc>
      </w:tr>
      <w:tr w:rsidR="00E61562" w:rsidRPr="0030308C" w14:paraId="4A0742A5" w14:textId="77777777" w:rsidTr="000E0C52">
        <w:tc>
          <w:tcPr>
            <w:tcW w:w="3119" w:type="dxa"/>
          </w:tcPr>
          <w:p w14:paraId="48970AF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Retinal tear</w:t>
            </w:r>
          </w:p>
        </w:tc>
        <w:tc>
          <w:tcPr>
            <w:tcW w:w="1843" w:type="dxa"/>
          </w:tcPr>
          <w:p w14:paraId="658C2833"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w:t>
            </w:r>
          </w:p>
        </w:tc>
        <w:tc>
          <w:tcPr>
            <w:tcW w:w="1701" w:type="dxa"/>
          </w:tcPr>
          <w:p w14:paraId="4CEF2C81"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Immediate repair</w:t>
            </w:r>
          </w:p>
        </w:tc>
        <w:tc>
          <w:tcPr>
            <w:tcW w:w="2263" w:type="dxa"/>
          </w:tcPr>
          <w:p w14:paraId="0E8B33FF"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w:t>
            </w:r>
          </w:p>
        </w:tc>
        <w:tc>
          <w:tcPr>
            <w:tcW w:w="2692" w:type="dxa"/>
          </w:tcPr>
          <w:p w14:paraId="0D567D0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{"citationID":"kwdpLT2g","properties":{"formattedCitation":"(8)","plainCitation":"(8)","noteIndex":0},"citationItems":[{"id":299,"uris":["http://zotero.org/users/local/qnIpXHeo/items/HAB6TKEG"],"itemData":{"id":299,"type":"document","abstract":"Evidence-based recommendations on aflibercept (Eylea) solution for injection for treating wet age-related macular degeneration","language":"eng","note":"publisher: NICE","title":"Macula degeneration Appendix J: Health Economics","URL":"https://www.nice.org.uk/guidance/ta294/chapter/3-The-manufacturers-submission#cost-effectiveness","author":[{"family":"NICE","given":""}],"accessed":{"date-parts":[["2024",1,10]]},"issued":{"date-parts":[["2018"]]}}}],"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sz w:val="20"/>
                <w:lang w:val="en-GB"/>
              </w:rPr>
              <w:t>(8)</w:t>
            </w:r>
            <w:r w:rsidRPr="0030308C">
              <w:rPr>
                <w:rFonts w:ascii="Arial" w:hAnsi="Arial" w:cs="Arial"/>
                <w:color w:val="000000" w:themeColor="text1"/>
                <w:sz w:val="20"/>
                <w:szCs w:val="20"/>
              </w:rPr>
              <w:fldChar w:fldCharType="end"/>
            </w:r>
          </w:p>
        </w:tc>
      </w:tr>
      <w:tr w:rsidR="00E61562" w:rsidRPr="0030308C" w14:paraId="712BCE8E" w14:textId="77777777" w:rsidTr="000E0C52">
        <w:tc>
          <w:tcPr>
            <w:tcW w:w="3119" w:type="dxa"/>
          </w:tcPr>
          <w:p w14:paraId="13948A43"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Implant insertion</w:t>
            </w:r>
          </w:p>
        </w:tc>
        <w:tc>
          <w:tcPr>
            <w:tcW w:w="1843" w:type="dxa"/>
          </w:tcPr>
          <w:p w14:paraId="4488E96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-0.13</w:t>
            </w:r>
          </w:p>
        </w:tc>
        <w:tc>
          <w:tcPr>
            <w:tcW w:w="1701" w:type="dxa"/>
          </w:tcPr>
          <w:p w14:paraId="536F160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 week</w:t>
            </w:r>
          </w:p>
        </w:tc>
        <w:tc>
          <w:tcPr>
            <w:tcW w:w="2263" w:type="dxa"/>
          </w:tcPr>
          <w:p w14:paraId="67AD86F9"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-0.0025</w:t>
            </w:r>
          </w:p>
        </w:tc>
        <w:tc>
          <w:tcPr>
            <w:tcW w:w="2692" w:type="dxa"/>
          </w:tcPr>
          <w:p w14:paraId="071FFCA4"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{"citationID":"PEXeVYUI","properties":{"formattedCitation":"(9)","plainCitation":"(9)","noteIndex":0},"citationItems":[{"id":344,"uris":["http://zotero.org/users/local/qnIpXHeo/items/QDL3J679"],"itemData":{"id":344,"type":"article-journal","abstract":"Purpose\nTo quantify the cost-utility ratio of the ranibizumab Port Delivery System (PDS; SUSVIMO) versus intravitreal ranibizumab injections for treating neovascular age-related macular degeneration (nAMD) based upon Archway Phase 3 Trial data.\nDesign\nCost-utility analysis.\nSubjects\nArchway Phase 3 Clinical Trial nAMD participants previously responsive to anti-VEGF therapy were randomized 3:2. Two hundred forty received PDS refills q 24 weeks and 162 received ranibizumab injections.\nMethods\nOphthalmic patient, time tradeoff utilities, direct medical and societal cost perspectives, 12-year, 1-year, and 5-year timelines, United States 2022 real dollars, and a 3% annual discount rate were employed. Utilities were adjusted for nAMD conversion in fellow eyes during the 12-year, mean participant life expectancy. Premature death associated with severe vision loss was integrated as per the population-based Salisbury Eye Evaluation Study.\nMain Outcome Measures\nQuality-adjusted life-year (QALY) accruals, costs, and incremental and average cost-utility ratios in $/QALY (dollars expended per QALY gained).\nResults\nVersus no therapy, the 1-year PDS QALY gain was 0.0156 (6.8%) versus 0.0063 (0.82%) for intravitreal injections (P &lt; 0.001), whereas the respective 12-year QALY gains were 1.714 (28%) and 1.639 (26.8%) (P = 0.99). One-year direct PDS ophthalmic costs totaled $21 825 with 2 ranibizumab fills, whereas ranibizumab injection therapy totaled $18 405 with 11.8 injections. The 1-year incremental PDS $/QALY versus injections was cost effective at $75 497/QALY. Five-year PDS therapy was not incrementally cost effective at $304 108/QALY, nor was the 12-year therapy at $761 646/QALY. Average 12-year cost-utility ratios were $78 773/QALY for the PDS and $47 917/QALY for injection therapy. Adding −$476 442 12-year offsetting societal costs netted $314 521 to society per PDS participant versus $370 958 per participant for injection therapy.\nConclusions\nRanibizumab PDS therapy was not incrementally cost effective versus ranibizumab injection therapy at 12 or 5 years but was at 1 year. Injection therapy had a more favorable 12-year average cost-utility ratio. Vision gain was the major determinant of participant value gain and was the same for both interventions. Both interventions were highly cost effective utilizing average cost-utility analysis with the societal cost perspective.\nFinancial Disclosure(s)\nProprietary or commercial disclosure may be found in the Footnotes and Disclosures at the end of this article.","container-title":"Ophthalmology Retina","DOI":"10.1016/j.oret.2023.11.002","ISSN":"2468-6530","journalAbbreviation":"Ophthalmology Retina","source":"ScienceDirect","title":"Cost-Utility Analysis of the Port Delivery System with Ranibizumab for Neovascular Age-Related Macular Degeneration","URL":"https://www.sciencedirect.com/science/article/pii/S246865302300578X","author":[{"family":"Brown","given":"Gary C."},{"family":"Brown","given":"Melissa M."},{"family":"Monigle","given":"Meg C."}],"accessed":{"date-parts":[["2024",1,11]]},"issued":{"date-parts":[["2023",11,21]]}}}],"schema":"https://github.com/citation-style-language/schema/raw/master/csl-citation.json"}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(9)</w:t>
            </w:r>
            <w:r w:rsidRPr="0030308C">
              <w:rPr>
                <w:rFonts w:ascii="Arial" w:hAnsi="Arial" w:cs="Arial"/>
                <w:color w:val="000000" w:themeColor="text1"/>
                <w:sz w:val="20"/>
                <w:szCs w:val="20"/>
              </w:rPr>
              <w:fldChar w:fldCharType="end"/>
            </w:r>
          </w:p>
        </w:tc>
      </w:tr>
      <w:tr w:rsidR="00E61562" w:rsidRPr="0030308C" w14:paraId="49FEFB58" w14:textId="77777777" w:rsidTr="000E0C52">
        <w:tc>
          <w:tcPr>
            <w:tcW w:w="3119" w:type="dxa"/>
          </w:tcPr>
          <w:p w14:paraId="38A0198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Injection anxiety/pain</w:t>
            </w:r>
          </w:p>
        </w:tc>
        <w:tc>
          <w:tcPr>
            <w:tcW w:w="1843" w:type="dxa"/>
          </w:tcPr>
          <w:p w14:paraId="70FFC76C"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 xml:space="preserve">100% </w:t>
            </w:r>
            <w:proofErr w:type="spellStart"/>
            <w:r w:rsidRPr="0030308C">
              <w:rPr>
                <w:rFonts w:ascii="Arial" w:hAnsi="Arial" w:cs="Arial"/>
                <w:color w:val="000000" w:themeColor="text1"/>
                <w:sz w:val="20"/>
                <w:szCs w:val="20"/>
              </w:rPr>
              <w:t>HRQoL</w:t>
            </w:r>
            <w:proofErr w:type="spellEnd"/>
            <w:r w:rsidRPr="0030308C">
              <w:rPr>
                <w:rFonts w:ascii="Arial" w:hAnsi="Arial" w:cs="Arial"/>
                <w:color w:val="000000" w:themeColor="text1"/>
                <w:sz w:val="20"/>
                <w:szCs w:val="20"/>
              </w:rPr>
              <w:t xml:space="preserve"> loss</w:t>
            </w:r>
          </w:p>
        </w:tc>
        <w:tc>
          <w:tcPr>
            <w:tcW w:w="1701" w:type="dxa"/>
          </w:tcPr>
          <w:p w14:paraId="1F927EB6"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 day</w:t>
            </w:r>
          </w:p>
        </w:tc>
        <w:tc>
          <w:tcPr>
            <w:tcW w:w="2263" w:type="dxa"/>
          </w:tcPr>
          <w:p w14:paraId="5213C4FD" w14:textId="77777777" w:rsidR="00E61562" w:rsidRPr="0030308C" w:rsidRDefault="00E61562" w:rsidP="000E0C52">
            <w:pPr>
              <w:pStyle w:val="NormalWeb"/>
              <w:rPr>
                <w:rFonts w:ascii="Arial" w:hAnsi="Arial" w:cs="Arial"/>
                <w:color w:val="000000" w:themeColor="text1"/>
                <w:sz w:val="20"/>
                <w:szCs w:val="20"/>
              </w:rPr>
            </w:pPr>
            <w:r w:rsidRPr="0030308C">
              <w:rPr>
                <w:rFonts w:ascii="Arial" w:hAnsi="Arial" w:cs="Arial"/>
                <w:color w:val="000000" w:themeColor="text1"/>
                <w:sz w:val="20"/>
                <w:szCs w:val="20"/>
              </w:rPr>
              <w:t xml:space="preserve">e.g. 0.003 (Illustrative </w:t>
            </w:r>
            <w:proofErr w:type="spellStart"/>
            <w:r w:rsidRPr="0030308C">
              <w:rPr>
                <w:rFonts w:ascii="Arial" w:hAnsi="Arial" w:cs="Arial"/>
                <w:color w:val="000000" w:themeColor="text1"/>
                <w:sz w:val="20"/>
                <w:szCs w:val="20"/>
              </w:rPr>
              <w:t>HRQoL</w:t>
            </w:r>
            <w:proofErr w:type="spellEnd"/>
            <w:r w:rsidRPr="0030308C">
              <w:rPr>
                <w:rFonts w:ascii="Arial" w:hAnsi="Arial" w:cs="Arial"/>
                <w:color w:val="000000" w:themeColor="text1"/>
                <w:sz w:val="20"/>
                <w:szCs w:val="20"/>
              </w:rPr>
              <w:t xml:space="preserve"> loss from 1 year of otherwise perfect health)</w:t>
            </w:r>
          </w:p>
        </w:tc>
        <w:tc>
          <w:tcPr>
            <w:tcW w:w="2692" w:type="dxa"/>
          </w:tcPr>
          <w:p w14:paraId="5B78F294"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{"citationID":"oif7FBb7","properties":{"formattedCitation":"(8)","plainCitation":"(8)","noteIndex":0},"citationItems":[{"id":299,"uris":["http://zotero.org/users/local/qnIpXHeo/items/HAB6TKEG"],"itemData":{"id":299,"type":"document","abstract":"Evidence-based recommendations on aflibercept (Eylea) solution for injection for treating wet age-related macular degeneration","language":"eng","note":"publisher: NICE","title":"Macula degeneration Appendix J: Health Economics","URL":"https://www.nice.org.uk/guidance/ta294/chapter/3-The-manufacturers-submission#cost-effectiveness","author":[{"family":"NICE","given":""}],"accessed":{"date-parts":[["2024",1,10]]},"issued":{"date-parts":[["2018"]]}}}],"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sz w:val="20"/>
                <w:lang w:val="en-GB"/>
              </w:rPr>
              <w:t>(8)</w:t>
            </w:r>
            <w:r w:rsidRPr="0030308C">
              <w:rPr>
                <w:rFonts w:ascii="Arial" w:hAnsi="Arial" w:cs="Arial"/>
                <w:color w:val="000000" w:themeColor="text1"/>
                <w:sz w:val="20"/>
                <w:szCs w:val="20"/>
              </w:rPr>
              <w:fldChar w:fldCharType="end"/>
            </w:r>
          </w:p>
        </w:tc>
      </w:tr>
      <w:bookmarkEnd w:id="9"/>
    </w:tbl>
    <w:p w14:paraId="55FD482B" w14:textId="77777777" w:rsidR="00E61562" w:rsidRPr="0030308C" w:rsidRDefault="00E61562" w:rsidP="00E61562">
      <w:pPr>
        <w:rPr>
          <w:rFonts w:ascii="Arial" w:hAnsi="Arial" w:cs="Arial"/>
          <w:color w:val="000000" w:themeColor="text1"/>
          <w:sz w:val="20"/>
          <w:szCs w:val="20"/>
          <w:lang w:val="en-US"/>
        </w:rPr>
        <w:sectPr w:rsidR="00E61562" w:rsidRPr="0030308C" w:rsidSect="00E61562">
          <w:pgSz w:w="11906" w:h="16838"/>
          <w:pgMar w:top="1440" w:right="1440" w:bottom="1440" w:left="1440" w:header="708" w:footer="708" w:gutter="0"/>
          <w:cols w:space="708"/>
          <w:titlePg/>
          <w:docGrid w:linePitch="360"/>
        </w:sectPr>
      </w:pPr>
    </w:p>
    <w:p w14:paraId="70C6745B" w14:textId="77777777" w:rsidR="00E61562" w:rsidRPr="0030308C" w:rsidRDefault="00E61562" w:rsidP="00E61562">
      <w:pPr>
        <w:pStyle w:val="Caption"/>
        <w:keepNext/>
        <w:jc w:val="both"/>
        <w:rPr>
          <w:rFonts w:ascii="Arial" w:hAnsi="Arial" w:cs="Arial"/>
          <w:b/>
          <w:bCs/>
          <w:i w:val="0"/>
          <w:iCs w:val="0"/>
          <w:color w:val="000000" w:themeColor="text1"/>
          <w:sz w:val="24"/>
          <w:szCs w:val="24"/>
        </w:rPr>
      </w:pPr>
      <w:bookmarkStart w:id="10" w:name="_Toc168139201"/>
      <w:r>
        <w:rPr>
          <w:rFonts w:ascii="Arial" w:hAnsi="Arial" w:cs="Arial"/>
          <w:b/>
          <w:bCs/>
          <w:i w:val="0"/>
          <w:iCs w:val="0"/>
          <w:color w:val="000000" w:themeColor="text1"/>
          <w:sz w:val="24"/>
          <w:szCs w:val="24"/>
        </w:rPr>
        <w:lastRenderedPageBreak/>
        <w:t>eTable6</w:t>
      </w:r>
      <w:r w:rsidRPr="0030308C">
        <w:rPr>
          <w:rFonts w:ascii="Arial" w:hAnsi="Arial" w:cs="Arial"/>
          <w:b/>
          <w:bCs/>
          <w:i w:val="0"/>
          <w:iCs w:val="0"/>
          <w:color w:val="000000" w:themeColor="text1"/>
          <w:sz w:val="24"/>
          <w:szCs w:val="24"/>
        </w:rPr>
        <w:t>. Health-related quality of life (</w:t>
      </w:r>
      <w:proofErr w:type="spellStart"/>
      <w:r w:rsidRPr="0030308C">
        <w:rPr>
          <w:rFonts w:ascii="Arial" w:hAnsi="Arial" w:cs="Arial"/>
          <w:b/>
          <w:bCs/>
          <w:i w:val="0"/>
          <w:iCs w:val="0"/>
          <w:color w:val="000000" w:themeColor="text1"/>
          <w:sz w:val="24"/>
          <w:szCs w:val="24"/>
        </w:rPr>
        <w:t>HRQoL</w:t>
      </w:r>
      <w:proofErr w:type="spellEnd"/>
      <w:r w:rsidRPr="0030308C">
        <w:rPr>
          <w:rFonts w:ascii="Arial" w:hAnsi="Arial" w:cs="Arial"/>
          <w:b/>
          <w:bCs/>
          <w:i w:val="0"/>
          <w:iCs w:val="0"/>
          <w:color w:val="000000" w:themeColor="text1"/>
          <w:sz w:val="24"/>
          <w:szCs w:val="24"/>
        </w:rPr>
        <w:t xml:space="preserve">) decrement values with probabilistic analysis distributions. </w:t>
      </w:r>
      <w:bookmarkEnd w:id="10"/>
    </w:p>
    <w:tbl>
      <w:tblPr>
        <w:tblStyle w:val="TableGridLight"/>
        <w:tblW w:w="1630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3289"/>
        <w:gridCol w:w="2410"/>
        <w:gridCol w:w="1932"/>
        <w:gridCol w:w="4022"/>
      </w:tblGrid>
      <w:tr w:rsidR="00E61562" w:rsidRPr="0030308C" w14:paraId="39BDA8EC" w14:textId="77777777" w:rsidTr="000E0C52">
        <w:trPr>
          <w:jc w:val="center"/>
        </w:trPr>
        <w:tc>
          <w:tcPr>
            <w:tcW w:w="4649" w:type="dxa"/>
            <w:tcBorders>
              <w:bottom w:val="single" w:sz="4" w:space="0" w:color="auto"/>
            </w:tcBorders>
          </w:tcPr>
          <w:p w14:paraId="086AC5FE" w14:textId="77777777" w:rsidR="00E61562" w:rsidRPr="0030308C" w:rsidRDefault="00E61562" w:rsidP="000E0C52">
            <w:pPr>
              <w:rPr>
                <w:rFonts w:ascii="Arial" w:hAnsi="Arial" w:cs="Arial"/>
                <w:b/>
                <w:bCs/>
                <w:color w:val="000000" w:themeColor="text1"/>
                <w:sz w:val="20"/>
                <w:szCs w:val="20"/>
              </w:rPr>
            </w:pPr>
            <w:r w:rsidRPr="0030308C">
              <w:rPr>
                <w:rFonts w:ascii="Arial" w:hAnsi="Arial" w:cs="Arial"/>
                <w:b/>
                <w:bCs/>
                <w:color w:val="000000" w:themeColor="text1"/>
                <w:sz w:val="20"/>
                <w:szCs w:val="20"/>
              </w:rPr>
              <w:t xml:space="preserve">Health-related </w:t>
            </w:r>
            <w:proofErr w:type="spellStart"/>
            <w:r w:rsidRPr="0030308C">
              <w:rPr>
                <w:rFonts w:ascii="Arial" w:hAnsi="Arial" w:cs="Arial"/>
                <w:b/>
                <w:bCs/>
                <w:color w:val="000000" w:themeColor="text1"/>
                <w:sz w:val="20"/>
                <w:szCs w:val="20"/>
              </w:rPr>
              <w:t>HRQoL</w:t>
            </w:r>
            <w:proofErr w:type="spellEnd"/>
            <w:r w:rsidRPr="0030308C">
              <w:rPr>
                <w:rFonts w:ascii="Arial" w:hAnsi="Arial" w:cs="Arial"/>
                <w:b/>
                <w:bCs/>
                <w:color w:val="000000" w:themeColor="text1"/>
                <w:sz w:val="20"/>
                <w:szCs w:val="20"/>
              </w:rPr>
              <w:t xml:space="preserve"> decrement values</w:t>
            </w:r>
          </w:p>
        </w:tc>
        <w:tc>
          <w:tcPr>
            <w:tcW w:w="3289" w:type="dxa"/>
            <w:tcBorders>
              <w:bottom w:val="single" w:sz="4" w:space="0" w:color="auto"/>
            </w:tcBorders>
          </w:tcPr>
          <w:p w14:paraId="033A4937" w14:textId="77777777" w:rsidR="00E61562" w:rsidRPr="0030308C" w:rsidRDefault="00E61562" w:rsidP="000E0C52">
            <w:pPr>
              <w:jc w:val="both"/>
              <w:rPr>
                <w:rFonts w:ascii="Arial" w:hAnsi="Arial" w:cs="Arial"/>
                <w:b/>
                <w:bCs/>
                <w:color w:val="000000" w:themeColor="text1"/>
                <w:sz w:val="20"/>
                <w:szCs w:val="20"/>
                <w:vertAlign w:val="superscript"/>
              </w:rPr>
            </w:pPr>
            <w:proofErr w:type="spellStart"/>
            <w:r w:rsidRPr="0030308C">
              <w:rPr>
                <w:rFonts w:ascii="Arial" w:hAnsi="Arial" w:cs="Arial"/>
                <w:b/>
                <w:bCs/>
                <w:color w:val="000000" w:themeColor="text1"/>
                <w:sz w:val="20"/>
                <w:szCs w:val="20"/>
              </w:rPr>
              <w:t>Value</w:t>
            </w:r>
            <w:r w:rsidRPr="0030308C">
              <w:rPr>
                <w:rFonts w:ascii="Arial" w:hAnsi="Arial" w:cs="Arial"/>
                <w:b/>
                <w:bCs/>
                <w:color w:val="000000" w:themeColor="text1"/>
                <w:sz w:val="20"/>
                <w:szCs w:val="20"/>
                <w:vertAlign w:val="superscript"/>
              </w:rPr>
              <w:t>a</w:t>
            </w:r>
            <w:proofErr w:type="spellEnd"/>
          </w:p>
        </w:tc>
        <w:tc>
          <w:tcPr>
            <w:tcW w:w="2410" w:type="dxa"/>
            <w:tcBorders>
              <w:bottom w:val="single" w:sz="4" w:space="0" w:color="auto"/>
            </w:tcBorders>
          </w:tcPr>
          <w:p w14:paraId="6E176F56" w14:textId="77777777" w:rsidR="00E61562" w:rsidRPr="0030308C" w:rsidRDefault="00E61562" w:rsidP="000E0C52">
            <w:pPr>
              <w:jc w:val="both"/>
              <w:rPr>
                <w:rFonts w:ascii="Arial" w:hAnsi="Arial" w:cs="Arial"/>
                <w:b/>
                <w:bCs/>
                <w:color w:val="000000" w:themeColor="text1"/>
                <w:sz w:val="20"/>
                <w:szCs w:val="20"/>
                <w:vertAlign w:val="superscript"/>
              </w:rPr>
            </w:pPr>
            <w:r w:rsidRPr="0030308C">
              <w:rPr>
                <w:rFonts w:ascii="Arial" w:hAnsi="Arial" w:cs="Arial"/>
                <w:b/>
                <w:bCs/>
                <w:color w:val="000000" w:themeColor="text1"/>
                <w:sz w:val="20"/>
                <w:szCs w:val="20"/>
              </w:rPr>
              <w:t xml:space="preserve">Standard </w:t>
            </w:r>
            <w:proofErr w:type="spellStart"/>
            <w:r w:rsidRPr="0030308C">
              <w:rPr>
                <w:rFonts w:ascii="Arial" w:hAnsi="Arial" w:cs="Arial"/>
                <w:b/>
                <w:bCs/>
                <w:color w:val="000000" w:themeColor="text1"/>
                <w:sz w:val="20"/>
                <w:szCs w:val="20"/>
              </w:rPr>
              <w:t>error</w:t>
            </w:r>
            <w:r w:rsidRPr="0030308C">
              <w:rPr>
                <w:rFonts w:ascii="Arial" w:hAnsi="Arial" w:cs="Arial"/>
                <w:b/>
                <w:bCs/>
                <w:color w:val="000000" w:themeColor="text1"/>
                <w:sz w:val="20"/>
                <w:szCs w:val="20"/>
                <w:vertAlign w:val="superscript"/>
              </w:rPr>
              <w:t>b</w:t>
            </w:r>
            <w:proofErr w:type="spellEnd"/>
          </w:p>
        </w:tc>
        <w:tc>
          <w:tcPr>
            <w:tcW w:w="1932" w:type="dxa"/>
            <w:tcBorders>
              <w:bottom w:val="single" w:sz="4" w:space="0" w:color="auto"/>
            </w:tcBorders>
          </w:tcPr>
          <w:p w14:paraId="14172478" w14:textId="77777777" w:rsidR="00E61562" w:rsidRPr="0030308C" w:rsidRDefault="00E61562" w:rsidP="000E0C52">
            <w:pPr>
              <w:jc w:val="both"/>
              <w:rPr>
                <w:rFonts w:ascii="Arial" w:hAnsi="Arial" w:cs="Arial"/>
                <w:b/>
                <w:bCs/>
                <w:color w:val="000000" w:themeColor="text1"/>
                <w:sz w:val="20"/>
                <w:szCs w:val="20"/>
              </w:rPr>
            </w:pPr>
            <w:r w:rsidRPr="0030308C">
              <w:rPr>
                <w:rFonts w:ascii="Arial" w:hAnsi="Arial" w:cs="Arial"/>
                <w:b/>
                <w:bCs/>
                <w:color w:val="000000" w:themeColor="text1"/>
                <w:sz w:val="20"/>
                <w:szCs w:val="20"/>
              </w:rPr>
              <w:t>Distribution</w:t>
            </w:r>
          </w:p>
        </w:tc>
        <w:tc>
          <w:tcPr>
            <w:tcW w:w="4022" w:type="dxa"/>
            <w:tcBorders>
              <w:bottom w:val="single" w:sz="4" w:space="0" w:color="auto"/>
            </w:tcBorders>
          </w:tcPr>
          <w:p w14:paraId="56DEBB20" w14:textId="77777777" w:rsidR="00E61562" w:rsidRPr="0030308C" w:rsidRDefault="00E61562" w:rsidP="000E0C52">
            <w:pPr>
              <w:jc w:val="both"/>
              <w:rPr>
                <w:rFonts w:ascii="Arial" w:hAnsi="Arial" w:cs="Arial"/>
                <w:b/>
                <w:bCs/>
                <w:color w:val="000000" w:themeColor="text1"/>
                <w:sz w:val="20"/>
                <w:szCs w:val="20"/>
              </w:rPr>
            </w:pPr>
            <w:r w:rsidRPr="0030308C">
              <w:rPr>
                <w:rFonts w:ascii="Arial" w:hAnsi="Arial" w:cs="Arial"/>
                <w:b/>
                <w:bCs/>
                <w:color w:val="000000" w:themeColor="text1"/>
                <w:sz w:val="20"/>
                <w:szCs w:val="20"/>
              </w:rPr>
              <w:t>Source</w:t>
            </w:r>
          </w:p>
        </w:tc>
      </w:tr>
      <w:tr w:rsidR="00E61562" w:rsidRPr="0030308C" w14:paraId="0EEB2209" w14:textId="77777777" w:rsidTr="000E0C52">
        <w:trPr>
          <w:jc w:val="center"/>
        </w:trPr>
        <w:tc>
          <w:tcPr>
            <w:tcW w:w="4649" w:type="dxa"/>
            <w:tcBorders>
              <w:top w:val="single" w:sz="4" w:space="0" w:color="auto"/>
              <w:bottom w:val="single" w:sz="4" w:space="0" w:color="auto"/>
            </w:tcBorders>
          </w:tcPr>
          <w:p w14:paraId="3C062799" w14:textId="77777777" w:rsidR="00E61562" w:rsidRPr="005C0574" w:rsidRDefault="00E61562" w:rsidP="000E0C52">
            <w:pPr>
              <w:rPr>
                <w:rFonts w:ascii="Arial" w:hAnsi="Arial" w:cs="Arial"/>
                <w:b/>
                <w:bCs/>
                <w:color w:val="000000" w:themeColor="text1"/>
                <w:sz w:val="20"/>
                <w:szCs w:val="20"/>
              </w:rPr>
            </w:pPr>
            <w:r w:rsidRPr="005C0574">
              <w:rPr>
                <w:rFonts w:ascii="Arial" w:hAnsi="Arial" w:cs="Arial"/>
                <w:b/>
                <w:bCs/>
                <w:color w:val="000000" w:themeColor="text1"/>
                <w:sz w:val="20"/>
                <w:szCs w:val="20"/>
              </w:rPr>
              <w:t xml:space="preserve">Health-related </w:t>
            </w:r>
            <w:proofErr w:type="spellStart"/>
            <w:r w:rsidRPr="005C0574">
              <w:rPr>
                <w:rFonts w:ascii="Arial" w:hAnsi="Arial" w:cs="Arial"/>
                <w:b/>
                <w:bCs/>
                <w:color w:val="000000" w:themeColor="text1"/>
                <w:sz w:val="20"/>
                <w:szCs w:val="20"/>
              </w:rPr>
              <w:t>HRQoL</w:t>
            </w:r>
            <w:proofErr w:type="spellEnd"/>
            <w:r w:rsidRPr="005C0574">
              <w:rPr>
                <w:rFonts w:ascii="Arial" w:hAnsi="Arial" w:cs="Arial"/>
                <w:b/>
                <w:bCs/>
                <w:color w:val="000000" w:themeColor="text1"/>
                <w:sz w:val="20"/>
                <w:szCs w:val="20"/>
              </w:rPr>
              <w:t xml:space="preserve"> decrement values due to treatment</w:t>
            </w:r>
          </w:p>
        </w:tc>
        <w:tc>
          <w:tcPr>
            <w:tcW w:w="3289" w:type="dxa"/>
            <w:tcBorders>
              <w:top w:val="single" w:sz="4" w:space="0" w:color="auto"/>
              <w:bottom w:val="single" w:sz="4" w:space="0" w:color="auto"/>
            </w:tcBorders>
          </w:tcPr>
          <w:p w14:paraId="5329E575" w14:textId="77777777" w:rsidR="00E61562" w:rsidRPr="0030308C" w:rsidRDefault="00E61562" w:rsidP="000E0C52">
            <w:pPr>
              <w:jc w:val="both"/>
              <w:rPr>
                <w:rFonts w:ascii="Arial" w:hAnsi="Arial" w:cs="Arial"/>
                <w:color w:val="000000" w:themeColor="text1"/>
                <w:sz w:val="20"/>
                <w:szCs w:val="20"/>
              </w:rPr>
            </w:pPr>
          </w:p>
        </w:tc>
        <w:tc>
          <w:tcPr>
            <w:tcW w:w="2410" w:type="dxa"/>
            <w:tcBorders>
              <w:top w:val="single" w:sz="4" w:space="0" w:color="auto"/>
              <w:bottom w:val="single" w:sz="4" w:space="0" w:color="auto"/>
            </w:tcBorders>
          </w:tcPr>
          <w:p w14:paraId="0954A149" w14:textId="77777777" w:rsidR="00E61562" w:rsidRPr="0030308C" w:rsidRDefault="00E61562" w:rsidP="000E0C52">
            <w:pPr>
              <w:jc w:val="both"/>
              <w:rPr>
                <w:rFonts w:ascii="Arial" w:hAnsi="Arial" w:cs="Arial"/>
                <w:color w:val="000000" w:themeColor="text1"/>
                <w:sz w:val="20"/>
                <w:szCs w:val="20"/>
              </w:rPr>
            </w:pPr>
          </w:p>
        </w:tc>
        <w:tc>
          <w:tcPr>
            <w:tcW w:w="1932" w:type="dxa"/>
            <w:tcBorders>
              <w:top w:val="single" w:sz="4" w:space="0" w:color="auto"/>
              <w:bottom w:val="single" w:sz="4" w:space="0" w:color="auto"/>
            </w:tcBorders>
          </w:tcPr>
          <w:p w14:paraId="0EBC1097" w14:textId="77777777" w:rsidR="00E61562" w:rsidRPr="0030308C" w:rsidRDefault="00E61562" w:rsidP="000E0C52">
            <w:pPr>
              <w:jc w:val="both"/>
              <w:rPr>
                <w:rFonts w:ascii="Arial" w:hAnsi="Arial" w:cs="Arial"/>
                <w:color w:val="000000" w:themeColor="text1"/>
                <w:sz w:val="20"/>
                <w:szCs w:val="20"/>
              </w:rPr>
            </w:pPr>
          </w:p>
        </w:tc>
        <w:tc>
          <w:tcPr>
            <w:tcW w:w="4022" w:type="dxa"/>
            <w:tcBorders>
              <w:top w:val="single" w:sz="4" w:space="0" w:color="auto"/>
              <w:bottom w:val="single" w:sz="4" w:space="0" w:color="auto"/>
            </w:tcBorders>
          </w:tcPr>
          <w:p w14:paraId="5FD524A1" w14:textId="77777777" w:rsidR="00E61562" w:rsidRPr="0030308C" w:rsidRDefault="00E61562" w:rsidP="000E0C52">
            <w:pPr>
              <w:rPr>
                <w:rFonts w:ascii="Arial" w:hAnsi="Arial" w:cs="Arial"/>
                <w:color w:val="000000" w:themeColor="text1"/>
                <w:sz w:val="20"/>
                <w:szCs w:val="20"/>
              </w:rPr>
            </w:pPr>
          </w:p>
        </w:tc>
      </w:tr>
      <w:tr w:rsidR="00E61562" w:rsidRPr="0030308C" w14:paraId="70611711" w14:textId="77777777" w:rsidTr="000E0C52">
        <w:trPr>
          <w:jc w:val="center"/>
        </w:trPr>
        <w:tc>
          <w:tcPr>
            <w:tcW w:w="4649" w:type="dxa"/>
            <w:tcBorders>
              <w:top w:val="single" w:sz="4" w:space="0" w:color="auto"/>
            </w:tcBorders>
          </w:tcPr>
          <w:p w14:paraId="6D857C2C" w14:textId="77777777" w:rsidR="00E61562" w:rsidRPr="0030308C" w:rsidRDefault="00E61562" w:rsidP="000E0C52">
            <w:pPr>
              <w:rPr>
                <w:rFonts w:ascii="Arial" w:hAnsi="Arial" w:cs="Arial"/>
                <w:color w:val="000000" w:themeColor="text1"/>
                <w:sz w:val="20"/>
                <w:szCs w:val="20"/>
              </w:rPr>
            </w:pPr>
            <w:proofErr w:type="spellStart"/>
            <w:r w:rsidRPr="0030308C">
              <w:rPr>
                <w:rFonts w:ascii="Arial" w:hAnsi="Arial" w:cs="Arial"/>
                <w:color w:val="000000" w:themeColor="text1"/>
                <w:sz w:val="20"/>
                <w:szCs w:val="20"/>
              </w:rPr>
              <w:t>HRQoL</w:t>
            </w:r>
            <w:proofErr w:type="spellEnd"/>
            <w:r w:rsidRPr="0030308C">
              <w:rPr>
                <w:rFonts w:ascii="Arial" w:hAnsi="Arial" w:cs="Arial"/>
                <w:color w:val="000000" w:themeColor="text1"/>
                <w:sz w:val="20"/>
                <w:szCs w:val="20"/>
              </w:rPr>
              <w:t xml:space="preserve"> decrement IV injection</w:t>
            </w:r>
          </w:p>
        </w:tc>
        <w:tc>
          <w:tcPr>
            <w:tcW w:w="3289" w:type="dxa"/>
            <w:tcBorders>
              <w:top w:val="single" w:sz="4" w:space="0" w:color="auto"/>
            </w:tcBorders>
          </w:tcPr>
          <w:p w14:paraId="34F99A13"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 xml:space="preserve">100% </w:t>
            </w:r>
            <w:proofErr w:type="spellStart"/>
            <w:r w:rsidRPr="0030308C">
              <w:rPr>
                <w:rFonts w:ascii="Arial" w:hAnsi="Arial" w:cs="Arial"/>
                <w:color w:val="000000" w:themeColor="text1"/>
                <w:sz w:val="20"/>
                <w:szCs w:val="20"/>
              </w:rPr>
              <w:t>HRQoL</w:t>
            </w:r>
            <w:proofErr w:type="spellEnd"/>
            <w:r w:rsidRPr="0030308C">
              <w:rPr>
                <w:rFonts w:ascii="Arial" w:hAnsi="Arial" w:cs="Arial"/>
                <w:color w:val="000000" w:themeColor="text1"/>
                <w:sz w:val="20"/>
                <w:szCs w:val="20"/>
              </w:rPr>
              <w:t xml:space="preserve"> loss for 1 day for 50% of patients</w:t>
            </w:r>
          </w:p>
        </w:tc>
        <w:tc>
          <w:tcPr>
            <w:tcW w:w="2410" w:type="dxa"/>
            <w:tcBorders>
              <w:top w:val="single" w:sz="4" w:space="0" w:color="auto"/>
            </w:tcBorders>
          </w:tcPr>
          <w:p w14:paraId="66988891" w14:textId="77777777" w:rsidR="00E61562" w:rsidRPr="0030308C" w:rsidRDefault="00E61562" w:rsidP="000E0C52">
            <w:pPr>
              <w:jc w:val="both"/>
              <w:rPr>
                <w:rFonts w:ascii="Arial" w:hAnsi="Arial" w:cs="Arial"/>
                <w:color w:val="000000" w:themeColor="text1"/>
                <w:sz w:val="20"/>
                <w:szCs w:val="20"/>
              </w:rPr>
            </w:pPr>
          </w:p>
        </w:tc>
        <w:tc>
          <w:tcPr>
            <w:tcW w:w="1932" w:type="dxa"/>
            <w:tcBorders>
              <w:top w:val="single" w:sz="4" w:space="0" w:color="auto"/>
            </w:tcBorders>
          </w:tcPr>
          <w:p w14:paraId="04BC0F53"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Beta</w:t>
            </w:r>
          </w:p>
        </w:tc>
        <w:tc>
          <w:tcPr>
            <w:tcW w:w="4022" w:type="dxa"/>
            <w:tcBorders>
              <w:top w:val="single" w:sz="4" w:space="0" w:color="auto"/>
            </w:tcBorders>
          </w:tcPr>
          <w:p w14:paraId="3DA4A52A"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Only include</w:t>
            </w:r>
            <w:r>
              <w:rPr>
                <w:rFonts w:ascii="Arial" w:hAnsi="Arial" w:cs="Arial"/>
                <w:color w:val="000000" w:themeColor="text1"/>
                <w:sz w:val="20"/>
                <w:szCs w:val="20"/>
              </w:rPr>
              <w:t>d</w:t>
            </w:r>
            <w:r w:rsidRPr="0030308C">
              <w:rPr>
                <w:rFonts w:ascii="Arial" w:hAnsi="Arial" w:cs="Arial"/>
                <w:color w:val="000000" w:themeColor="text1"/>
                <w:sz w:val="20"/>
                <w:szCs w:val="20"/>
              </w:rPr>
              <w:t xml:space="preserve"> 50% of patients in the probabilistic analysis</w:t>
            </w:r>
          </w:p>
        </w:tc>
      </w:tr>
      <w:tr w:rsidR="00E61562" w:rsidRPr="0030308C" w14:paraId="34F0F9F0" w14:textId="77777777" w:rsidTr="000E0C52">
        <w:trPr>
          <w:jc w:val="center"/>
        </w:trPr>
        <w:tc>
          <w:tcPr>
            <w:tcW w:w="4649" w:type="dxa"/>
          </w:tcPr>
          <w:p w14:paraId="57BEED12" w14:textId="77777777" w:rsidR="00E61562" w:rsidRPr="0030308C" w:rsidRDefault="00E61562" w:rsidP="000E0C52">
            <w:pPr>
              <w:rPr>
                <w:rFonts w:ascii="Arial" w:hAnsi="Arial" w:cs="Arial"/>
                <w:color w:val="000000" w:themeColor="text1"/>
                <w:sz w:val="20"/>
                <w:szCs w:val="20"/>
              </w:rPr>
            </w:pPr>
            <w:proofErr w:type="spellStart"/>
            <w:r w:rsidRPr="0030308C">
              <w:rPr>
                <w:rFonts w:ascii="Arial" w:hAnsi="Arial" w:cs="Arial"/>
                <w:color w:val="000000" w:themeColor="text1"/>
                <w:sz w:val="20"/>
                <w:szCs w:val="20"/>
              </w:rPr>
              <w:t>HRQoL</w:t>
            </w:r>
            <w:proofErr w:type="spellEnd"/>
            <w:r w:rsidRPr="0030308C">
              <w:rPr>
                <w:rFonts w:ascii="Arial" w:hAnsi="Arial" w:cs="Arial"/>
                <w:color w:val="000000" w:themeColor="text1"/>
                <w:sz w:val="20"/>
                <w:szCs w:val="20"/>
              </w:rPr>
              <w:t xml:space="preserve"> decrement PDP insertion </w:t>
            </w:r>
          </w:p>
        </w:tc>
        <w:tc>
          <w:tcPr>
            <w:tcW w:w="3289" w:type="dxa"/>
          </w:tcPr>
          <w:p w14:paraId="5299BC28"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0.13</w:t>
            </w:r>
          </w:p>
        </w:tc>
        <w:tc>
          <w:tcPr>
            <w:tcW w:w="2410" w:type="dxa"/>
          </w:tcPr>
          <w:p w14:paraId="6ED42498"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0.013</w:t>
            </w:r>
          </w:p>
        </w:tc>
        <w:tc>
          <w:tcPr>
            <w:tcW w:w="1932" w:type="dxa"/>
          </w:tcPr>
          <w:p w14:paraId="5B8CC1CB"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Beta</w:t>
            </w:r>
          </w:p>
        </w:tc>
        <w:tc>
          <w:tcPr>
            <w:tcW w:w="4022" w:type="dxa"/>
          </w:tcPr>
          <w:p w14:paraId="41F37C36"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Assumed 10% SE</w:t>
            </w:r>
          </w:p>
        </w:tc>
      </w:tr>
      <w:tr w:rsidR="00E61562" w:rsidRPr="0030308C" w14:paraId="648DDB3F" w14:textId="77777777" w:rsidTr="000E0C52">
        <w:trPr>
          <w:jc w:val="center"/>
        </w:trPr>
        <w:tc>
          <w:tcPr>
            <w:tcW w:w="4649" w:type="dxa"/>
          </w:tcPr>
          <w:p w14:paraId="1BB1294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 xml:space="preserve">Duration </w:t>
            </w:r>
            <w:proofErr w:type="spellStart"/>
            <w:r w:rsidRPr="0030308C">
              <w:rPr>
                <w:rFonts w:ascii="Arial" w:hAnsi="Arial" w:cs="Arial"/>
                <w:color w:val="000000" w:themeColor="text1"/>
                <w:sz w:val="20"/>
                <w:szCs w:val="20"/>
              </w:rPr>
              <w:t>HRQoL</w:t>
            </w:r>
            <w:proofErr w:type="spellEnd"/>
            <w:r w:rsidRPr="0030308C">
              <w:rPr>
                <w:rFonts w:ascii="Arial" w:hAnsi="Arial" w:cs="Arial"/>
                <w:color w:val="000000" w:themeColor="text1"/>
                <w:sz w:val="20"/>
                <w:szCs w:val="20"/>
              </w:rPr>
              <w:t xml:space="preserve"> decrement PDP insertion in years</w:t>
            </w:r>
          </w:p>
        </w:tc>
        <w:tc>
          <w:tcPr>
            <w:tcW w:w="3289" w:type="dxa"/>
          </w:tcPr>
          <w:p w14:paraId="76887DDF"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0.04</w:t>
            </w:r>
          </w:p>
        </w:tc>
        <w:tc>
          <w:tcPr>
            <w:tcW w:w="2410" w:type="dxa"/>
          </w:tcPr>
          <w:p w14:paraId="6D51DD5A"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0.002</w:t>
            </w:r>
          </w:p>
        </w:tc>
        <w:tc>
          <w:tcPr>
            <w:tcW w:w="1932" w:type="dxa"/>
          </w:tcPr>
          <w:p w14:paraId="78A5C3F2"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4022" w:type="dxa"/>
          </w:tcPr>
          <w:p w14:paraId="0A5B1DA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Assumed 10% SE</w:t>
            </w:r>
          </w:p>
        </w:tc>
      </w:tr>
      <w:tr w:rsidR="00E61562" w:rsidRPr="0030308C" w14:paraId="20F16069" w14:textId="77777777" w:rsidTr="000E0C52">
        <w:trPr>
          <w:jc w:val="center"/>
        </w:trPr>
        <w:tc>
          <w:tcPr>
            <w:tcW w:w="4649" w:type="dxa"/>
          </w:tcPr>
          <w:p w14:paraId="3120ED95" w14:textId="77777777" w:rsidR="00E61562" w:rsidRPr="0030308C" w:rsidRDefault="00E61562" w:rsidP="000E0C52">
            <w:pPr>
              <w:rPr>
                <w:rFonts w:ascii="Arial" w:hAnsi="Arial" w:cs="Arial"/>
                <w:color w:val="000000" w:themeColor="text1"/>
                <w:sz w:val="20"/>
                <w:szCs w:val="20"/>
              </w:rPr>
            </w:pPr>
            <w:proofErr w:type="spellStart"/>
            <w:r w:rsidRPr="0030308C">
              <w:rPr>
                <w:rFonts w:ascii="Arial" w:hAnsi="Arial" w:cs="Arial"/>
                <w:color w:val="000000" w:themeColor="text1"/>
                <w:sz w:val="20"/>
                <w:szCs w:val="20"/>
              </w:rPr>
              <w:t>HRQoL</w:t>
            </w:r>
            <w:proofErr w:type="spellEnd"/>
            <w:r w:rsidRPr="0030308C">
              <w:rPr>
                <w:rFonts w:ascii="Arial" w:hAnsi="Arial" w:cs="Arial"/>
                <w:color w:val="000000" w:themeColor="text1"/>
                <w:sz w:val="20"/>
                <w:szCs w:val="20"/>
              </w:rPr>
              <w:t xml:space="preserve"> decrement PDP refill </w:t>
            </w:r>
          </w:p>
        </w:tc>
        <w:tc>
          <w:tcPr>
            <w:tcW w:w="3289" w:type="dxa"/>
          </w:tcPr>
          <w:p w14:paraId="574743F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 xml:space="preserve">100% </w:t>
            </w:r>
            <w:proofErr w:type="spellStart"/>
            <w:r w:rsidRPr="0030308C">
              <w:rPr>
                <w:rFonts w:ascii="Arial" w:hAnsi="Arial" w:cs="Arial"/>
                <w:color w:val="000000" w:themeColor="text1"/>
                <w:sz w:val="20"/>
                <w:szCs w:val="20"/>
              </w:rPr>
              <w:t>HRQoL</w:t>
            </w:r>
            <w:proofErr w:type="spellEnd"/>
            <w:r w:rsidRPr="0030308C">
              <w:rPr>
                <w:rFonts w:ascii="Arial" w:hAnsi="Arial" w:cs="Arial"/>
                <w:color w:val="000000" w:themeColor="text1"/>
                <w:sz w:val="20"/>
                <w:szCs w:val="20"/>
              </w:rPr>
              <w:t xml:space="preserve"> loss for 1 day for 50% of patients</w:t>
            </w:r>
          </w:p>
        </w:tc>
        <w:tc>
          <w:tcPr>
            <w:tcW w:w="2410" w:type="dxa"/>
          </w:tcPr>
          <w:p w14:paraId="64076EF0" w14:textId="77777777" w:rsidR="00E61562" w:rsidRPr="0030308C" w:rsidRDefault="00E61562" w:rsidP="000E0C52">
            <w:pPr>
              <w:jc w:val="both"/>
              <w:rPr>
                <w:rFonts w:ascii="Arial" w:hAnsi="Arial" w:cs="Arial"/>
                <w:color w:val="000000" w:themeColor="text1"/>
                <w:sz w:val="20"/>
                <w:szCs w:val="20"/>
              </w:rPr>
            </w:pPr>
          </w:p>
        </w:tc>
        <w:tc>
          <w:tcPr>
            <w:tcW w:w="1932" w:type="dxa"/>
          </w:tcPr>
          <w:p w14:paraId="0C37D1F8"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Beta</w:t>
            </w:r>
          </w:p>
        </w:tc>
        <w:tc>
          <w:tcPr>
            <w:tcW w:w="4022" w:type="dxa"/>
          </w:tcPr>
          <w:p w14:paraId="547ED65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Only included 50% of patients in the probabilistic analysis</w:t>
            </w:r>
          </w:p>
        </w:tc>
      </w:tr>
      <w:tr w:rsidR="00E61562" w:rsidRPr="0030308C" w14:paraId="1C79C62F" w14:textId="77777777" w:rsidTr="000E0C52">
        <w:trPr>
          <w:jc w:val="center"/>
        </w:trPr>
        <w:tc>
          <w:tcPr>
            <w:tcW w:w="4649" w:type="dxa"/>
          </w:tcPr>
          <w:p w14:paraId="670C5457"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 xml:space="preserve">Percentage of patients experiencing injection </w:t>
            </w:r>
            <w:proofErr w:type="spellStart"/>
            <w:r w:rsidRPr="0030308C">
              <w:rPr>
                <w:rFonts w:ascii="Arial" w:hAnsi="Arial" w:cs="Arial"/>
                <w:color w:val="000000" w:themeColor="text1"/>
                <w:sz w:val="20"/>
                <w:szCs w:val="20"/>
              </w:rPr>
              <w:t>HRQoL</w:t>
            </w:r>
            <w:proofErr w:type="spellEnd"/>
            <w:r w:rsidRPr="0030308C">
              <w:rPr>
                <w:rFonts w:ascii="Arial" w:hAnsi="Arial" w:cs="Arial"/>
                <w:color w:val="000000" w:themeColor="text1"/>
                <w:sz w:val="20"/>
                <w:szCs w:val="20"/>
              </w:rPr>
              <w:t xml:space="preserve"> decrement</w:t>
            </w:r>
          </w:p>
        </w:tc>
        <w:tc>
          <w:tcPr>
            <w:tcW w:w="3289" w:type="dxa"/>
          </w:tcPr>
          <w:p w14:paraId="5F0C7049"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0.5</w:t>
            </w:r>
          </w:p>
        </w:tc>
        <w:tc>
          <w:tcPr>
            <w:tcW w:w="2410" w:type="dxa"/>
          </w:tcPr>
          <w:p w14:paraId="7B3C82D2"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0.05</w:t>
            </w:r>
          </w:p>
        </w:tc>
        <w:tc>
          <w:tcPr>
            <w:tcW w:w="1932" w:type="dxa"/>
          </w:tcPr>
          <w:p w14:paraId="5B73BE7B"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Beta</w:t>
            </w:r>
          </w:p>
        </w:tc>
        <w:tc>
          <w:tcPr>
            <w:tcW w:w="4022" w:type="dxa"/>
          </w:tcPr>
          <w:p w14:paraId="025F48D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Assumed 10% SE</w:t>
            </w:r>
          </w:p>
        </w:tc>
      </w:tr>
      <w:tr w:rsidR="00E61562" w:rsidRPr="0030308C" w14:paraId="5837E886" w14:textId="77777777" w:rsidTr="000E0C52">
        <w:trPr>
          <w:jc w:val="center"/>
        </w:trPr>
        <w:tc>
          <w:tcPr>
            <w:tcW w:w="4649" w:type="dxa"/>
            <w:tcBorders>
              <w:bottom w:val="single" w:sz="4" w:space="0" w:color="auto"/>
            </w:tcBorders>
          </w:tcPr>
          <w:p w14:paraId="06B4B267"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 xml:space="preserve">Subgroup 4: percentage of patients experiencing injection </w:t>
            </w:r>
            <w:proofErr w:type="spellStart"/>
            <w:r w:rsidRPr="0030308C">
              <w:rPr>
                <w:rFonts w:ascii="Arial" w:hAnsi="Arial" w:cs="Arial"/>
                <w:color w:val="000000" w:themeColor="text1"/>
                <w:sz w:val="20"/>
                <w:szCs w:val="20"/>
              </w:rPr>
              <w:t>HRQoL</w:t>
            </w:r>
            <w:proofErr w:type="spellEnd"/>
            <w:r w:rsidRPr="0030308C">
              <w:rPr>
                <w:rFonts w:ascii="Arial" w:hAnsi="Arial" w:cs="Arial"/>
                <w:color w:val="000000" w:themeColor="text1"/>
                <w:sz w:val="20"/>
                <w:szCs w:val="20"/>
              </w:rPr>
              <w:t xml:space="preserve"> decrement</w:t>
            </w:r>
          </w:p>
        </w:tc>
        <w:tc>
          <w:tcPr>
            <w:tcW w:w="3289" w:type="dxa"/>
            <w:tcBorders>
              <w:bottom w:val="single" w:sz="4" w:space="0" w:color="auto"/>
            </w:tcBorders>
          </w:tcPr>
          <w:p w14:paraId="5D2CBBCF"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1</w:t>
            </w:r>
          </w:p>
        </w:tc>
        <w:tc>
          <w:tcPr>
            <w:tcW w:w="2410" w:type="dxa"/>
            <w:tcBorders>
              <w:bottom w:val="single" w:sz="4" w:space="0" w:color="auto"/>
            </w:tcBorders>
          </w:tcPr>
          <w:p w14:paraId="182DDC5A" w14:textId="77777777" w:rsidR="00E61562" w:rsidRPr="0030308C" w:rsidRDefault="00E61562" w:rsidP="000E0C52">
            <w:pPr>
              <w:jc w:val="both"/>
              <w:rPr>
                <w:rFonts w:ascii="Arial" w:hAnsi="Arial" w:cs="Arial"/>
                <w:color w:val="000000" w:themeColor="text1"/>
                <w:sz w:val="20"/>
                <w:szCs w:val="20"/>
              </w:rPr>
            </w:pPr>
          </w:p>
        </w:tc>
        <w:tc>
          <w:tcPr>
            <w:tcW w:w="1932" w:type="dxa"/>
            <w:tcBorders>
              <w:bottom w:val="single" w:sz="4" w:space="0" w:color="auto"/>
            </w:tcBorders>
          </w:tcPr>
          <w:p w14:paraId="326B2E9B" w14:textId="77777777" w:rsidR="00E61562" w:rsidRPr="0030308C" w:rsidRDefault="00E61562" w:rsidP="000E0C52">
            <w:pPr>
              <w:jc w:val="both"/>
              <w:rPr>
                <w:rFonts w:ascii="Arial" w:hAnsi="Arial" w:cs="Arial"/>
                <w:color w:val="000000" w:themeColor="text1"/>
                <w:sz w:val="20"/>
                <w:szCs w:val="20"/>
              </w:rPr>
            </w:pPr>
          </w:p>
        </w:tc>
        <w:tc>
          <w:tcPr>
            <w:tcW w:w="4022" w:type="dxa"/>
            <w:tcBorders>
              <w:bottom w:val="single" w:sz="4" w:space="0" w:color="auto"/>
            </w:tcBorders>
          </w:tcPr>
          <w:p w14:paraId="54E7B5D7" w14:textId="77777777" w:rsidR="00E61562" w:rsidRPr="0030308C" w:rsidRDefault="00E61562" w:rsidP="000E0C52">
            <w:pPr>
              <w:rPr>
                <w:rFonts w:ascii="Arial" w:hAnsi="Arial" w:cs="Arial"/>
                <w:color w:val="000000" w:themeColor="text1"/>
                <w:sz w:val="20"/>
                <w:szCs w:val="20"/>
              </w:rPr>
            </w:pPr>
          </w:p>
        </w:tc>
      </w:tr>
      <w:tr w:rsidR="00E61562" w:rsidRPr="0030308C" w14:paraId="7D502874" w14:textId="77777777" w:rsidTr="000E0C52">
        <w:trPr>
          <w:jc w:val="center"/>
        </w:trPr>
        <w:tc>
          <w:tcPr>
            <w:tcW w:w="4649" w:type="dxa"/>
            <w:tcBorders>
              <w:top w:val="single" w:sz="4" w:space="0" w:color="auto"/>
              <w:bottom w:val="single" w:sz="4" w:space="0" w:color="auto"/>
            </w:tcBorders>
          </w:tcPr>
          <w:p w14:paraId="73E03A56" w14:textId="77777777" w:rsidR="00E61562" w:rsidRPr="005C0574" w:rsidRDefault="00E61562" w:rsidP="000E0C52">
            <w:pPr>
              <w:rPr>
                <w:rFonts w:ascii="Arial" w:hAnsi="Arial" w:cs="Arial"/>
                <w:b/>
                <w:bCs/>
                <w:color w:val="000000" w:themeColor="text1"/>
                <w:sz w:val="20"/>
                <w:szCs w:val="20"/>
              </w:rPr>
            </w:pPr>
            <w:r w:rsidRPr="005C0574">
              <w:rPr>
                <w:rFonts w:ascii="Arial" w:hAnsi="Arial" w:cs="Arial"/>
                <w:b/>
                <w:bCs/>
                <w:color w:val="000000" w:themeColor="text1"/>
                <w:sz w:val="20"/>
                <w:szCs w:val="20"/>
              </w:rPr>
              <w:t xml:space="preserve">Health-related </w:t>
            </w:r>
            <w:proofErr w:type="spellStart"/>
            <w:r w:rsidRPr="005C0574">
              <w:rPr>
                <w:rFonts w:ascii="Arial" w:hAnsi="Arial" w:cs="Arial"/>
                <w:b/>
                <w:bCs/>
                <w:color w:val="000000" w:themeColor="text1"/>
                <w:sz w:val="20"/>
                <w:szCs w:val="20"/>
              </w:rPr>
              <w:t>HRQoL</w:t>
            </w:r>
            <w:proofErr w:type="spellEnd"/>
            <w:r w:rsidRPr="005C0574">
              <w:rPr>
                <w:rFonts w:ascii="Arial" w:hAnsi="Arial" w:cs="Arial"/>
                <w:b/>
                <w:bCs/>
                <w:color w:val="000000" w:themeColor="text1"/>
                <w:sz w:val="20"/>
                <w:szCs w:val="20"/>
              </w:rPr>
              <w:t xml:space="preserve"> decrement values due to adverse events</w:t>
            </w:r>
          </w:p>
        </w:tc>
        <w:tc>
          <w:tcPr>
            <w:tcW w:w="3289" w:type="dxa"/>
            <w:tcBorders>
              <w:top w:val="single" w:sz="4" w:space="0" w:color="auto"/>
              <w:bottom w:val="single" w:sz="4" w:space="0" w:color="auto"/>
            </w:tcBorders>
          </w:tcPr>
          <w:p w14:paraId="7C2AF764" w14:textId="77777777" w:rsidR="00E61562" w:rsidRPr="0030308C" w:rsidRDefault="00E61562" w:rsidP="000E0C52">
            <w:pPr>
              <w:jc w:val="both"/>
              <w:rPr>
                <w:rFonts w:ascii="Arial" w:hAnsi="Arial" w:cs="Arial"/>
                <w:color w:val="000000" w:themeColor="text1"/>
                <w:sz w:val="20"/>
                <w:szCs w:val="20"/>
              </w:rPr>
            </w:pPr>
          </w:p>
        </w:tc>
        <w:tc>
          <w:tcPr>
            <w:tcW w:w="2410" w:type="dxa"/>
            <w:tcBorders>
              <w:top w:val="single" w:sz="4" w:space="0" w:color="auto"/>
              <w:bottom w:val="single" w:sz="4" w:space="0" w:color="auto"/>
            </w:tcBorders>
          </w:tcPr>
          <w:p w14:paraId="1761A4CD" w14:textId="77777777" w:rsidR="00E61562" w:rsidRPr="0030308C" w:rsidRDefault="00E61562" w:rsidP="000E0C52">
            <w:pPr>
              <w:jc w:val="both"/>
              <w:rPr>
                <w:rFonts w:ascii="Arial" w:hAnsi="Arial" w:cs="Arial"/>
                <w:color w:val="000000" w:themeColor="text1"/>
                <w:sz w:val="20"/>
                <w:szCs w:val="20"/>
              </w:rPr>
            </w:pPr>
          </w:p>
        </w:tc>
        <w:tc>
          <w:tcPr>
            <w:tcW w:w="1932" w:type="dxa"/>
            <w:tcBorders>
              <w:top w:val="single" w:sz="4" w:space="0" w:color="auto"/>
              <w:bottom w:val="single" w:sz="4" w:space="0" w:color="auto"/>
            </w:tcBorders>
          </w:tcPr>
          <w:p w14:paraId="17FC0E7D" w14:textId="77777777" w:rsidR="00E61562" w:rsidRPr="0030308C" w:rsidRDefault="00E61562" w:rsidP="000E0C52">
            <w:pPr>
              <w:jc w:val="both"/>
              <w:rPr>
                <w:rFonts w:ascii="Arial" w:hAnsi="Arial" w:cs="Arial"/>
                <w:color w:val="000000" w:themeColor="text1"/>
                <w:sz w:val="20"/>
                <w:szCs w:val="20"/>
              </w:rPr>
            </w:pPr>
          </w:p>
        </w:tc>
        <w:tc>
          <w:tcPr>
            <w:tcW w:w="4022" w:type="dxa"/>
            <w:tcBorders>
              <w:top w:val="single" w:sz="4" w:space="0" w:color="auto"/>
              <w:bottom w:val="single" w:sz="4" w:space="0" w:color="auto"/>
            </w:tcBorders>
          </w:tcPr>
          <w:p w14:paraId="3BC485DC" w14:textId="77777777" w:rsidR="00E61562" w:rsidRPr="0030308C" w:rsidRDefault="00E61562" w:rsidP="000E0C52">
            <w:pPr>
              <w:rPr>
                <w:rFonts w:ascii="Arial" w:hAnsi="Arial" w:cs="Arial"/>
                <w:color w:val="000000" w:themeColor="text1"/>
                <w:sz w:val="20"/>
                <w:szCs w:val="20"/>
              </w:rPr>
            </w:pPr>
          </w:p>
        </w:tc>
      </w:tr>
      <w:tr w:rsidR="00E61562" w:rsidRPr="0030308C" w14:paraId="025CE908" w14:textId="77777777" w:rsidTr="000E0C52">
        <w:trPr>
          <w:jc w:val="center"/>
        </w:trPr>
        <w:tc>
          <w:tcPr>
            <w:tcW w:w="4649" w:type="dxa"/>
            <w:tcBorders>
              <w:top w:val="single" w:sz="4" w:space="0" w:color="auto"/>
            </w:tcBorders>
          </w:tcPr>
          <w:p w14:paraId="072CDAB0" w14:textId="77777777" w:rsidR="00E61562" w:rsidRPr="0030308C" w:rsidRDefault="00E61562" w:rsidP="000E0C52">
            <w:pPr>
              <w:rPr>
                <w:rFonts w:ascii="Arial" w:hAnsi="Arial" w:cs="Arial"/>
                <w:color w:val="000000" w:themeColor="text1"/>
                <w:sz w:val="20"/>
                <w:szCs w:val="20"/>
              </w:rPr>
            </w:pPr>
            <w:proofErr w:type="spellStart"/>
            <w:r w:rsidRPr="0030308C">
              <w:rPr>
                <w:rFonts w:ascii="Arial" w:hAnsi="Arial" w:cs="Arial"/>
                <w:color w:val="000000" w:themeColor="text1"/>
                <w:sz w:val="20"/>
                <w:szCs w:val="20"/>
              </w:rPr>
              <w:t>HRQoL</w:t>
            </w:r>
            <w:proofErr w:type="spellEnd"/>
            <w:r w:rsidRPr="0030308C">
              <w:rPr>
                <w:rFonts w:ascii="Arial" w:hAnsi="Arial" w:cs="Arial"/>
                <w:color w:val="000000" w:themeColor="text1"/>
                <w:sz w:val="20"/>
                <w:szCs w:val="20"/>
              </w:rPr>
              <w:t xml:space="preserve"> decrement Conjunctival bleb or conjunctival filtering bleb leak</w:t>
            </w:r>
          </w:p>
        </w:tc>
        <w:tc>
          <w:tcPr>
            <w:tcW w:w="3289" w:type="dxa"/>
            <w:tcBorders>
              <w:top w:val="single" w:sz="4" w:space="0" w:color="auto"/>
            </w:tcBorders>
          </w:tcPr>
          <w:p w14:paraId="5ECE3EAB"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0.13</w:t>
            </w:r>
          </w:p>
        </w:tc>
        <w:tc>
          <w:tcPr>
            <w:tcW w:w="2410" w:type="dxa"/>
            <w:tcBorders>
              <w:top w:val="single" w:sz="4" w:space="0" w:color="auto"/>
            </w:tcBorders>
          </w:tcPr>
          <w:p w14:paraId="294710D2"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0.015</w:t>
            </w:r>
          </w:p>
        </w:tc>
        <w:tc>
          <w:tcPr>
            <w:tcW w:w="1932" w:type="dxa"/>
            <w:tcBorders>
              <w:top w:val="single" w:sz="4" w:space="0" w:color="auto"/>
            </w:tcBorders>
          </w:tcPr>
          <w:p w14:paraId="265D14F1"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Beta</w:t>
            </w:r>
          </w:p>
        </w:tc>
        <w:tc>
          <w:tcPr>
            <w:tcW w:w="4022" w:type="dxa"/>
            <w:tcBorders>
              <w:top w:val="single" w:sz="4" w:space="0" w:color="auto"/>
            </w:tcBorders>
          </w:tcPr>
          <w:p w14:paraId="5BF9346C"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Assumed SE 10%.</w:t>
            </w:r>
          </w:p>
        </w:tc>
      </w:tr>
      <w:tr w:rsidR="00E61562" w:rsidRPr="0030308C" w14:paraId="34884503" w14:textId="77777777" w:rsidTr="000E0C52">
        <w:trPr>
          <w:jc w:val="center"/>
        </w:trPr>
        <w:tc>
          <w:tcPr>
            <w:tcW w:w="4649" w:type="dxa"/>
          </w:tcPr>
          <w:p w14:paraId="41648A8F" w14:textId="77777777" w:rsidR="00E61562" w:rsidRPr="0030308C" w:rsidRDefault="00E61562" w:rsidP="000E0C52">
            <w:pPr>
              <w:rPr>
                <w:rFonts w:ascii="Arial" w:hAnsi="Arial" w:cs="Arial"/>
                <w:color w:val="000000" w:themeColor="text1"/>
                <w:sz w:val="20"/>
                <w:szCs w:val="20"/>
              </w:rPr>
            </w:pPr>
            <w:proofErr w:type="spellStart"/>
            <w:r w:rsidRPr="0030308C">
              <w:rPr>
                <w:rFonts w:ascii="Arial" w:hAnsi="Arial" w:cs="Arial"/>
                <w:color w:val="000000" w:themeColor="text1"/>
                <w:sz w:val="20"/>
                <w:szCs w:val="20"/>
              </w:rPr>
              <w:t>HRQoL</w:t>
            </w:r>
            <w:proofErr w:type="spellEnd"/>
            <w:r w:rsidRPr="0030308C">
              <w:rPr>
                <w:rFonts w:ascii="Arial" w:hAnsi="Arial" w:cs="Arial"/>
                <w:color w:val="000000" w:themeColor="text1"/>
                <w:sz w:val="20"/>
                <w:szCs w:val="20"/>
              </w:rPr>
              <w:t xml:space="preserve"> decrement Vitreous hemorrhage, any grade</w:t>
            </w:r>
          </w:p>
        </w:tc>
        <w:tc>
          <w:tcPr>
            <w:tcW w:w="3289" w:type="dxa"/>
          </w:tcPr>
          <w:p w14:paraId="492461B3"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0.15</w:t>
            </w:r>
          </w:p>
        </w:tc>
        <w:tc>
          <w:tcPr>
            <w:tcW w:w="2410" w:type="dxa"/>
          </w:tcPr>
          <w:p w14:paraId="13C4E107"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0.014</w:t>
            </w:r>
          </w:p>
        </w:tc>
        <w:tc>
          <w:tcPr>
            <w:tcW w:w="1932" w:type="dxa"/>
          </w:tcPr>
          <w:p w14:paraId="02F98A96"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Beta</w:t>
            </w:r>
          </w:p>
        </w:tc>
        <w:tc>
          <w:tcPr>
            <w:tcW w:w="4022" w:type="dxa"/>
          </w:tcPr>
          <w:p w14:paraId="3A464315"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Assumed SE 10%.</w:t>
            </w:r>
          </w:p>
        </w:tc>
      </w:tr>
      <w:tr w:rsidR="00E61562" w:rsidRPr="0030308C" w14:paraId="6FC8B975" w14:textId="77777777" w:rsidTr="000E0C52">
        <w:trPr>
          <w:jc w:val="center"/>
        </w:trPr>
        <w:tc>
          <w:tcPr>
            <w:tcW w:w="4649" w:type="dxa"/>
          </w:tcPr>
          <w:p w14:paraId="6ACC6066" w14:textId="77777777" w:rsidR="00E61562" w:rsidRPr="0030308C" w:rsidRDefault="00E61562" w:rsidP="000E0C52">
            <w:pPr>
              <w:rPr>
                <w:rFonts w:ascii="Arial" w:hAnsi="Arial" w:cs="Arial"/>
                <w:color w:val="000000" w:themeColor="text1"/>
                <w:sz w:val="20"/>
                <w:szCs w:val="20"/>
              </w:rPr>
            </w:pPr>
            <w:proofErr w:type="spellStart"/>
            <w:r w:rsidRPr="0030308C">
              <w:rPr>
                <w:rFonts w:ascii="Arial" w:hAnsi="Arial" w:cs="Arial"/>
                <w:color w:val="000000" w:themeColor="text1"/>
                <w:sz w:val="20"/>
                <w:szCs w:val="20"/>
              </w:rPr>
              <w:t>HRQoL</w:t>
            </w:r>
            <w:proofErr w:type="spellEnd"/>
            <w:r w:rsidRPr="0030308C">
              <w:rPr>
                <w:rFonts w:ascii="Arial" w:hAnsi="Arial" w:cs="Arial"/>
                <w:color w:val="000000" w:themeColor="text1"/>
                <w:sz w:val="20"/>
                <w:szCs w:val="20"/>
              </w:rPr>
              <w:t xml:space="preserve"> decrement Cataract</w:t>
            </w:r>
          </w:p>
        </w:tc>
        <w:tc>
          <w:tcPr>
            <w:tcW w:w="3289" w:type="dxa"/>
          </w:tcPr>
          <w:p w14:paraId="3D9B20DE"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0.14</w:t>
            </w:r>
          </w:p>
        </w:tc>
        <w:tc>
          <w:tcPr>
            <w:tcW w:w="2410" w:type="dxa"/>
          </w:tcPr>
          <w:p w14:paraId="0348A936"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0.013</w:t>
            </w:r>
          </w:p>
        </w:tc>
        <w:tc>
          <w:tcPr>
            <w:tcW w:w="1932" w:type="dxa"/>
          </w:tcPr>
          <w:p w14:paraId="159037D0"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Beta</w:t>
            </w:r>
          </w:p>
        </w:tc>
        <w:tc>
          <w:tcPr>
            <w:tcW w:w="4022" w:type="dxa"/>
          </w:tcPr>
          <w:p w14:paraId="58B9ED12"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Assumed SE 10%.</w:t>
            </w:r>
          </w:p>
        </w:tc>
      </w:tr>
      <w:tr w:rsidR="00E61562" w:rsidRPr="0030308C" w14:paraId="7E12BAA8" w14:textId="77777777" w:rsidTr="000E0C52">
        <w:trPr>
          <w:jc w:val="center"/>
        </w:trPr>
        <w:tc>
          <w:tcPr>
            <w:tcW w:w="4649" w:type="dxa"/>
          </w:tcPr>
          <w:p w14:paraId="027FA941" w14:textId="77777777" w:rsidR="00E61562" w:rsidRPr="0030308C" w:rsidRDefault="00E61562" w:rsidP="000E0C52">
            <w:pPr>
              <w:rPr>
                <w:rFonts w:ascii="Arial" w:hAnsi="Arial" w:cs="Arial"/>
                <w:color w:val="000000" w:themeColor="text1"/>
                <w:sz w:val="20"/>
                <w:szCs w:val="20"/>
              </w:rPr>
            </w:pPr>
            <w:proofErr w:type="spellStart"/>
            <w:r w:rsidRPr="0030308C">
              <w:rPr>
                <w:rFonts w:ascii="Arial" w:hAnsi="Arial" w:cs="Arial"/>
                <w:color w:val="000000" w:themeColor="text1"/>
                <w:sz w:val="20"/>
                <w:szCs w:val="20"/>
              </w:rPr>
              <w:t>HRQoL</w:t>
            </w:r>
            <w:proofErr w:type="spellEnd"/>
            <w:r w:rsidRPr="0030308C">
              <w:rPr>
                <w:rFonts w:ascii="Arial" w:hAnsi="Arial" w:cs="Arial"/>
                <w:color w:val="000000" w:themeColor="text1"/>
                <w:sz w:val="20"/>
                <w:szCs w:val="20"/>
              </w:rPr>
              <w:t xml:space="preserve"> decrement Conjunctival erosion</w:t>
            </w:r>
          </w:p>
        </w:tc>
        <w:tc>
          <w:tcPr>
            <w:tcW w:w="3289" w:type="dxa"/>
          </w:tcPr>
          <w:p w14:paraId="768CDDBB"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0.13</w:t>
            </w:r>
          </w:p>
        </w:tc>
        <w:tc>
          <w:tcPr>
            <w:tcW w:w="2410" w:type="dxa"/>
          </w:tcPr>
          <w:p w14:paraId="152334D7"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0.013</w:t>
            </w:r>
          </w:p>
        </w:tc>
        <w:tc>
          <w:tcPr>
            <w:tcW w:w="1932" w:type="dxa"/>
          </w:tcPr>
          <w:p w14:paraId="02AEE7B6"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Beta</w:t>
            </w:r>
          </w:p>
        </w:tc>
        <w:tc>
          <w:tcPr>
            <w:tcW w:w="4022" w:type="dxa"/>
          </w:tcPr>
          <w:p w14:paraId="0AFBEF29"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Assumed SE 10%.</w:t>
            </w:r>
          </w:p>
        </w:tc>
      </w:tr>
      <w:tr w:rsidR="00E61562" w:rsidRPr="0030308C" w14:paraId="05810E8E" w14:textId="77777777" w:rsidTr="000E0C52">
        <w:trPr>
          <w:jc w:val="center"/>
        </w:trPr>
        <w:tc>
          <w:tcPr>
            <w:tcW w:w="4649" w:type="dxa"/>
          </w:tcPr>
          <w:p w14:paraId="2F8FA9CC" w14:textId="77777777" w:rsidR="00E61562" w:rsidRPr="0030308C" w:rsidRDefault="00E61562" w:rsidP="000E0C52">
            <w:pPr>
              <w:rPr>
                <w:rFonts w:ascii="Arial" w:hAnsi="Arial" w:cs="Arial"/>
                <w:color w:val="000000" w:themeColor="text1"/>
                <w:sz w:val="20"/>
                <w:szCs w:val="20"/>
              </w:rPr>
            </w:pPr>
            <w:proofErr w:type="spellStart"/>
            <w:r w:rsidRPr="0030308C">
              <w:rPr>
                <w:rFonts w:ascii="Arial" w:hAnsi="Arial" w:cs="Arial"/>
                <w:color w:val="000000" w:themeColor="text1"/>
                <w:sz w:val="20"/>
                <w:szCs w:val="20"/>
              </w:rPr>
              <w:t>HRQoL</w:t>
            </w:r>
            <w:proofErr w:type="spellEnd"/>
            <w:r w:rsidRPr="0030308C">
              <w:rPr>
                <w:rFonts w:ascii="Arial" w:hAnsi="Arial" w:cs="Arial"/>
                <w:color w:val="000000" w:themeColor="text1"/>
                <w:sz w:val="20"/>
                <w:szCs w:val="20"/>
              </w:rPr>
              <w:t xml:space="preserve"> decrement Conjunctival retraction</w:t>
            </w:r>
          </w:p>
        </w:tc>
        <w:tc>
          <w:tcPr>
            <w:tcW w:w="3289" w:type="dxa"/>
          </w:tcPr>
          <w:p w14:paraId="3571BB85"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0.13</w:t>
            </w:r>
          </w:p>
        </w:tc>
        <w:tc>
          <w:tcPr>
            <w:tcW w:w="2410" w:type="dxa"/>
          </w:tcPr>
          <w:p w14:paraId="6733B0EF"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0.03</w:t>
            </w:r>
          </w:p>
        </w:tc>
        <w:tc>
          <w:tcPr>
            <w:tcW w:w="1932" w:type="dxa"/>
          </w:tcPr>
          <w:p w14:paraId="4517B5F0"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Beta</w:t>
            </w:r>
          </w:p>
        </w:tc>
        <w:tc>
          <w:tcPr>
            <w:tcW w:w="4022" w:type="dxa"/>
          </w:tcPr>
          <w:p w14:paraId="39AB8E5B"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Assumed SE 10%.</w:t>
            </w:r>
          </w:p>
        </w:tc>
      </w:tr>
      <w:tr w:rsidR="00E61562" w:rsidRPr="0030308C" w14:paraId="4B9337BF" w14:textId="77777777" w:rsidTr="000E0C52">
        <w:trPr>
          <w:jc w:val="center"/>
        </w:trPr>
        <w:tc>
          <w:tcPr>
            <w:tcW w:w="4649" w:type="dxa"/>
          </w:tcPr>
          <w:p w14:paraId="43181ABA" w14:textId="77777777" w:rsidR="00E61562" w:rsidRPr="0030308C" w:rsidRDefault="00E61562" w:rsidP="000E0C52">
            <w:pPr>
              <w:rPr>
                <w:rFonts w:ascii="Arial" w:hAnsi="Arial" w:cs="Arial"/>
                <w:color w:val="000000" w:themeColor="text1"/>
                <w:sz w:val="20"/>
                <w:szCs w:val="20"/>
              </w:rPr>
            </w:pPr>
            <w:proofErr w:type="spellStart"/>
            <w:r w:rsidRPr="0030308C">
              <w:rPr>
                <w:rFonts w:ascii="Arial" w:hAnsi="Arial" w:cs="Arial"/>
                <w:color w:val="000000" w:themeColor="text1"/>
                <w:sz w:val="20"/>
                <w:szCs w:val="20"/>
              </w:rPr>
              <w:t>HRQoL</w:t>
            </w:r>
            <w:proofErr w:type="spellEnd"/>
            <w:r w:rsidRPr="0030308C">
              <w:rPr>
                <w:rFonts w:ascii="Arial" w:hAnsi="Arial" w:cs="Arial"/>
                <w:color w:val="000000" w:themeColor="text1"/>
                <w:sz w:val="20"/>
                <w:szCs w:val="20"/>
              </w:rPr>
              <w:t xml:space="preserve"> decrement Endophthalmitis</w:t>
            </w:r>
          </w:p>
        </w:tc>
        <w:tc>
          <w:tcPr>
            <w:tcW w:w="3289" w:type="dxa"/>
          </w:tcPr>
          <w:p w14:paraId="0EC633CE"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0.3</w:t>
            </w:r>
          </w:p>
        </w:tc>
        <w:tc>
          <w:tcPr>
            <w:tcW w:w="2410" w:type="dxa"/>
          </w:tcPr>
          <w:p w14:paraId="64BE1E54"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0.027</w:t>
            </w:r>
          </w:p>
        </w:tc>
        <w:tc>
          <w:tcPr>
            <w:tcW w:w="1932" w:type="dxa"/>
          </w:tcPr>
          <w:p w14:paraId="6C9E7B11"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Beta</w:t>
            </w:r>
          </w:p>
        </w:tc>
        <w:tc>
          <w:tcPr>
            <w:tcW w:w="4022" w:type="dxa"/>
          </w:tcPr>
          <w:p w14:paraId="16E4335D"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Assumed SE 10%.</w:t>
            </w:r>
          </w:p>
        </w:tc>
      </w:tr>
      <w:tr w:rsidR="00E61562" w:rsidRPr="0030308C" w14:paraId="02EEB498" w14:textId="77777777" w:rsidTr="000E0C52">
        <w:trPr>
          <w:jc w:val="center"/>
        </w:trPr>
        <w:tc>
          <w:tcPr>
            <w:tcW w:w="4649" w:type="dxa"/>
          </w:tcPr>
          <w:p w14:paraId="69CE86BB" w14:textId="77777777" w:rsidR="00E61562" w:rsidRPr="0030308C" w:rsidRDefault="00E61562" w:rsidP="000E0C52">
            <w:pPr>
              <w:rPr>
                <w:rFonts w:ascii="Arial" w:hAnsi="Arial" w:cs="Arial"/>
                <w:color w:val="000000" w:themeColor="text1"/>
                <w:sz w:val="20"/>
                <w:szCs w:val="20"/>
              </w:rPr>
            </w:pPr>
            <w:proofErr w:type="spellStart"/>
            <w:r w:rsidRPr="0030308C">
              <w:rPr>
                <w:rFonts w:ascii="Arial" w:hAnsi="Arial" w:cs="Arial"/>
                <w:color w:val="000000" w:themeColor="text1"/>
                <w:sz w:val="20"/>
                <w:szCs w:val="20"/>
              </w:rPr>
              <w:t>HRQoL</w:t>
            </w:r>
            <w:proofErr w:type="spellEnd"/>
            <w:r w:rsidRPr="0030308C">
              <w:rPr>
                <w:rFonts w:ascii="Arial" w:hAnsi="Arial" w:cs="Arial"/>
                <w:color w:val="000000" w:themeColor="text1"/>
                <w:sz w:val="20"/>
                <w:szCs w:val="20"/>
              </w:rPr>
              <w:t xml:space="preserve"> decrement (Rhegmatogenous) Retinal detachment</w:t>
            </w:r>
          </w:p>
        </w:tc>
        <w:tc>
          <w:tcPr>
            <w:tcW w:w="3289" w:type="dxa"/>
          </w:tcPr>
          <w:p w14:paraId="3313A6CD"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0.27</w:t>
            </w:r>
          </w:p>
        </w:tc>
        <w:tc>
          <w:tcPr>
            <w:tcW w:w="2410" w:type="dxa"/>
          </w:tcPr>
          <w:p w14:paraId="13F2CB69"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0.015</w:t>
            </w:r>
          </w:p>
        </w:tc>
        <w:tc>
          <w:tcPr>
            <w:tcW w:w="1932" w:type="dxa"/>
          </w:tcPr>
          <w:p w14:paraId="647232D0"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Beta</w:t>
            </w:r>
          </w:p>
        </w:tc>
        <w:tc>
          <w:tcPr>
            <w:tcW w:w="4022" w:type="dxa"/>
          </w:tcPr>
          <w:p w14:paraId="0C145432"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Assumed SE 10%.</w:t>
            </w:r>
          </w:p>
        </w:tc>
      </w:tr>
      <w:tr w:rsidR="00E61562" w:rsidRPr="0030308C" w14:paraId="304DB159" w14:textId="77777777" w:rsidTr="000E0C52">
        <w:trPr>
          <w:jc w:val="center"/>
        </w:trPr>
        <w:tc>
          <w:tcPr>
            <w:tcW w:w="4649" w:type="dxa"/>
          </w:tcPr>
          <w:p w14:paraId="1A92E810" w14:textId="77777777" w:rsidR="00E61562" w:rsidRPr="0030308C" w:rsidRDefault="00E61562" w:rsidP="000E0C52">
            <w:pPr>
              <w:rPr>
                <w:rFonts w:ascii="Arial" w:hAnsi="Arial" w:cs="Arial"/>
                <w:color w:val="000000" w:themeColor="text1"/>
                <w:sz w:val="20"/>
                <w:szCs w:val="20"/>
              </w:rPr>
            </w:pPr>
            <w:proofErr w:type="spellStart"/>
            <w:r w:rsidRPr="0030308C">
              <w:rPr>
                <w:rFonts w:ascii="Arial" w:hAnsi="Arial" w:cs="Arial"/>
                <w:color w:val="000000" w:themeColor="text1"/>
                <w:sz w:val="20"/>
                <w:szCs w:val="20"/>
              </w:rPr>
              <w:t>HRQoL</w:t>
            </w:r>
            <w:proofErr w:type="spellEnd"/>
            <w:r w:rsidRPr="0030308C">
              <w:rPr>
                <w:rFonts w:ascii="Arial" w:hAnsi="Arial" w:cs="Arial"/>
                <w:color w:val="000000" w:themeColor="text1"/>
                <w:sz w:val="20"/>
                <w:szCs w:val="20"/>
              </w:rPr>
              <w:t xml:space="preserve"> decrement </w:t>
            </w:r>
            <w:proofErr w:type="spellStart"/>
            <w:r w:rsidRPr="0030308C">
              <w:rPr>
                <w:rFonts w:ascii="Arial" w:hAnsi="Arial" w:cs="Arial"/>
                <w:color w:val="000000" w:themeColor="text1"/>
                <w:sz w:val="20"/>
                <w:szCs w:val="20"/>
              </w:rPr>
              <w:t>Hyphema</w:t>
            </w:r>
            <w:proofErr w:type="spellEnd"/>
          </w:p>
        </w:tc>
        <w:tc>
          <w:tcPr>
            <w:tcW w:w="3289" w:type="dxa"/>
          </w:tcPr>
          <w:p w14:paraId="10DD742D"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0.15</w:t>
            </w:r>
          </w:p>
        </w:tc>
        <w:tc>
          <w:tcPr>
            <w:tcW w:w="2410" w:type="dxa"/>
          </w:tcPr>
          <w:p w14:paraId="1ABE9BF8"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0.013</w:t>
            </w:r>
          </w:p>
        </w:tc>
        <w:tc>
          <w:tcPr>
            <w:tcW w:w="1932" w:type="dxa"/>
          </w:tcPr>
          <w:p w14:paraId="1D7246B9"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Beta</w:t>
            </w:r>
          </w:p>
        </w:tc>
        <w:tc>
          <w:tcPr>
            <w:tcW w:w="4022" w:type="dxa"/>
          </w:tcPr>
          <w:p w14:paraId="440FE194"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Assumed SE 10%.</w:t>
            </w:r>
          </w:p>
        </w:tc>
      </w:tr>
      <w:tr w:rsidR="00E61562" w:rsidRPr="0030308C" w14:paraId="2BDB43B0" w14:textId="77777777" w:rsidTr="000E0C52">
        <w:trPr>
          <w:jc w:val="center"/>
        </w:trPr>
        <w:tc>
          <w:tcPr>
            <w:tcW w:w="4649" w:type="dxa"/>
          </w:tcPr>
          <w:p w14:paraId="2F998138" w14:textId="77777777" w:rsidR="00E61562" w:rsidRPr="0030308C" w:rsidRDefault="00E61562" w:rsidP="000E0C52">
            <w:pPr>
              <w:rPr>
                <w:rFonts w:ascii="Arial" w:hAnsi="Arial" w:cs="Arial"/>
                <w:color w:val="000000" w:themeColor="text1"/>
                <w:sz w:val="20"/>
                <w:szCs w:val="20"/>
              </w:rPr>
            </w:pPr>
            <w:proofErr w:type="spellStart"/>
            <w:r w:rsidRPr="0030308C">
              <w:rPr>
                <w:rFonts w:ascii="Arial" w:hAnsi="Arial" w:cs="Arial"/>
                <w:color w:val="000000" w:themeColor="text1"/>
                <w:sz w:val="20"/>
                <w:szCs w:val="20"/>
              </w:rPr>
              <w:t>HRQoL</w:t>
            </w:r>
            <w:proofErr w:type="spellEnd"/>
            <w:r w:rsidRPr="0030308C">
              <w:rPr>
                <w:rFonts w:ascii="Arial" w:hAnsi="Arial" w:cs="Arial"/>
                <w:color w:val="000000" w:themeColor="text1"/>
                <w:sz w:val="20"/>
                <w:szCs w:val="20"/>
              </w:rPr>
              <w:t xml:space="preserve"> decrement Implant dislocation</w:t>
            </w:r>
          </w:p>
        </w:tc>
        <w:tc>
          <w:tcPr>
            <w:tcW w:w="3289" w:type="dxa"/>
          </w:tcPr>
          <w:p w14:paraId="2EFF0BAD"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0.13</w:t>
            </w:r>
          </w:p>
        </w:tc>
        <w:tc>
          <w:tcPr>
            <w:tcW w:w="2410" w:type="dxa"/>
          </w:tcPr>
          <w:p w14:paraId="096FA685"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0.013</w:t>
            </w:r>
          </w:p>
        </w:tc>
        <w:tc>
          <w:tcPr>
            <w:tcW w:w="1932" w:type="dxa"/>
          </w:tcPr>
          <w:p w14:paraId="1B53F869"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Beta</w:t>
            </w:r>
          </w:p>
        </w:tc>
        <w:tc>
          <w:tcPr>
            <w:tcW w:w="4022" w:type="dxa"/>
          </w:tcPr>
          <w:p w14:paraId="7F6DA18B"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Assumed SE 10%.</w:t>
            </w:r>
          </w:p>
        </w:tc>
      </w:tr>
      <w:tr w:rsidR="00E61562" w:rsidRPr="0030308C" w14:paraId="547615D7" w14:textId="77777777" w:rsidTr="000E0C52">
        <w:trPr>
          <w:jc w:val="center"/>
        </w:trPr>
        <w:tc>
          <w:tcPr>
            <w:tcW w:w="4649" w:type="dxa"/>
            <w:tcBorders>
              <w:bottom w:val="single" w:sz="4" w:space="0" w:color="auto"/>
            </w:tcBorders>
          </w:tcPr>
          <w:p w14:paraId="15C089E3" w14:textId="77777777" w:rsidR="00E61562" w:rsidRPr="0030308C" w:rsidRDefault="00E61562" w:rsidP="000E0C52">
            <w:pPr>
              <w:rPr>
                <w:rFonts w:ascii="Arial" w:hAnsi="Arial" w:cs="Arial"/>
                <w:color w:val="000000" w:themeColor="text1"/>
                <w:sz w:val="20"/>
                <w:szCs w:val="20"/>
              </w:rPr>
            </w:pPr>
            <w:proofErr w:type="spellStart"/>
            <w:r w:rsidRPr="0030308C">
              <w:rPr>
                <w:rFonts w:ascii="Arial" w:hAnsi="Arial" w:cs="Arial"/>
                <w:color w:val="000000" w:themeColor="text1"/>
                <w:sz w:val="20"/>
                <w:szCs w:val="20"/>
              </w:rPr>
              <w:t>HRQoL</w:t>
            </w:r>
            <w:proofErr w:type="spellEnd"/>
            <w:r w:rsidRPr="0030308C">
              <w:rPr>
                <w:rFonts w:ascii="Arial" w:hAnsi="Arial" w:cs="Arial"/>
                <w:color w:val="000000" w:themeColor="text1"/>
                <w:sz w:val="20"/>
                <w:szCs w:val="20"/>
              </w:rPr>
              <w:t xml:space="preserve"> decrement Retinal tear</w:t>
            </w:r>
          </w:p>
        </w:tc>
        <w:tc>
          <w:tcPr>
            <w:tcW w:w="3289" w:type="dxa"/>
            <w:tcBorders>
              <w:bottom w:val="single" w:sz="4" w:space="0" w:color="auto"/>
            </w:tcBorders>
          </w:tcPr>
          <w:p w14:paraId="16767FDE"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w:t>
            </w:r>
          </w:p>
        </w:tc>
        <w:tc>
          <w:tcPr>
            <w:tcW w:w="2410" w:type="dxa"/>
            <w:tcBorders>
              <w:bottom w:val="single" w:sz="4" w:space="0" w:color="auto"/>
            </w:tcBorders>
          </w:tcPr>
          <w:p w14:paraId="5B14162D" w14:textId="77777777" w:rsidR="00E61562" w:rsidRPr="0030308C" w:rsidRDefault="00E61562" w:rsidP="000E0C52">
            <w:pPr>
              <w:jc w:val="both"/>
              <w:rPr>
                <w:rFonts w:ascii="Arial" w:hAnsi="Arial" w:cs="Arial"/>
                <w:color w:val="000000" w:themeColor="text1"/>
                <w:sz w:val="20"/>
                <w:szCs w:val="20"/>
              </w:rPr>
            </w:pPr>
          </w:p>
        </w:tc>
        <w:tc>
          <w:tcPr>
            <w:tcW w:w="1932" w:type="dxa"/>
            <w:tcBorders>
              <w:bottom w:val="single" w:sz="4" w:space="0" w:color="auto"/>
            </w:tcBorders>
          </w:tcPr>
          <w:p w14:paraId="2CA3B4D5" w14:textId="77777777" w:rsidR="00E61562" w:rsidRPr="0030308C" w:rsidRDefault="00E61562" w:rsidP="000E0C52">
            <w:pPr>
              <w:jc w:val="both"/>
              <w:rPr>
                <w:rFonts w:ascii="Arial" w:hAnsi="Arial" w:cs="Arial"/>
                <w:color w:val="000000" w:themeColor="text1"/>
                <w:sz w:val="20"/>
                <w:szCs w:val="20"/>
              </w:rPr>
            </w:pPr>
          </w:p>
        </w:tc>
        <w:tc>
          <w:tcPr>
            <w:tcW w:w="4022" w:type="dxa"/>
            <w:tcBorders>
              <w:bottom w:val="single" w:sz="4" w:space="0" w:color="auto"/>
            </w:tcBorders>
          </w:tcPr>
          <w:p w14:paraId="1F5D2C38" w14:textId="77777777" w:rsidR="00E61562" w:rsidRPr="0030308C" w:rsidRDefault="00E61562" w:rsidP="000E0C52">
            <w:pPr>
              <w:jc w:val="both"/>
              <w:rPr>
                <w:rFonts w:ascii="Arial" w:hAnsi="Arial" w:cs="Arial"/>
                <w:color w:val="000000" w:themeColor="text1"/>
                <w:sz w:val="20"/>
                <w:szCs w:val="20"/>
              </w:rPr>
            </w:pPr>
          </w:p>
        </w:tc>
      </w:tr>
      <w:tr w:rsidR="00E61562" w:rsidRPr="0030308C" w14:paraId="7ABFDBEC" w14:textId="77777777" w:rsidTr="000E0C52">
        <w:trPr>
          <w:jc w:val="center"/>
        </w:trPr>
        <w:tc>
          <w:tcPr>
            <w:tcW w:w="4649" w:type="dxa"/>
            <w:tcBorders>
              <w:top w:val="single" w:sz="4" w:space="0" w:color="auto"/>
              <w:bottom w:val="single" w:sz="4" w:space="0" w:color="auto"/>
            </w:tcBorders>
          </w:tcPr>
          <w:p w14:paraId="5130CD78" w14:textId="77777777" w:rsidR="00E61562" w:rsidRPr="005C0574" w:rsidRDefault="00E61562" w:rsidP="000E0C52">
            <w:pPr>
              <w:rPr>
                <w:rFonts w:ascii="Arial" w:hAnsi="Arial" w:cs="Arial"/>
                <w:b/>
                <w:bCs/>
                <w:color w:val="000000" w:themeColor="text1"/>
                <w:sz w:val="20"/>
                <w:szCs w:val="20"/>
              </w:rPr>
            </w:pPr>
            <w:r w:rsidRPr="005C0574">
              <w:rPr>
                <w:rFonts w:ascii="Arial" w:hAnsi="Arial" w:cs="Arial"/>
                <w:b/>
                <w:bCs/>
                <w:color w:val="000000" w:themeColor="text1"/>
                <w:sz w:val="20"/>
                <w:szCs w:val="20"/>
              </w:rPr>
              <w:t>Adverse events duration in years</w:t>
            </w:r>
          </w:p>
        </w:tc>
        <w:tc>
          <w:tcPr>
            <w:tcW w:w="3289" w:type="dxa"/>
            <w:tcBorders>
              <w:top w:val="single" w:sz="4" w:space="0" w:color="auto"/>
              <w:bottom w:val="single" w:sz="4" w:space="0" w:color="auto"/>
            </w:tcBorders>
          </w:tcPr>
          <w:p w14:paraId="584751CE" w14:textId="77777777" w:rsidR="00E61562" w:rsidRPr="0030308C" w:rsidRDefault="00E61562" w:rsidP="000E0C52">
            <w:pPr>
              <w:jc w:val="both"/>
              <w:rPr>
                <w:rFonts w:ascii="Arial" w:hAnsi="Arial" w:cs="Arial"/>
                <w:color w:val="000000" w:themeColor="text1"/>
                <w:sz w:val="20"/>
                <w:szCs w:val="20"/>
              </w:rPr>
            </w:pPr>
          </w:p>
        </w:tc>
        <w:tc>
          <w:tcPr>
            <w:tcW w:w="2410" w:type="dxa"/>
            <w:tcBorders>
              <w:top w:val="single" w:sz="4" w:space="0" w:color="auto"/>
              <w:bottom w:val="single" w:sz="4" w:space="0" w:color="auto"/>
            </w:tcBorders>
          </w:tcPr>
          <w:p w14:paraId="431A242D" w14:textId="77777777" w:rsidR="00E61562" w:rsidRPr="0030308C" w:rsidRDefault="00E61562" w:rsidP="000E0C52">
            <w:pPr>
              <w:jc w:val="both"/>
              <w:rPr>
                <w:rFonts w:ascii="Arial" w:hAnsi="Arial" w:cs="Arial"/>
                <w:color w:val="000000" w:themeColor="text1"/>
                <w:sz w:val="20"/>
                <w:szCs w:val="20"/>
              </w:rPr>
            </w:pPr>
          </w:p>
        </w:tc>
        <w:tc>
          <w:tcPr>
            <w:tcW w:w="1932" w:type="dxa"/>
            <w:tcBorders>
              <w:top w:val="single" w:sz="4" w:space="0" w:color="auto"/>
              <w:bottom w:val="single" w:sz="4" w:space="0" w:color="auto"/>
            </w:tcBorders>
          </w:tcPr>
          <w:p w14:paraId="5CEAB21B" w14:textId="77777777" w:rsidR="00E61562" w:rsidRPr="0030308C" w:rsidRDefault="00E61562" w:rsidP="000E0C52">
            <w:pPr>
              <w:jc w:val="both"/>
              <w:rPr>
                <w:rFonts w:ascii="Arial" w:hAnsi="Arial" w:cs="Arial"/>
                <w:color w:val="000000" w:themeColor="text1"/>
                <w:sz w:val="20"/>
                <w:szCs w:val="20"/>
              </w:rPr>
            </w:pPr>
          </w:p>
        </w:tc>
        <w:tc>
          <w:tcPr>
            <w:tcW w:w="4022" w:type="dxa"/>
            <w:tcBorders>
              <w:top w:val="single" w:sz="4" w:space="0" w:color="auto"/>
              <w:bottom w:val="single" w:sz="4" w:space="0" w:color="auto"/>
            </w:tcBorders>
          </w:tcPr>
          <w:p w14:paraId="32BF94E5" w14:textId="77777777" w:rsidR="00E61562" w:rsidRPr="0030308C" w:rsidRDefault="00E61562" w:rsidP="000E0C52">
            <w:pPr>
              <w:jc w:val="both"/>
              <w:rPr>
                <w:rFonts w:ascii="Arial" w:hAnsi="Arial" w:cs="Arial"/>
                <w:color w:val="000000" w:themeColor="text1"/>
                <w:sz w:val="20"/>
                <w:szCs w:val="20"/>
              </w:rPr>
            </w:pPr>
          </w:p>
        </w:tc>
      </w:tr>
      <w:tr w:rsidR="00E61562" w:rsidRPr="0030308C" w14:paraId="16E55003" w14:textId="77777777" w:rsidTr="000E0C52">
        <w:trPr>
          <w:jc w:val="center"/>
        </w:trPr>
        <w:tc>
          <w:tcPr>
            <w:tcW w:w="4649" w:type="dxa"/>
            <w:tcBorders>
              <w:top w:val="single" w:sz="4" w:space="0" w:color="auto"/>
            </w:tcBorders>
          </w:tcPr>
          <w:p w14:paraId="2D64D88F"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Duration Conjunctival bleb or conjunctival filtering bleb leak</w:t>
            </w:r>
          </w:p>
        </w:tc>
        <w:tc>
          <w:tcPr>
            <w:tcW w:w="3289" w:type="dxa"/>
            <w:tcBorders>
              <w:top w:val="single" w:sz="4" w:space="0" w:color="auto"/>
            </w:tcBorders>
          </w:tcPr>
          <w:p w14:paraId="10D4A81D"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0.04</w:t>
            </w:r>
          </w:p>
        </w:tc>
        <w:tc>
          <w:tcPr>
            <w:tcW w:w="2410" w:type="dxa"/>
            <w:tcBorders>
              <w:top w:val="single" w:sz="4" w:space="0" w:color="auto"/>
            </w:tcBorders>
          </w:tcPr>
          <w:p w14:paraId="494222EC"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0.008</w:t>
            </w:r>
          </w:p>
        </w:tc>
        <w:tc>
          <w:tcPr>
            <w:tcW w:w="1932" w:type="dxa"/>
            <w:tcBorders>
              <w:top w:val="single" w:sz="4" w:space="0" w:color="auto"/>
            </w:tcBorders>
          </w:tcPr>
          <w:p w14:paraId="09428F08"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4022" w:type="dxa"/>
            <w:tcBorders>
              <w:top w:val="single" w:sz="4" w:space="0" w:color="auto"/>
            </w:tcBorders>
          </w:tcPr>
          <w:p w14:paraId="5975CA78"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Assumed SE 20%.</w:t>
            </w:r>
          </w:p>
        </w:tc>
      </w:tr>
      <w:tr w:rsidR="00E61562" w:rsidRPr="0030308C" w14:paraId="1BCD24F4" w14:textId="77777777" w:rsidTr="000E0C52">
        <w:trPr>
          <w:jc w:val="center"/>
        </w:trPr>
        <w:tc>
          <w:tcPr>
            <w:tcW w:w="4649" w:type="dxa"/>
          </w:tcPr>
          <w:p w14:paraId="763B4493"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Duration Vitreous hemorrhage, any grade</w:t>
            </w:r>
          </w:p>
        </w:tc>
        <w:tc>
          <w:tcPr>
            <w:tcW w:w="3289" w:type="dxa"/>
          </w:tcPr>
          <w:p w14:paraId="5AC2B22A"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0.5</w:t>
            </w:r>
          </w:p>
        </w:tc>
        <w:tc>
          <w:tcPr>
            <w:tcW w:w="2410" w:type="dxa"/>
          </w:tcPr>
          <w:p w14:paraId="7A39CB59"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0.1</w:t>
            </w:r>
          </w:p>
        </w:tc>
        <w:tc>
          <w:tcPr>
            <w:tcW w:w="1932" w:type="dxa"/>
          </w:tcPr>
          <w:p w14:paraId="163B0A39"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4022" w:type="dxa"/>
          </w:tcPr>
          <w:p w14:paraId="7203EDF8"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Assumed SE 20%.</w:t>
            </w:r>
          </w:p>
        </w:tc>
      </w:tr>
      <w:tr w:rsidR="00E61562" w:rsidRPr="0030308C" w14:paraId="667AC600" w14:textId="77777777" w:rsidTr="000E0C52">
        <w:trPr>
          <w:jc w:val="center"/>
        </w:trPr>
        <w:tc>
          <w:tcPr>
            <w:tcW w:w="4649" w:type="dxa"/>
          </w:tcPr>
          <w:p w14:paraId="280F60A9"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Duration Cataract</w:t>
            </w:r>
          </w:p>
        </w:tc>
        <w:tc>
          <w:tcPr>
            <w:tcW w:w="3289" w:type="dxa"/>
          </w:tcPr>
          <w:p w14:paraId="70FBF9D3"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0.08</w:t>
            </w:r>
          </w:p>
        </w:tc>
        <w:tc>
          <w:tcPr>
            <w:tcW w:w="2410" w:type="dxa"/>
          </w:tcPr>
          <w:p w14:paraId="0DAC09F8"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0.015</w:t>
            </w:r>
          </w:p>
        </w:tc>
        <w:tc>
          <w:tcPr>
            <w:tcW w:w="1932" w:type="dxa"/>
          </w:tcPr>
          <w:p w14:paraId="1C071B61"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4022" w:type="dxa"/>
          </w:tcPr>
          <w:p w14:paraId="57B21920"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Assumed SE 20%.</w:t>
            </w:r>
          </w:p>
        </w:tc>
      </w:tr>
      <w:tr w:rsidR="00E61562" w:rsidRPr="0030308C" w14:paraId="23A16587" w14:textId="77777777" w:rsidTr="000E0C52">
        <w:trPr>
          <w:jc w:val="center"/>
        </w:trPr>
        <w:tc>
          <w:tcPr>
            <w:tcW w:w="4649" w:type="dxa"/>
          </w:tcPr>
          <w:p w14:paraId="0F0AE4FD"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Duration Conjunctival erosion</w:t>
            </w:r>
          </w:p>
        </w:tc>
        <w:tc>
          <w:tcPr>
            <w:tcW w:w="3289" w:type="dxa"/>
          </w:tcPr>
          <w:p w14:paraId="2FFF8279"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0.08</w:t>
            </w:r>
          </w:p>
        </w:tc>
        <w:tc>
          <w:tcPr>
            <w:tcW w:w="2410" w:type="dxa"/>
          </w:tcPr>
          <w:p w14:paraId="783D1726"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0.015</w:t>
            </w:r>
          </w:p>
        </w:tc>
        <w:tc>
          <w:tcPr>
            <w:tcW w:w="1932" w:type="dxa"/>
          </w:tcPr>
          <w:p w14:paraId="5AADF9AD"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4022" w:type="dxa"/>
          </w:tcPr>
          <w:p w14:paraId="5F5038D6"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Assumed SE 20%.</w:t>
            </w:r>
          </w:p>
        </w:tc>
      </w:tr>
      <w:tr w:rsidR="00E61562" w:rsidRPr="0030308C" w14:paraId="100DB434" w14:textId="77777777" w:rsidTr="000E0C52">
        <w:trPr>
          <w:jc w:val="center"/>
        </w:trPr>
        <w:tc>
          <w:tcPr>
            <w:tcW w:w="4649" w:type="dxa"/>
          </w:tcPr>
          <w:p w14:paraId="01C0A23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Duration Conjunctival retraction</w:t>
            </w:r>
          </w:p>
        </w:tc>
        <w:tc>
          <w:tcPr>
            <w:tcW w:w="3289" w:type="dxa"/>
          </w:tcPr>
          <w:p w14:paraId="561BFE55"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0.04</w:t>
            </w:r>
          </w:p>
        </w:tc>
        <w:tc>
          <w:tcPr>
            <w:tcW w:w="2410" w:type="dxa"/>
          </w:tcPr>
          <w:p w14:paraId="0AF8E15F"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0.008</w:t>
            </w:r>
          </w:p>
        </w:tc>
        <w:tc>
          <w:tcPr>
            <w:tcW w:w="1932" w:type="dxa"/>
          </w:tcPr>
          <w:p w14:paraId="08EA9F81"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4022" w:type="dxa"/>
          </w:tcPr>
          <w:p w14:paraId="2BF5CEDD"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Assumed SE 20%.</w:t>
            </w:r>
          </w:p>
        </w:tc>
      </w:tr>
      <w:tr w:rsidR="00E61562" w:rsidRPr="0030308C" w14:paraId="5EB6DC24" w14:textId="77777777" w:rsidTr="000E0C52">
        <w:trPr>
          <w:jc w:val="center"/>
        </w:trPr>
        <w:tc>
          <w:tcPr>
            <w:tcW w:w="16302" w:type="dxa"/>
            <w:gridSpan w:val="5"/>
          </w:tcPr>
          <w:p w14:paraId="78C6E00A" w14:textId="77777777" w:rsidR="00E61562" w:rsidRPr="0030308C" w:rsidRDefault="00E61562" w:rsidP="000E0C52">
            <w:pPr>
              <w:pStyle w:val="Caption"/>
              <w:keepNext/>
              <w:jc w:val="both"/>
              <w:rPr>
                <w:rFonts w:ascii="Arial" w:hAnsi="Arial" w:cs="Arial"/>
                <w:b/>
                <w:bCs/>
                <w:i w:val="0"/>
                <w:iCs w:val="0"/>
                <w:color w:val="000000" w:themeColor="text1"/>
                <w:sz w:val="24"/>
                <w:szCs w:val="24"/>
              </w:rPr>
            </w:pPr>
            <w:r>
              <w:rPr>
                <w:rFonts w:ascii="Arial" w:hAnsi="Arial" w:cs="Arial"/>
                <w:b/>
                <w:bCs/>
                <w:i w:val="0"/>
                <w:iCs w:val="0"/>
                <w:color w:val="000000" w:themeColor="text1"/>
                <w:sz w:val="24"/>
                <w:szCs w:val="24"/>
              </w:rPr>
              <w:lastRenderedPageBreak/>
              <w:t>eTable6</w:t>
            </w:r>
            <w:r w:rsidRPr="0030308C">
              <w:rPr>
                <w:rFonts w:ascii="Arial" w:hAnsi="Arial" w:cs="Arial"/>
                <w:b/>
                <w:bCs/>
                <w:i w:val="0"/>
                <w:iCs w:val="0"/>
                <w:color w:val="000000" w:themeColor="text1"/>
                <w:sz w:val="24"/>
                <w:szCs w:val="24"/>
              </w:rPr>
              <w:t>. Health-related quality of life (</w:t>
            </w:r>
            <w:proofErr w:type="spellStart"/>
            <w:r w:rsidRPr="0030308C">
              <w:rPr>
                <w:rFonts w:ascii="Arial" w:hAnsi="Arial" w:cs="Arial"/>
                <w:b/>
                <w:bCs/>
                <w:i w:val="0"/>
                <w:iCs w:val="0"/>
                <w:color w:val="000000" w:themeColor="text1"/>
                <w:sz w:val="24"/>
                <w:szCs w:val="24"/>
              </w:rPr>
              <w:t>HRQoL</w:t>
            </w:r>
            <w:proofErr w:type="spellEnd"/>
            <w:r w:rsidRPr="0030308C">
              <w:rPr>
                <w:rFonts w:ascii="Arial" w:hAnsi="Arial" w:cs="Arial"/>
                <w:b/>
                <w:bCs/>
                <w:i w:val="0"/>
                <w:iCs w:val="0"/>
                <w:color w:val="000000" w:themeColor="text1"/>
                <w:sz w:val="24"/>
                <w:szCs w:val="24"/>
              </w:rPr>
              <w:t>) decrement values with probabilistic analysis distributions. (continued)</w:t>
            </w:r>
          </w:p>
          <w:p w14:paraId="008DE5D5" w14:textId="77777777" w:rsidR="00E61562" w:rsidRPr="0030308C" w:rsidRDefault="00E61562" w:rsidP="000E0C52">
            <w:pPr>
              <w:jc w:val="both"/>
              <w:rPr>
                <w:rFonts w:ascii="Arial" w:hAnsi="Arial" w:cs="Arial"/>
                <w:color w:val="000000" w:themeColor="text1"/>
                <w:sz w:val="20"/>
                <w:szCs w:val="20"/>
              </w:rPr>
            </w:pPr>
          </w:p>
        </w:tc>
      </w:tr>
      <w:tr w:rsidR="00E61562" w:rsidRPr="0030308C" w14:paraId="44C2156B" w14:textId="77777777" w:rsidTr="000E0C52">
        <w:trPr>
          <w:jc w:val="center"/>
        </w:trPr>
        <w:tc>
          <w:tcPr>
            <w:tcW w:w="4649" w:type="dxa"/>
            <w:tcBorders>
              <w:bottom w:val="single" w:sz="4" w:space="0" w:color="auto"/>
            </w:tcBorders>
          </w:tcPr>
          <w:p w14:paraId="28284106" w14:textId="77777777" w:rsidR="00E61562" w:rsidRPr="0030308C" w:rsidRDefault="00E61562" w:rsidP="000E0C52">
            <w:pPr>
              <w:rPr>
                <w:rFonts w:ascii="Arial" w:hAnsi="Arial" w:cs="Arial"/>
                <w:color w:val="000000" w:themeColor="text1"/>
                <w:sz w:val="20"/>
                <w:szCs w:val="20"/>
              </w:rPr>
            </w:pPr>
            <w:r w:rsidRPr="0030308C">
              <w:rPr>
                <w:rFonts w:ascii="Arial" w:hAnsi="Arial" w:cs="Arial"/>
                <w:b/>
                <w:bCs/>
                <w:color w:val="000000" w:themeColor="text1"/>
                <w:sz w:val="20"/>
                <w:szCs w:val="20"/>
              </w:rPr>
              <w:t xml:space="preserve">Health-related </w:t>
            </w:r>
            <w:proofErr w:type="spellStart"/>
            <w:r w:rsidRPr="0030308C">
              <w:rPr>
                <w:rFonts w:ascii="Arial" w:hAnsi="Arial" w:cs="Arial"/>
                <w:b/>
                <w:bCs/>
                <w:color w:val="000000" w:themeColor="text1"/>
                <w:sz w:val="20"/>
                <w:szCs w:val="20"/>
              </w:rPr>
              <w:t>HRQoL</w:t>
            </w:r>
            <w:proofErr w:type="spellEnd"/>
            <w:r w:rsidRPr="0030308C">
              <w:rPr>
                <w:rFonts w:ascii="Arial" w:hAnsi="Arial" w:cs="Arial"/>
                <w:b/>
                <w:bCs/>
                <w:color w:val="000000" w:themeColor="text1"/>
                <w:sz w:val="20"/>
                <w:szCs w:val="20"/>
              </w:rPr>
              <w:t xml:space="preserve"> decrement values</w:t>
            </w:r>
          </w:p>
        </w:tc>
        <w:tc>
          <w:tcPr>
            <w:tcW w:w="3289" w:type="dxa"/>
            <w:tcBorders>
              <w:bottom w:val="single" w:sz="4" w:space="0" w:color="auto"/>
            </w:tcBorders>
          </w:tcPr>
          <w:p w14:paraId="2B53505B" w14:textId="77777777" w:rsidR="00E61562" w:rsidRPr="0030308C" w:rsidRDefault="00E61562" w:rsidP="000E0C52">
            <w:pPr>
              <w:jc w:val="both"/>
              <w:rPr>
                <w:rFonts w:ascii="Arial" w:hAnsi="Arial" w:cs="Arial"/>
                <w:color w:val="000000" w:themeColor="text1"/>
                <w:sz w:val="20"/>
                <w:szCs w:val="20"/>
              </w:rPr>
            </w:pPr>
            <w:proofErr w:type="spellStart"/>
            <w:r w:rsidRPr="0030308C">
              <w:rPr>
                <w:rFonts w:ascii="Arial" w:hAnsi="Arial" w:cs="Arial"/>
                <w:b/>
                <w:bCs/>
                <w:color w:val="000000" w:themeColor="text1"/>
                <w:sz w:val="20"/>
                <w:szCs w:val="20"/>
              </w:rPr>
              <w:t>Value</w:t>
            </w:r>
            <w:r w:rsidRPr="0030308C">
              <w:rPr>
                <w:rFonts w:ascii="Arial" w:hAnsi="Arial" w:cs="Arial"/>
                <w:b/>
                <w:bCs/>
                <w:color w:val="000000" w:themeColor="text1"/>
                <w:sz w:val="20"/>
                <w:szCs w:val="20"/>
                <w:vertAlign w:val="superscript"/>
              </w:rPr>
              <w:t>a</w:t>
            </w:r>
            <w:proofErr w:type="spellEnd"/>
          </w:p>
        </w:tc>
        <w:tc>
          <w:tcPr>
            <w:tcW w:w="2410" w:type="dxa"/>
            <w:tcBorders>
              <w:bottom w:val="single" w:sz="4" w:space="0" w:color="auto"/>
            </w:tcBorders>
          </w:tcPr>
          <w:p w14:paraId="363E9058"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b/>
                <w:bCs/>
                <w:color w:val="000000" w:themeColor="text1"/>
                <w:sz w:val="20"/>
                <w:szCs w:val="20"/>
              </w:rPr>
              <w:t xml:space="preserve">Standard </w:t>
            </w:r>
            <w:proofErr w:type="spellStart"/>
            <w:r w:rsidRPr="0030308C">
              <w:rPr>
                <w:rFonts w:ascii="Arial" w:hAnsi="Arial" w:cs="Arial"/>
                <w:b/>
                <w:bCs/>
                <w:color w:val="000000" w:themeColor="text1"/>
                <w:sz w:val="20"/>
                <w:szCs w:val="20"/>
              </w:rPr>
              <w:t>error</w:t>
            </w:r>
            <w:r w:rsidRPr="0030308C">
              <w:rPr>
                <w:rFonts w:ascii="Arial" w:hAnsi="Arial" w:cs="Arial"/>
                <w:b/>
                <w:bCs/>
                <w:color w:val="000000" w:themeColor="text1"/>
                <w:sz w:val="20"/>
                <w:szCs w:val="20"/>
                <w:vertAlign w:val="superscript"/>
              </w:rPr>
              <w:t>b</w:t>
            </w:r>
            <w:proofErr w:type="spellEnd"/>
          </w:p>
        </w:tc>
        <w:tc>
          <w:tcPr>
            <w:tcW w:w="1932" w:type="dxa"/>
            <w:tcBorders>
              <w:bottom w:val="single" w:sz="4" w:space="0" w:color="auto"/>
            </w:tcBorders>
          </w:tcPr>
          <w:p w14:paraId="19345F48"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b/>
                <w:bCs/>
                <w:color w:val="000000" w:themeColor="text1"/>
                <w:sz w:val="20"/>
                <w:szCs w:val="20"/>
              </w:rPr>
              <w:t>Distribution</w:t>
            </w:r>
          </w:p>
        </w:tc>
        <w:tc>
          <w:tcPr>
            <w:tcW w:w="4022" w:type="dxa"/>
            <w:tcBorders>
              <w:bottom w:val="single" w:sz="4" w:space="0" w:color="auto"/>
            </w:tcBorders>
          </w:tcPr>
          <w:p w14:paraId="0938026F"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b/>
                <w:bCs/>
                <w:color w:val="000000" w:themeColor="text1"/>
                <w:sz w:val="20"/>
                <w:szCs w:val="20"/>
              </w:rPr>
              <w:t>Source</w:t>
            </w:r>
          </w:p>
        </w:tc>
      </w:tr>
      <w:tr w:rsidR="00E61562" w:rsidRPr="0030308C" w14:paraId="30326EDA" w14:textId="77777777" w:rsidTr="000E0C52">
        <w:trPr>
          <w:jc w:val="center"/>
        </w:trPr>
        <w:tc>
          <w:tcPr>
            <w:tcW w:w="4649" w:type="dxa"/>
            <w:tcBorders>
              <w:top w:val="single" w:sz="4" w:space="0" w:color="auto"/>
            </w:tcBorders>
          </w:tcPr>
          <w:p w14:paraId="64BC9371"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Duration Endophthalmitis</w:t>
            </w:r>
          </w:p>
        </w:tc>
        <w:tc>
          <w:tcPr>
            <w:tcW w:w="3289" w:type="dxa"/>
            <w:tcBorders>
              <w:top w:val="single" w:sz="4" w:space="0" w:color="auto"/>
            </w:tcBorders>
          </w:tcPr>
          <w:p w14:paraId="317153A2"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0.29</w:t>
            </w:r>
          </w:p>
        </w:tc>
        <w:tc>
          <w:tcPr>
            <w:tcW w:w="2410" w:type="dxa"/>
            <w:tcBorders>
              <w:top w:val="single" w:sz="4" w:space="0" w:color="auto"/>
            </w:tcBorders>
          </w:tcPr>
          <w:p w14:paraId="63A231CF"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0.058</w:t>
            </w:r>
          </w:p>
        </w:tc>
        <w:tc>
          <w:tcPr>
            <w:tcW w:w="1932" w:type="dxa"/>
            <w:tcBorders>
              <w:top w:val="single" w:sz="4" w:space="0" w:color="auto"/>
            </w:tcBorders>
          </w:tcPr>
          <w:p w14:paraId="605DC8BC"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4022" w:type="dxa"/>
            <w:tcBorders>
              <w:top w:val="single" w:sz="4" w:space="0" w:color="auto"/>
            </w:tcBorders>
          </w:tcPr>
          <w:p w14:paraId="08EABBC7"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Assumed SE 20%.</w:t>
            </w:r>
          </w:p>
        </w:tc>
      </w:tr>
      <w:tr w:rsidR="00E61562" w:rsidRPr="0030308C" w14:paraId="0A923349" w14:textId="77777777" w:rsidTr="000E0C52">
        <w:trPr>
          <w:trHeight w:val="92"/>
          <w:jc w:val="center"/>
        </w:trPr>
        <w:tc>
          <w:tcPr>
            <w:tcW w:w="4649" w:type="dxa"/>
          </w:tcPr>
          <w:p w14:paraId="19D3657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Duration Rhegmatogenous retinal detachment</w:t>
            </w:r>
          </w:p>
        </w:tc>
        <w:tc>
          <w:tcPr>
            <w:tcW w:w="3289" w:type="dxa"/>
          </w:tcPr>
          <w:p w14:paraId="5DE7FF30"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0.06</w:t>
            </w:r>
          </w:p>
        </w:tc>
        <w:tc>
          <w:tcPr>
            <w:tcW w:w="2410" w:type="dxa"/>
          </w:tcPr>
          <w:p w14:paraId="2835AB6E"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0.012</w:t>
            </w:r>
          </w:p>
        </w:tc>
        <w:tc>
          <w:tcPr>
            <w:tcW w:w="1932" w:type="dxa"/>
          </w:tcPr>
          <w:p w14:paraId="2DFE7061"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4022" w:type="dxa"/>
          </w:tcPr>
          <w:p w14:paraId="152A15C7"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Assumed SE 20%.</w:t>
            </w:r>
          </w:p>
        </w:tc>
      </w:tr>
      <w:tr w:rsidR="00E61562" w:rsidRPr="0030308C" w14:paraId="5E7B3B47" w14:textId="77777777" w:rsidTr="000E0C52">
        <w:trPr>
          <w:jc w:val="center"/>
        </w:trPr>
        <w:tc>
          <w:tcPr>
            <w:tcW w:w="4649" w:type="dxa"/>
          </w:tcPr>
          <w:p w14:paraId="25C62FA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 xml:space="preserve">Duration </w:t>
            </w:r>
            <w:proofErr w:type="spellStart"/>
            <w:r w:rsidRPr="0030308C">
              <w:rPr>
                <w:rFonts w:ascii="Arial" w:hAnsi="Arial" w:cs="Arial"/>
                <w:color w:val="000000" w:themeColor="text1"/>
                <w:sz w:val="20"/>
                <w:szCs w:val="20"/>
              </w:rPr>
              <w:t>Hyphema</w:t>
            </w:r>
            <w:proofErr w:type="spellEnd"/>
          </w:p>
        </w:tc>
        <w:tc>
          <w:tcPr>
            <w:tcW w:w="3289" w:type="dxa"/>
          </w:tcPr>
          <w:p w14:paraId="3F1E824A"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0.02</w:t>
            </w:r>
          </w:p>
        </w:tc>
        <w:tc>
          <w:tcPr>
            <w:tcW w:w="2410" w:type="dxa"/>
          </w:tcPr>
          <w:p w14:paraId="10793750"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0.004</w:t>
            </w:r>
          </w:p>
        </w:tc>
        <w:tc>
          <w:tcPr>
            <w:tcW w:w="1932" w:type="dxa"/>
          </w:tcPr>
          <w:p w14:paraId="154BB728"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4022" w:type="dxa"/>
          </w:tcPr>
          <w:p w14:paraId="14BE2AC3"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Assumed SE 20%.</w:t>
            </w:r>
          </w:p>
        </w:tc>
      </w:tr>
      <w:tr w:rsidR="00E61562" w:rsidRPr="0030308C" w14:paraId="449738E0" w14:textId="77777777" w:rsidTr="000E0C52">
        <w:trPr>
          <w:jc w:val="center"/>
        </w:trPr>
        <w:tc>
          <w:tcPr>
            <w:tcW w:w="4649" w:type="dxa"/>
          </w:tcPr>
          <w:p w14:paraId="389DF4BA"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Duration Implant dislocation</w:t>
            </w:r>
          </w:p>
        </w:tc>
        <w:tc>
          <w:tcPr>
            <w:tcW w:w="3289" w:type="dxa"/>
          </w:tcPr>
          <w:p w14:paraId="1EC2468F"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0.04</w:t>
            </w:r>
          </w:p>
        </w:tc>
        <w:tc>
          <w:tcPr>
            <w:tcW w:w="2410" w:type="dxa"/>
          </w:tcPr>
          <w:p w14:paraId="1E199E43"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0.008</w:t>
            </w:r>
          </w:p>
        </w:tc>
        <w:tc>
          <w:tcPr>
            <w:tcW w:w="1932" w:type="dxa"/>
          </w:tcPr>
          <w:p w14:paraId="57D940A9"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4022" w:type="dxa"/>
          </w:tcPr>
          <w:p w14:paraId="449288CF"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Assumed SE 20%.</w:t>
            </w:r>
          </w:p>
        </w:tc>
      </w:tr>
      <w:tr w:rsidR="00E61562" w:rsidRPr="0030308C" w14:paraId="4A313B1B" w14:textId="77777777" w:rsidTr="000E0C52">
        <w:trPr>
          <w:jc w:val="center"/>
        </w:trPr>
        <w:tc>
          <w:tcPr>
            <w:tcW w:w="4649" w:type="dxa"/>
          </w:tcPr>
          <w:p w14:paraId="786DD4BE"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Duration Retinal tear</w:t>
            </w:r>
          </w:p>
        </w:tc>
        <w:tc>
          <w:tcPr>
            <w:tcW w:w="3289" w:type="dxa"/>
          </w:tcPr>
          <w:p w14:paraId="28878864"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Immediate repair</w:t>
            </w:r>
          </w:p>
        </w:tc>
        <w:tc>
          <w:tcPr>
            <w:tcW w:w="2410" w:type="dxa"/>
          </w:tcPr>
          <w:p w14:paraId="72883878" w14:textId="77777777" w:rsidR="00E61562" w:rsidRPr="0030308C" w:rsidRDefault="00E61562" w:rsidP="000E0C52">
            <w:pPr>
              <w:jc w:val="both"/>
              <w:rPr>
                <w:rFonts w:ascii="Arial" w:hAnsi="Arial" w:cs="Arial"/>
                <w:color w:val="000000" w:themeColor="text1"/>
                <w:sz w:val="20"/>
                <w:szCs w:val="20"/>
              </w:rPr>
            </w:pPr>
          </w:p>
        </w:tc>
        <w:tc>
          <w:tcPr>
            <w:tcW w:w="1932" w:type="dxa"/>
          </w:tcPr>
          <w:p w14:paraId="6EEB531F" w14:textId="77777777" w:rsidR="00E61562" w:rsidRPr="0030308C" w:rsidRDefault="00E61562" w:rsidP="000E0C52">
            <w:pPr>
              <w:jc w:val="both"/>
              <w:rPr>
                <w:rFonts w:ascii="Arial" w:hAnsi="Arial" w:cs="Arial"/>
                <w:color w:val="000000" w:themeColor="text1"/>
                <w:sz w:val="20"/>
                <w:szCs w:val="20"/>
              </w:rPr>
            </w:pPr>
          </w:p>
        </w:tc>
        <w:tc>
          <w:tcPr>
            <w:tcW w:w="4022" w:type="dxa"/>
          </w:tcPr>
          <w:p w14:paraId="54E0ABF2" w14:textId="77777777" w:rsidR="00E61562" w:rsidRPr="0030308C" w:rsidRDefault="00E61562" w:rsidP="000E0C52">
            <w:pPr>
              <w:jc w:val="both"/>
              <w:rPr>
                <w:rFonts w:ascii="Arial" w:hAnsi="Arial" w:cs="Arial"/>
                <w:color w:val="000000" w:themeColor="text1"/>
                <w:sz w:val="20"/>
                <w:szCs w:val="20"/>
              </w:rPr>
            </w:pPr>
          </w:p>
        </w:tc>
      </w:tr>
    </w:tbl>
    <w:p w14:paraId="5DB54CA1" w14:textId="77777777" w:rsidR="00E61562" w:rsidRDefault="00E61562" w:rsidP="00E61562">
      <w:pPr>
        <w:jc w:val="both"/>
        <w:rPr>
          <w:rFonts w:ascii="Arial" w:hAnsi="Arial" w:cs="Arial"/>
          <w:color w:val="000000" w:themeColor="text1"/>
          <w:sz w:val="16"/>
          <w:szCs w:val="16"/>
          <w:vertAlign w:val="superscript"/>
          <w:lang w:val="en-US"/>
        </w:rPr>
      </w:pPr>
    </w:p>
    <w:p w14:paraId="0F49A3D1" w14:textId="77777777" w:rsidR="00E61562" w:rsidRPr="002E668C" w:rsidRDefault="00E61562" w:rsidP="00E61562">
      <w:pPr>
        <w:jc w:val="both"/>
        <w:rPr>
          <w:rFonts w:ascii="Arial" w:hAnsi="Arial" w:cs="Arial"/>
          <w:color w:val="000000" w:themeColor="text1"/>
          <w:sz w:val="16"/>
          <w:szCs w:val="16"/>
          <w:lang w:val="en-US"/>
        </w:rPr>
      </w:pPr>
      <w:r w:rsidRPr="002E668C">
        <w:rPr>
          <w:rFonts w:ascii="Arial" w:hAnsi="Arial" w:cs="Arial"/>
          <w:color w:val="000000" w:themeColor="text1"/>
          <w:sz w:val="16"/>
          <w:szCs w:val="16"/>
          <w:vertAlign w:val="superscript"/>
          <w:lang w:val="en-US"/>
        </w:rPr>
        <w:t xml:space="preserve">a </w:t>
      </w:r>
      <w:proofErr w:type="spellStart"/>
      <w:r w:rsidRPr="002E668C">
        <w:rPr>
          <w:rFonts w:ascii="Arial" w:hAnsi="Arial" w:cs="Arial"/>
          <w:color w:val="000000" w:themeColor="text1"/>
          <w:sz w:val="16"/>
          <w:szCs w:val="16"/>
          <w:lang w:val="en-US"/>
        </w:rPr>
        <w:t>HRQoL</w:t>
      </w:r>
      <w:proofErr w:type="spellEnd"/>
      <w:r w:rsidRPr="002E668C">
        <w:rPr>
          <w:rFonts w:ascii="Arial" w:hAnsi="Arial" w:cs="Arial"/>
          <w:color w:val="000000" w:themeColor="text1"/>
          <w:sz w:val="16"/>
          <w:szCs w:val="16"/>
          <w:lang w:val="en-US"/>
        </w:rPr>
        <w:t xml:space="preserve"> decrement values are converted to positive values for the distributions.</w:t>
      </w:r>
    </w:p>
    <w:p w14:paraId="171E4EE9" w14:textId="77777777" w:rsidR="00E61562" w:rsidRPr="002E668C" w:rsidRDefault="00E61562" w:rsidP="00E61562">
      <w:pPr>
        <w:jc w:val="both"/>
        <w:rPr>
          <w:rFonts w:ascii="Arial" w:hAnsi="Arial" w:cs="Arial"/>
          <w:b/>
          <w:bCs/>
          <w:color w:val="000000" w:themeColor="text1"/>
          <w:sz w:val="16"/>
          <w:szCs w:val="16"/>
          <w:lang w:val="en-US"/>
        </w:rPr>
      </w:pPr>
      <w:r w:rsidRPr="002E668C">
        <w:rPr>
          <w:rFonts w:ascii="Arial" w:hAnsi="Arial" w:cs="Arial"/>
          <w:color w:val="000000" w:themeColor="text1"/>
          <w:sz w:val="16"/>
          <w:szCs w:val="16"/>
          <w:vertAlign w:val="superscript"/>
          <w:lang w:val="en-US"/>
        </w:rPr>
        <w:t>b</w:t>
      </w:r>
      <w:r w:rsidRPr="002E668C">
        <w:rPr>
          <w:color w:val="000000" w:themeColor="text1"/>
          <w:sz w:val="16"/>
          <w:szCs w:val="16"/>
        </w:rPr>
        <w:t xml:space="preserve"> </w:t>
      </w:r>
      <w:r w:rsidRPr="002E668C">
        <w:rPr>
          <w:rFonts w:ascii="Arial" w:hAnsi="Arial" w:cs="Arial"/>
          <w:color w:val="000000" w:themeColor="text1"/>
          <w:sz w:val="16"/>
          <w:szCs w:val="16"/>
          <w:lang w:val="en-US"/>
        </w:rPr>
        <w:t>When no distribution and standard error were reported, the variable is not included in the probabilistic analysis.</w:t>
      </w:r>
    </w:p>
    <w:p w14:paraId="00C60D27" w14:textId="77777777" w:rsidR="00E61562" w:rsidRPr="0030308C" w:rsidRDefault="00E61562" w:rsidP="00E6156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br w:type="page"/>
      </w:r>
    </w:p>
    <w:p w14:paraId="48F32FBD" w14:textId="77777777" w:rsidR="00E61562" w:rsidRPr="0030308C" w:rsidRDefault="00E61562" w:rsidP="00E61562">
      <w:pPr>
        <w:rPr>
          <w:rFonts w:ascii="Arial" w:hAnsi="Arial" w:cs="Arial"/>
          <w:i/>
          <w:iCs/>
          <w:color w:val="000000" w:themeColor="text1"/>
          <w:sz w:val="20"/>
          <w:szCs w:val="20"/>
          <w:lang w:val="en-US"/>
        </w:rPr>
        <w:sectPr w:rsidR="00E61562" w:rsidRPr="0030308C" w:rsidSect="00E61562">
          <w:pgSz w:w="16838" w:h="11906" w:orient="landscape"/>
          <w:pgMar w:top="1440" w:right="1440" w:bottom="1440" w:left="1440" w:header="708" w:footer="708" w:gutter="0"/>
          <w:cols w:space="708"/>
          <w:docGrid w:linePitch="360"/>
        </w:sectPr>
      </w:pPr>
      <w:bookmarkStart w:id="11" w:name="_Ref168136587"/>
    </w:p>
    <w:p w14:paraId="347B43B3" w14:textId="77777777" w:rsidR="00E61562" w:rsidRPr="0030308C" w:rsidRDefault="00E61562" w:rsidP="00E61562">
      <w:pPr>
        <w:rPr>
          <w:rFonts w:ascii="Arial" w:hAnsi="Arial" w:cs="Arial"/>
          <w:b/>
          <w:bCs/>
          <w:color w:val="000000" w:themeColor="text1"/>
        </w:rPr>
      </w:pPr>
      <w:bookmarkStart w:id="12" w:name="_Toc168139202"/>
      <w:bookmarkEnd w:id="11"/>
      <w:r w:rsidRPr="00107BE0">
        <w:rPr>
          <w:rFonts w:ascii="Arial" w:hAnsi="Arial" w:cs="Arial"/>
          <w:b/>
          <w:bCs/>
          <w:color w:val="000000" w:themeColor="text1"/>
          <w:lang w:val="en-US"/>
        </w:rPr>
        <w:lastRenderedPageBreak/>
        <w:t>eTable</w:t>
      </w:r>
      <w:r>
        <w:rPr>
          <w:rFonts w:ascii="Arial" w:hAnsi="Arial" w:cs="Arial"/>
          <w:b/>
          <w:bCs/>
          <w:color w:val="000000" w:themeColor="text1"/>
          <w:lang w:val="en-US"/>
        </w:rPr>
        <w:t>7</w:t>
      </w:r>
      <w:r w:rsidRPr="00107BE0">
        <w:rPr>
          <w:rFonts w:ascii="Arial" w:hAnsi="Arial" w:cs="Arial"/>
          <w:b/>
          <w:bCs/>
          <w:color w:val="000000" w:themeColor="text1"/>
          <w:lang w:val="en-US"/>
        </w:rPr>
        <w:t xml:space="preserve">. </w:t>
      </w:r>
      <w:r w:rsidRPr="0030308C">
        <w:rPr>
          <w:rFonts w:ascii="Arial" w:hAnsi="Arial" w:cs="Arial"/>
          <w:b/>
          <w:bCs/>
          <w:color w:val="000000" w:themeColor="text1"/>
          <w:lang w:val="en-US"/>
        </w:rPr>
        <w:t>Frequency of aflibercept treatment (number of injections per year).</w:t>
      </w:r>
      <w:bookmarkEnd w:id="12"/>
      <w:r w:rsidRPr="0030308C">
        <w:rPr>
          <w:rFonts w:ascii="Arial" w:hAnsi="Arial" w:cs="Arial"/>
          <w:b/>
          <w:bCs/>
          <w:color w:val="000000" w:themeColor="text1"/>
        </w:rPr>
        <w:t xml:space="preserve"> RWD = real-world data. T&amp;E = treat-and-extend.</w:t>
      </w:r>
    </w:p>
    <w:p w14:paraId="77E0E764" w14:textId="77777777" w:rsidR="00E61562" w:rsidRPr="0030308C" w:rsidRDefault="00E61562" w:rsidP="00E61562">
      <w:pPr>
        <w:rPr>
          <w:rFonts w:ascii="Arial" w:hAnsi="Arial" w:cs="Arial"/>
          <w:b/>
          <w:bCs/>
          <w:color w:val="000000" w:themeColor="text1"/>
          <w:lang w:val="en-US"/>
        </w:rPr>
      </w:pPr>
    </w:p>
    <w:tbl>
      <w:tblPr>
        <w:tblStyle w:val="TableGridLight"/>
        <w:tblW w:w="1162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gridCol w:w="1701"/>
        <w:gridCol w:w="1418"/>
        <w:gridCol w:w="2126"/>
      </w:tblGrid>
      <w:tr w:rsidR="00E61562" w:rsidRPr="0030308C" w14:paraId="6B798E3B" w14:textId="77777777" w:rsidTr="000E0C52">
        <w:trPr>
          <w:jc w:val="center"/>
        </w:trPr>
        <w:tc>
          <w:tcPr>
            <w:tcW w:w="5245" w:type="dxa"/>
            <w:tcBorders>
              <w:bottom w:val="single" w:sz="4" w:space="0" w:color="auto"/>
            </w:tcBorders>
          </w:tcPr>
          <w:p w14:paraId="0A19DE78" w14:textId="77777777" w:rsidR="00E61562" w:rsidRPr="0030308C" w:rsidRDefault="00E61562" w:rsidP="000E0C52">
            <w:pPr>
              <w:spacing w:line="276" w:lineRule="auto"/>
              <w:jc w:val="both"/>
              <w:rPr>
                <w:rFonts w:ascii="Arial" w:hAnsi="Arial" w:cs="Arial"/>
                <w:b/>
                <w:bCs/>
                <w:color w:val="000000" w:themeColor="text1"/>
                <w:sz w:val="20"/>
                <w:szCs w:val="20"/>
              </w:rPr>
            </w:pPr>
            <w:r w:rsidRPr="0030308C">
              <w:rPr>
                <w:rFonts w:ascii="Arial" w:hAnsi="Arial" w:cs="Arial"/>
                <w:b/>
                <w:bCs/>
                <w:color w:val="000000" w:themeColor="text1"/>
                <w:sz w:val="20"/>
                <w:szCs w:val="20"/>
              </w:rPr>
              <w:t xml:space="preserve">Yearly treatment frequency </w:t>
            </w:r>
          </w:p>
        </w:tc>
        <w:tc>
          <w:tcPr>
            <w:tcW w:w="1134" w:type="dxa"/>
            <w:tcBorders>
              <w:bottom w:val="single" w:sz="4" w:space="0" w:color="auto"/>
            </w:tcBorders>
          </w:tcPr>
          <w:p w14:paraId="1D784DBB" w14:textId="77777777" w:rsidR="00E61562" w:rsidRPr="0030308C" w:rsidRDefault="00E61562" w:rsidP="000E0C52">
            <w:pPr>
              <w:spacing w:line="276" w:lineRule="auto"/>
              <w:rPr>
                <w:rFonts w:ascii="Arial" w:hAnsi="Arial" w:cs="Arial"/>
                <w:b/>
                <w:bCs/>
                <w:color w:val="000000" w:themeColor="text1"/>
                <w:sz w:val="20"/>
                <w:szCs w:val="20"/>
              </w:rPr>
            </w:pPr>
            <w:r w:rsidRPr="0030308C">
              <w:rPr>
                <w:rFonts w:ascii="Arial" w:hAnsi="Arial" w:cs="Arial"/>
                <w:b/>
                <w:bCs/>
                <w:color w:val="000000" w:themeColor="text1"/>
                <w:sz w:val="20"/>
                <w:szCs w:val="20"/>
              </w:rPr>
              <w:t>Value</w:t>
            </w:r>
          </w:p>
        </w:tc>
        <w:tc>
          <w:tcPr>
            <w:tcW w:w="1701" w:type="dxa"/>
            <w:tcBorders>
              <w:bottom w:val="single" w:sz="4" w:space="0" w:color="auto"/>
            </w:tcBorders>
          </w:tcPr>
          <w:p w14:paraId="2B4AB1E3" w14:textId="77777777" w:rsidR="00E61562" w:rsidRPr="0030308C" w:rsidRDefault="00E61562" w:rsidP="000E0C52">
            <w:pPr>
              <w:spacing w:line="276" w:lineRule="auto"/>
              <w:rPr>
                <w:rFonts w:ascii="Arial" w:hAnsi="Arial" w:cs="Arial"/>
                <w:b/>
                <w:bCs/>
                <w:color w:val="000000" w:themeColor="text1"/>
                <w:sz w:val="20"/>
                <w:szCs w:val="20"/>
                <w:vertAlign w:val="superscript"/>
              </w:rPr>
            </w:pPr>
            <w:r w:rsidRPr="0030308C">
              <w:rPr>
                <w:rFonts w:ascii="Arial" w:hAnsi="Arial" w:cs="Arial"/>
                <w:b/>
                <w:bCs/>
                <w:color w:val="000000" w:themeColor="text1"/>
                <w:sz w:val="20"/>
                <w:szCs w:val="20"/>
              </w:rPr>
              <w:t xml:space="preserve">Standard error </w:t>
            </w:r>
          </w:p>
        </w:tc>
        <w:tc>
          <w:tcPr>
            <w:tcW w:w="1418" w:type="dxa"/>
            <w:tcBorders>
              <w:bottom w:val="single" w:sz="4" w:space="0" w:color="auto"/>
            </w:tcBorders>
          </w:tcPr>
          <w:p w14:paraId="6B9718B8" w14:textId="77777777" w:rsidR="00E61562" w:rsidRPr="0030308C" w:rsidRDefault="00E61562" w:rsidP="000E0C52">
            <w:pPr>
              <w:spacing w:line="276" w:lineRule="auto"/>
              <w:jc w:val="both"/>
              <w:rPr>
                <w:rFonts w:ascii="Arial" w:hAnsi="Arial" w:cs="Arial"/>
                <w:b/>
                <w:bCs/>
                <w:color w:val="000000" w:themeColor="text1"/>
                <w:sz w:val="20"/>
                <w:szCs w:val="20"/>
              </w:rPr>
            </w:pPr>
            <w:r w:rsidRPr="0030308C">
              <w:rPr>
                <w:rFonts w:ascii="Arial" w:hAnsi="Arial" w:cs="Arial"/>
                <w:b/>
                <w:bCs/>
                <w:color w:val="000000" w:themeColor="text1"/>
                <w:sz w:val="20"/>
                <w:szCs w:val="20"/>
              </w:rPr>
              <w:t>Distribution</w:t>
            </w:r>
          </w:p>
        </w:tc>
        <w:tc>
          <w:tcPr>
            <w:tcW w:w="2126" w:type="dxa"/>
            <w:tcBorders>
              <w:bottom w:val="single" w:sz="4" w:space="0" w:color="auto"/>
            </w:tcBorders>
          </w:tcPr>
          <w:p w14:paraId="1E9C4115" w14:textId="77777777" w:rsidR="00E61562" w:rsidRPr="0030308C" w:rsidRDefault="00E61562" w:rsidP="000E0C52">
            <w:pPr>
              <w:spacing w:line="276" w:lineRule="auto"/>
              <w:jc w:val="both"/>
              <w:rPr>
                <w:rFonts w:ascii="Arial" w:hAnsi="Arial" w:cs="Arial"/>
                <w:b/>
                <w:bCs/>
                <w:color w:val="000000" w:themeColor="text1"/>
                <w:sz w:val="20"/>
                <w:szCs w:val="20"/>
              </w:rPr>
            </w:pPr>
            <w:r w:rsidRPr="0030308C">
              <w:rPr>
                <w:rFonts w:ascii="Arial" w:hAnsi="Arial" w:cs="Arial"/>
                <w:b/>
                <w:bCs/>
                <w:color w:val="000000" w:themeColor="text1"/>
                <w:sz w:val="20"/>
                <w:szCs w:val="20"/>
              </w:rPr>
              <w:t>Source</w:t>
            </w:r>
          </w:p>
        </w:tc>
      </w:tr>
      <w:tr w:rsidR="00E61562" w:rsidRPr="0030308C" w14:paraId="0AC6329F" w14:textId="77777777" w:rsidTr="000E0C52">
        <w:trPr>
          <w:jc w:val="center"/>
        </w:trPr>
        <w:tc>
          <w:tcPr>
            <w:tcW w:w="5245" w:type="dxa"/>
            <w:tcBorders>
              <w:top w:val="single" w:sz="4" w:space="0" w:color="auto"/>
            </w:tcBorders>
          </w:tcPr>
          <w:p w14:paraId="315251D7" w14:textId="77777777" w:rsidR="00E61562" w:rsidRPr="0030308C" w:rsidRDefault="00E61562" w:rsidP="000E0C52">
            <w:pPr>
              <w:spacing w:line="276" w:lineRule="auto"/>
              <w:jc w:val="both"/>
              <w:rPr>
                <w:rFonts w:ascii="Arial" w:hAnsi="Arial" w:cs="Arial"/>
                <w:b/>
                <w:bCs/>
                <w:color w:val="000000" w:themeColor="text1"/>
                <w:sz w:val="20"/>
                <w:szCs w:val="20"/>
              </w:rPr>
            </w:pPr>
            <w:r w:rsidRPr="0030308C">
              <w:rPr>
                <w:rFonts w:ascii="Arial" w:hAnsi="Arial" w:cs="Arial"/>
                <w:b/>
                <w:bCs/>
                <w:color w:val="000000" w:themeColor="text1"/>
                <w:sz w:val="20"/>
                <w:szCs w:val="20"/>
              </w:rPr>
              <w:t>Base case (T&amp;E interval)</w:t>
            </w:r>
          </w:p>
        </w:tc>
        <w:tc>
          <w:tcPr>
            <w:tcW w:w="1134" w:type="dxa"/>
            <w:tcBorders>
              <w:top w:val="single" w:sz="4" w:space="0" w:color="auto"/>
            </w:tcBorders>
          </w:tcPr>
          <w:p w14:paraId="3E1A67DE" w14:textId="77777777" w:rsidR="00E61562" w:rsidRPr="0030308C" w:rsidRDefault="00E61562" w:rsidP="000E0C52">
            <w:pPr>
              <w:spacing w:line="276" w:lineRule="auto"/>
              <w:rPr>
                <w:rFonts w:ascii="Arial" w:hAnsi="Arial" w:cs="Arial"/>
                <w:color w:val="000000" w:themeColor="text1"/>
                <w:sz w:val="20"/>
                <w:szCs w:val="20"/>
              </w:rPr>
            </w:pPr>
          </w:p>
        </w:tc>
        <w:tc>
          <w:tcPr>
            <w:tcW w:w="1701" w:type="dxa"/>
            <w:tcBorders>
              <w:top w:val="single" w:sz="4" w:space="0" w:color="auto"/>
            </w:tcBorders>
          </w:tcPr>
          <w:p w14:paraId="160F836C" w14:textId="77777777" w:rsidR="00E61562" w:rsidRPr="0030308C" w:rsidRDefault="00E61562" w:rsidP="000E0C52">
            <w:pPr>
              <w:spacing w:line="276" w:lineRule="auto"/>
              <w:rPr>
                <w:rFonts w:ascii="Arial" w:hAnsi="Arial" w:cs="Arial"/>
                <w:color w:val="000000" w:themeColor="text1"/>
                <w:sz w:val="20"/>
                <w:szCs w:val="20"/>
              </w:rPr>
            </w:pPr>
          </w:p>
        </w:tc>
        <w:tc>
          <w:tcPr>
            <w:tcW w:w="1418" w:type="dxa"/>
            <w:tcBorders>
              <w:top w:val="single" w:sz="4" w:space="0" w:color="auto"/>
            </w:tcBorders>
          </w:tcPr>
          <w:p w14:paraId="6C317C8E" w14:textId="77777777" w:rsidR="00E61562" w:rsidRPr="0030308C" w:rsidRDefault="00E61562" w:rsidP="000E0C52">
            <w:pPr>
              <w:spacing w:line="276" w:lineRule="auto"/>
              <w:jc w:val="both"/>
              <w:rPr>
                <w:rFonts w:ascii="Arial" w:hAnsi="Arial" w:cs="Arial"/>
                <w:color w:val="000000" w:themeColor="text1"/>
                <w:sz w:val="20"/>
                <w:szCs w:val="20"/>
              </w:rPr>
            </w:pPr>
          </w:p>
        </w:tc>
        <w:tc>
          <w:tcPr>
            <w:tcW w:w="2126" w:type="dxa"/>
            <w:tcBorders>
              <w:top w:val="single" w:sz="4" w:space="0" w:color="auto"/>
            </w:tcBorders>
          </w:tcPr>
          <w:p w14:paraId="418447E0" w14:textId="77777777" w:rsidR="00E61562" w:rsidRPr="0030308C" w:rsidRDefault="00E61562" w:rsidP="000E0C52">
            <w:pPr>
              <w:spacing w:line="276" w:lineRule="auto"/>
              <w:rPr>
                <w:rFonts w:ascii="Arial" w:hAnsi="Arial" w:cs="Arial"/>
                <w:color w:val="000000" w:themeColor="text1"/>
                <w:sz w:val="20"/>
                <w:szCs w:val="20"/>
              </w:rPr>
            </w:pPr>
          </w:p>
        </w:tc>
      </w:tr>
      <w:tr w:rsidR="00E61562" w:rsidRPr="0030308C" w14:paraId="217CB64C" w14:textId="77777777" w:rsidTr="000E0C52">
        <w:trPr>
          <w:jc w:val="center"/>
        </w:trPr>
        <w:tc>
          <w:tcPr>
            <w:tcW w:w="5245" w:type="dxa"/>
          </w:tcPr>
          <w:p w14:paraId="7090B3DB" w14:textId="77777777" w:rsidR="00E61562" w:rsidRPr="0030308C" w:rsidRDefault="00E61562" w:rsidP="000E0C52">
            <w:pPr>
              <w:spacing w:line="276" w:lineRule="auto"/>
              <w:jc w:val="both"/>
              <w:rPr>
                <w:rFonts w:ascii="Arial" w:hAnsi="Arial" w:cs="Arial"/>
                <w:color w:val="000000" w:themeColor="text1"/>
                <w:sz w:val="20"/>
                <w:szCs w:val="20"/>
              </w:rPr>
            </w:pPr>
            <w:r w:rsidRPr="0030308C">
              <w:rPr>
                <w:rFonts w:ascii="Arial" w:hAnsi="Arial" w:cs="Arial"/>
                <w:color w:val="000000" w:themeColor="text1"/>
                <w:sz w:val="20"/>
                <w:szCs w:val="20"/>
              </w:rPr>
              <w:t>Number of aflibercept injections year 1 T&amp;E</w:t>
            </w:r>
          </w:p>
        </w:tc>
        <w:tc>
          <w:tcPr>
            <w:tcW w:w="1134" w:type="dxa"/>
          </w:tcPr>
          <w:p w14:paraId="7A50DE4D" w14:textId="77777777" w:rsidR="00E61562" w:rsidRPr="0030308C" w:rsidRDefault="00E61562" w:rsidP="000E0C52">
            <w:pPr>
              <w:spacing w:line="276" w:lineRule="auto"/>
              <w:rPr>
                <w:rFonts w:ascii="Arial" w:hAnsi="Arial" w:cs="Arial"/>
                <w:color w:val="000000" w:themeColor="text1"/>
                <w:sz w:val="20"/>
                <w:szCs w:val="20"/>
              </w:rPr>
            </w:pPr>
            <w:r w:rsidRPr="0030308C">
              <w:rPr>
                <w:rFonts w:ascii="Arial" w:hAnsi="Arial" w:cs="Arial"/>
                <w:color w:val="000000" w:themeColor="text1"/>
                <w:sz w:val="20"/>
                <w:szCs w:val="20"/>
              </w:rPr>
              <w:t>8.81</w:t>
            </w:r>
          </w:p>
        </w:tc>
        <w:tc>
          <w:tcPr>
            <w:tcW w:w="1701" w:type="dxa"/>
          </w:tcPr>
          <w:p w14:paraId="0B6D3905" w14:textId="77777777" w:rsidR="00E61562" w:rsidRPr="0030308C" w:rsidRDefault="00E61562" w:rsidP="000E0C52">
            <w:pPr>
              <w:spacing w:line="276" w:lineRule="auto"/>
              <w:rPr>
                <w:rFonts w:ascii="Arial" w:hAnsi="Arial" w:cs="Arial"/>
                <w:color w:val="000000" w:themeColor="text1"/>
                <w:sz w:val="20"/>
                <w:szCs w:val="20"/>
              </w:rPr>
            </w:pPr>
            <w:r w:rsidRPr="0030308C">
              <w:rPr>
                <w:rFonts w:ascii="Arial" w:hAnsi="Arial" w:cs="Arial"/>
                <w:color w:val="000000" w:themeColor="text1"/>
                <w:sz w:val="20"/>
                <w:szCs w:val="20"/>
              </w:rPr>
              <w:t>1.76</w:t>
            </w:r>
          </w:p>
        </w:tc>
        <w:tc>
          <w:tcPr>
            <w:tcW w:w="1418" w:type="dxa"/>
          </w:tcPr>
          <w:p w14:paraId="783130D5" w14:textId="77777777" w:rsidR="00E61562" w:rsidRPr="0030308C" w:rsidRDefault="00E61562" w:rsidP="000E0C52">
            <w:pPr>
              <w:spacing w:line="276" w:lineRule="auto"/>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2126" w:type="dxa"/>
          </w:tcPr>
          <w:p w14:paraId="122B482E" w14:textId="77777777" w:rsidR="00E61562" w:rsidRPr="0030308C" w:rsidRDefault="00E61562" w:rsidP="000E0C52">
            <w:pPr>
              <w:spacing w:line="276" w:lineRule="auto"/>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{"citationID":"uACcgc5F","properties":{"formattedCitation":"(8)","plainCitation":"(8)","noteIndex":0},"citationItems":[{"id":299,"uris":["http://zotero.org/users/local/qnIpXHeo/items/HAB6TKEG"],"itemData":{"id":299,"type":"document","abstract":"Evidence-based recommendations on aflibercept (Eylea) solution for injection for treating wet age-related macular degeneration","language":"eng","note":"publisher: NICE","title":"Macula degeneration Appendix J: Health Economics","URL":"https://www.nice.org.uk/guidance/ta294/chapter/3-The-manufacturers-submission#cost-effectiveness","author":[{"family":"NICE","given":""}],"accessed":{"date-parts":[["2024",1,10]]},"issued":{"date-parts":[["2018"]]}}}],"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sz w:val="20"/>
                <w:lang w:val="en-GB"/>
              </w:rPr>
              <w:t>(8)</w:t>
            </w:r>
            <w:r w:rsidRPr="0030308C">
              <w:rPr>
                <w:rFonts w:ascii="Arial" w:hAnsi="Arial" w:cs="Arial"/>
                <w:color w:val="000000" w:themeColor="text1"/>
                <w:sz w:val="20"/>
                <w:szCs w:val="20"/>
              </w:rPr>
              <w:fldChar w:fldCharType="end"/>
            </w:r>
          </w:p>
        </w:tc>
      </w:tr>
      <w:tr w:rsidR="00E61562" w:rsidRPr="0030308C" w14:paraId="6F65B88B" w14:textId="77777777" w:rsidTr="000E0C52">
        <w:trPr>
          <w:jc w:val="center"/>
        </w:trPr>
        <w:tc>
          <w:tcPr>
            <w:tcW w:w="5245" w:type="dxa"/>
          </w:tcPr>
          <w:p w14:paraId="486A542E" w14:textId="77777777" w:rsidR="00E61562" w:rsidRPr="0030308C" w:rsidRDefault="00E61562" w:rsidP="000E0C52">
            <w:pPr>
              <w:spacing w:line="276" w:lineRule="auto"/>
              <w:jc w:val="both"/>
              <w:rPr>
                <w:rFonts w:ascii="Arial" w:hAnsi="Arial" w:cs="Arial"/>
                <w:color w:val="000000" w:themeColor="text1"/>
                <w:sz w:val="20"/>
                <w:szCs w:val="20"/>
              </w:rPr>
            </w:pPr>
            <w:r w:rsidRPr="0030308C">
              <w:rPr>
                <w:rFonts w:ascii="Arial" w:hAnsi="Arial" w:cs="Arial"/>
                <w:color w:val="000000" w:themeColor="text1"/>
                <w:sz w:val="20"/>
                <w:szCs w:val="20"/>
              </w:rPr>
              <w:t>Number of aflibercept injections year 2 T&amp;E</w:t>
            </w:r>
          </w:p>
        </w:tc>
        <w:tc>
          <w:tcPr>
            <w:tcW w:w="1134" w:type="dxa"/>
          </w:tcPr>
          <w:p w14:paraId="322C48FF" w14:textId="77777777" w:rsidR="00E61562" w:rsidRPr="0030308C" w:rsidRDefault="00E61562" w:rsidP="000E0C52">
            <w:pPr>
              <w:spacing w:line="276" w:lineRule="auto"/>
              <w:rPr>
                <w:rFonts w:ascii="Arial" w:hAnsi="Arial" w:cs="Arial"/>
                <w:color w:val="000000" w:themeColor="text1"/>
                <w:sz w:val="20"/>
                <w:szCs w:val="20"/>
              </w:rPr>
            </w:pPr>
            <w:r w:rsidRPr="0030308C">
              <w:rPr>
                <w:rFonts w:ascii="Arial" w:hAnsi="Arial" w:cs="Arial"/>
                <w:color w:val="000000" w:themeColor="text1"/>
                <w:sz w:val="20"/>
                <w:szCs w:val="20"/>
              </w:rPr>
              <w:t>7.28</w:t>
            </w:r>
          </w:p>
        </w:tc>
        <w:tc>
          <w:tcPr>
            <w:tcW w:w="1701" w:type="dxa"/>
          </w:tcPr>
          <w:p w14:paraId="67F921C5" w14:textId="77777777" w:rsidR="00E61562" w:rsidRPr="0030308C" w:rsidRDefault="00E61562" w:rsidP="000E0C52">
            <w:pPr>
              <w:spacing w:line="276" w:lineRule="auto"/>
              <w:rPr>
                <w:rFonts w:ascii="Arial" w:hAnsi="Arial" w:cs="Arial"/>
                <w:color w:val="000000" w:themeColor="text1"/>
                <w:sz w:val="20"/>
                <w:szCs w:val="20"/>
              </w:rPr>
            </w:pPr>
            <w:r w:rsidRPr="0030308C">
              <w:rPr>
                <w:rFonts w:ascii="Arial" w:hAnsi="Arial" w:cs="Arial"/>
                <w:color w:val="000000" w:themeColor="text1"/>
                <w:sz w:val="20"/>
                <w:szCs w:val="20"/>
              </w:rPr>
              <w:t>1.46</w:t>
            </w:r>
          </w:p>
        </w:tc>
        <w:tc>
          <w:tcPr>
            <w:tcW w:w="1418" w:type="dxa"/>
          </w:tcPr>
          <w:p w14:paraId="5B91792D" w14:textId="77777777" w:rsidR="00E61562" w:rsidRPr="0030308C" w:rsidRDefault="00E61562" w:rsidP="000E0C52">
            <w:pPr>
              <w:spacing w:line="276" w:lineRule="auto"/>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2126" w:type="dxa"/>
          </w:tcPr>
          <w:p w14:paraId="76E2A1CA" w14:textId="77777777" w:rsidR="00E61562" w:rsidRPr="0030308C" w:rsidRDefault="00E61562" w:rsidP="000E0C52">
            <w:pPr>
              <w:spacing w:line="276" w:lineRule="auto"/>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{"citationID":"5aCZyfI2","properties":{"formattedCitation":"(8)","plainCitation":"(8)","noteIndex":0},"citationItems":[{"id":299,"uris":["http://zotero.org/users/local/qnIpXHeo/items/HAB6TKEG"],"itemData":{"id":299,"type":"document","abstract":"Evidence-based recommendations on aflibercept (Eylea) solution for injection for treating wet age-related macular degeneration","language":"eng","note":"publisher: NICE","title":"Macula degeneration Appendix J: Health Economics","URL":"https://www.nice.org.uk/guidance/ta294/chapter/3-The-manufacturers-submission#cost-effectiveness","author":[{"family":"NICE","given":""}],"accessed":{"date-parts":[["2024",1,10]]},"issued":{"date-parts":[["2018"]]}}}],"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sz w:val="20"/>
                <w:lang w:val="en-GB"/>
              </w:rPr>
              <w:t>(8)</w:t>
            </w:r>
            <w:r w:rsidRPr="0030308C">
              <w:rPr>
                <w:rFonts w:ascii="Arial" w:hAnsi="Arial" w:cs="Arial"/>
                <w:color w:val="000000" w:themeColor="text1"/>
                <w:sz w:val="20"/>
                <w:szCs w:val="20"/>
              </w:rPr>
              <w:fldChar w:fldCharType="end"/>
            </w:r>
          </w:p>
        </w:tc>
      </w:tr>
      <w:tr w:rsidR="00E61562" w:rsidRPr="0030308C" w14:paraId="3CF56E79" w14:textId="77777777" w:rsidTr="000E0C52">
        <w:trPr>
          <w:jc w:val="center"/>
        </w:trPr>
        <w:tc>
          <w:tcPr>
            <w:tcW w:w="5245" w:type="dxa"/>
            <w:tcBorders>
              <w:bottom w:val="single" w:sz="4" w:space="0" w:color="auto"/>
            </w:tcBorders>
          </w:tcPr>
          <w:p w14:paraId="2C659792" w14:textId="77777777" w:rsidR="00E61562" w:rsidRPr="0030308C" w:rsidRDefault="00E61562" w:rsidP="000E0C52">
            <w:pPr>
              <w:spacing w:line="276" w:lineRule="auto"/>
              <w:jc w:val="both"/>
              <w:rPr>
                <w:rFonts w:ascii="Arial" w:hAnsi="Arial" w:cs="Arial"/>
                <w:color w:val="000000" w:themeColor="text1"/>
                <w:sz w:val="20"/>
                <w:szCs w:val="20"/>
              </w:rPr>
            </w:pPr>
            <w:r w:rsidRPr="0030308C">
              <w:rPr>
                <w:rFonts w:ascii="Arial" w:hAnsi="Arial" w:cs="Arial"/>
                <w:color w:val="000000" w:themeColor="text1"/>
                <w:sz w:val="20"/>
                <w:szCs w:val="20"/>
              </w:rPr>
              <w:t>Number of aflibercept injections years 3+ T&amp;E</w:t>
            </w:r>
          </w:p>
        </w:tc>
        <w:tc>
          <w:tcPr>
            <w:tcW w:w="1134" w:type="dxa"/>
            <w:tcBorders>
              <w:bottom w:val="single" w:sz="4" w:space="0" w:color="auto"/>
            </w:tcBorders>
          </w:tcPr>
          <w:p w14:paraId="5074853E" w14:textId="77777777" w:rsidR="00E61562" w:rsidRPr="0030308C" w:rsidRDefault="00E61562" w:rsidP="000E0C52">
            <w:pPr>
              <w:spacing w:line="276" w:lineRule="auto"/>
              <w:rPr>
                <w:rFonts w:ascii="Arial" w:hAnsi="Arial" w:cs="Arial"/>
                <w:color w:val="000000" w:themeColor="text1"/>
                <w:sz w:val="20"/>
                <w:szCs w:val="20"/>
              </w:rPr>
            </w:pPr>
            <w:r w:rsidRPr="0030308C">
              <w:rPr>
                <w:rFonts w:ascii="Arial" w:hAnsi="Arial" w:cs="Arial"/>
                <w:color w:val="000000" w:themeColor="text1"/>
                <w:sz w:val="20"/>
                <w:szCs w:val="20"/>
              </w:rPr>
              <w:t>4.38</w:t>
            </w:r>
          </w:p>
        </w:tc>
        <w:tc>
          <w:tcPr>
            <w:tcW w:w="1701" w:type="dxa"/>
            <w:tcBorders>
              <w:bottom w:val="single" w:sz="4" w:space="0" w:color="auto"/>
            </w:tcBorders>
          </w:tcPr>
          <w:p w14:paraId="2128871F" w14:textId="77777777" w:rsidR="00E61562" w:rsidRPr="0030308C" w:rsidRDefault="00E61562" w:rsidP="000E0C52">
            <w:pPr>
              <w:spacing w:line="276" w:lineRule="auto"/>
              <w:rPr>
                <w:rFonts w:ascii="Arial" w:hAnsi="Arial" w:cs="Arial"/>
                <w:color w:val="000000" w:themeColor="text1"/>
                <w:sz w:val="20"/>
                <w:szCs w:val="20"/>
              </w:rPr>
            </w:pPr>
            <w:r w:rsidRPr="0030308C">
              <w:rPr>
                <w:rFonts w:ascii="Arial" w:hAnsi="Arial" w:cs="Arial"/>
                <w:color w:val="000000" w:themeColor="text1"/>
                <w:sz w:val="20"/>
                <w:szCs w:val="20"/>
              </w:rPr>
              <w:t>0.88</w:t>
            </w:r>
          </w:p>
        </w:tc>
        <w:tc>
          <w:tcPr>
            <w:tcW w:w="1418" w:type="dxa"/>
            <w:tcBorders>
              <w:bottom w:val="single" w:sz="4" w:space="0" w:color="auto"/>
            </w:tcBorders>
          </w:tcPr>
          <w:p w14:paraId="2AD483CF" w14:textId="77777777" w:rsidR="00E61562" w:rsidRPr="0030308C" w:rsidRDefault="00E61562" w:rsidP="000E0C52">
            <w:pPr>
              <w:spacing w:line="276" w:lineRule="auto"/>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2126" w:type="dxa"/>
            <w:tcBorders>
              <w:bottom w:val="single" w:sz="4" w:space="0" w:color="auto"/>
            </w:tcBorders>
          </w:tcPr>
          <w:p w14:paraId="35D163FB" w14:textId="77777777" w:rsidR="00E61562" w:rsidRPr="0030308C" w:rsidRDefault="00E61562" w:rsidP="000E0C52">
            <w:pPr>
              <w:spacing w:line="276" w:lineRule="auto"/>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{"citationID":"hbZNamZp","properties":{"formattedCitation":"(8)","plainCitation":"(8)","noteIndex":0},"citationItems":[{"id":299,"uris":["http://zotero.org/users/local/qnIpXHeo/items/HAB6TKEG"],"itemData":{"id":299,"type":"document","abstract":"Evidence-based recommendations on aflibercept (Eylea) solution for injection for treating wet age-related macular degeneration","language":"eng","note":"publisher: NICE","title":"Macula degeneration Appendix J: Health Economics","URL":"https://www.nice.org.uk/guidance/ta294/chapter/3-The-manufacturers-submission#cost-effectiveness","author":[{"family":"NICE","given":""}],"accessed":{"date-parts":[["2024",1,10]]},"issued":{"date-parts":[["2018"]]}}}],"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sz w:val="20"/>
                <w:lang w:val="en-GB"/>
              </w:rPr>
              <w:t>(8)</w:t>
            </w:r>
            <w:r w:rsidRPr="0030308C">
              <w:rPr>
                <w:rFonts w:ascii="Arial" w:hAnsi="Arial" w:cs="Arial"/>
                <w:color w:val="000000" w:themeColor="text1"/>
                <w:sz w:val="20"/>
                <w:szCs w:val="20"/>
              </w:rPr>
              <w:fldChar w:fldCharType="end"/>
            </w:r>
          </w:p>
        </w:tc>
      </w:tr>
      <w:tr w:rsidR="00E61562" w:rsidRPr="0030308C" w14:paraId="5CCA27C2" w14:textId="77777777" w:rsidTr="000E0C52">
        <w:trPr>
          <w:jc w:val="center"/>
        </w:trPr>
        <w:tc>
          <w:tcPr>
            <w:tcW w:w="5245" w:type="dxa"/>
            <w:tcBorders>
              <w:top w:val="single" w:sz="4" w:space="0" w:color="auto"/>
            </w:tcBorders>
          </w:tcPr>
          <w:p w14:paraId="2E9BED14" w14:textId="77777777" w:rsidR="00E61562" w:rsidRPr="0030308C" w:rsidRDefault="00E61562" w:rsidP="000E0C52">
            <w:pPr>
              <w:spacing w:line="276" w:lineRule="auto"/>
              <w:rPr>
                <w:rFonts w:ascii="Arial" w:hAnsi="Arial" w:cs="Arial"/>
                <w:b/>
                <w:bCs/>
                <w:color w:val="000000" w:themeColor="text1"/>
                <w:sz w:val="20"/>
                <w:szCs w:val="20"/>
              </w:rPr>
            </w:pPr>
            <w:r w:rsidRPr="0030308C">
              <w:rPr>
                <w:rFonts w:ascii="Arial" w:hAnsi="Arial" w:cs="Arial"/>
                <w:b/>
                <w:bCs/>
                <w:color w:val="000000" w:themeColor="text1"/>
                <w:sz w:val="20"/>
                <w:szCs w:val="20"/>
              </w:rPr>
              <w:t>Subgroup 1 (</w:t>
            </w:r>
            <w:r w:rsidRPr="004A5E02">
              <w:rPr>
                <w:rFonts w:ascii="Arial" w:hAnsi="Arial" w:cs="Arial"/>
                <w:b/>
                <w:bCs/>
                <w:color w:val="000000" w:themeColor="text1"/>
                <w:sz w:val="20"/>
                <w:szCs w:val="20"/>
              </w:rPr>
              <w:t>high-treatment-intensity</w:t>
            </w:r>
            <w:r>
              <w:rPr>
                <w:rFonts w:ascii="Arial" w:hAnsi="Arial" w:cs="Arial"/>
                <w:b/>
                <w:bCs/>
                <w:color w:val="000000" w:themeColor="text1"/>
                <w:sz w:val="20"/>
                <w:szCs w:val="20"/>
              </w:rPr>
              <w:t xml:space="preserve"> </w:t>
            </w:r>
            <w:r w:rsidRPr="004A5E02">
              <w:rPr>
                <w:rFonts w:ascii="Arial" w:hAnsi="Arial" w:cs="Arial"/>
                <w:b/>
                <w:bCs/>
                <w:color w:val="000000" w:themeColor="text1"/>
                <w:sz w:val="20"/>
                <w:szCs w:val="20"/>
              </w:rPr>
              <w:t xml:space="preserve">patients </w:t>
            </w:r>
            <w:r w:rsidRPr="0030308C">
              <w:rPr>
                <w:rFonts w:ascii="Arial" w:hAnsi="Arial" w:cs="Arial"/>
                <w:b/>
                <w:bCs/>
                <w:color w:val="000000" w:themeColor="text1"/>
                <w:sz w:val="20"/>
                <w:szCs w:val="20"/>
              </w:rPr>
              <w:t xml:space="preserve">with perfect </w:t>
            </w:r>
            <w:proofErr w:type="spellStart"/>
            <w:r w:rsidRPr="0030308C">
              <w:rPr>
                <w:rFonts w:ascii="Arial" w:hAnsi="Arial" w:cs="Arial"/>
                <w:b/>
                <w:bCs/>
                <w:color w:val="000000" w:themeColor="text1"/>
                <w:sz w:val="20"/>
                <w:szCs w:val="20"/>
              </w:rPr>
              <w:t>monthly</w:t>
            </w:r>
            <w:r w:rsidRPr="0030308C">
              <w:rPr>
                <w:rFonts w:ascii="Arial" w:hAnsi="Arial" w:cs="Arial"/>
                <w:b/>
                <w:bCs/>
                <w:color w:val="000000" w:themeColor="text1"/>
                <w:sz w:val="20"/>
                <w:szCs w:val="20"/>
                <w:vertAlign w:val="superscript"/>
              </w:rPr>
              <w:t>a</w:t>
            </w:r>
            <w:proofErr w:type="spellEnd"/>
            <w:r w:rsidRPr="0030308C">
              <w:rPr>
                <w:rFonts w:ascii="Arial" w:hAnsi="Arial" w:cs="Arial"/>
                <w:b/>
                <w:bCs/>
                <w:color w:val="000000" w:themeColor="text1"/>
                <w:sz w:val="20"/>
                <w:szCs w:val="20"/>
                <w:vertAlign w:val="superscript"/>
              </w:rPr>
              <w:t xml:space="preserve"> </w:t>
            </w:r>
            <w:r w:rsidRPr="0030308C">
              <w:rPr>
                <w:rFonts w:ascii="Arial" w:hAnsi="Arial" w:cs="Arial"/>
                <w:b/>
                <w:bCs/>
                <w:color w:val="000000" w:themeColor="text1"/>
                <w:sz w:val="20"/>
                <w:szCs w:val="20"/>
              </w:rPr>
              <w:t>adherence)</w:t>
            </w:r>
          </w:p>
        </w:tc>
        <w:tc>
          <w:tcPr>
            <w:tcW w:w="1134" w:type="dxa"/>
            <w:tcBorders>
              <w:top w:val="single" w:sz="4" w:space="0" w:color="auto"/>
            </w:tcBorders>
          </w:tcPr>
          <w:p w14:paraId="2EE2D8EE" w14:textId="77777777" w:rsidR="00E61562" w:rsidRPr="0030308C" w:rsidRDefault="00E61562" w:rsidP="000E0C52">
            <w:pPr>
              <w:spacing w:line="276" w:lineRule="auto"/>
              <w:rPr>
                <w:rFonts w:ascii="Arial" w:hAnsi="Arial" w:cs="Arial"/>
                <w:color w:val="000000" w:themeColor="text1"/>
                <w:sz w:val="20"/>
                <w:szCs w:val="20"/>
              </w:rPr>
            </w:pPr>
          </w:p>
        </w:tc>
        <w:tc>
          <w:tcPr>
            <w:tcW w:w="1701" w:type="dxa"/>
            <w:tcBorders>
              <w:top w:val="single" w:sz="4" w:space="0" w:color="auto"/>
            </w:tcBorders>
          </w:tcPr>
          <w:p w14:paraId="4FA8F2EF" w14:textId="77777777" w:rsidR="00E61562" w:rsidRPr="0030308C" w:rsidRDefault="00E61562" w:rsidP="000E0C52">
            <w:pPr>
              <w:spacing w:line="276" w:lineRule="auto"/>
              <w:rPr>
                <w:rFonts w:ascii="Arial" w:hAnsi="Arial" w:cs="Arial"/>
                <w:color w:val="000000" w:themeColor="text1"/>
                <w:sz w:val="20"/>
                <w:szCs w:val="20"/>
              </w:rPr>
            </w:pPr>
          </w:p>
        </w:tc>
        <w:tc>
          <w:tcPr>
            <w:tcW w:w="1418" w:type="dxa"/>
            <w:tcBorders>
              <w:top w:val="single" w:sz="4" w:space="0" w:color="auto"/>
            </w:tcBorders>
          </w:tcPr>
          <w:p w14:paraId="1F7C97D0" w14:textId="77777777" w:rsidR="00E61562" w:rsidRPr="0030308C" w:rsidRDefault="00E61562" w:rsidP="000E0C52">
            <w:pPr>
              <w:spacing w:line="276" w:lineRule="auto"/>
              <w:jc w:val="both"/>
              <w:rPr>
                <w:rFonts w:ascii="Arial" w:hAnsi="Arial" w:cs="Arial"/>
                <w:color w:val="000000" w:themeColor="text1"/>
                <w:sz w:val="20"/>
                <w:szCs w:val="20"/>
              </w:rPr>
            </w:pPr>
          </w:p>
        </w:tc>
        <w:tc>
          <w:tcPr>
            <w:tcW w:w="2126" w:type="dxa"/>
            <w:tcBorders>
              <w:top w:val="single" w:sz="4" w:space="0" w:color="auto"/>
            </w:tcBorders>
          </w:tcPr>
          <w:p w14:paraId="09D8CA00" w14:textId="77777777" w:rsidR="00E61562" w:rsidRPr="0030308C" w:rsidRDefault="00E61562" w:rsidP="000E0C52">
            <w:pPr>
              <w:spacing w:line="276" w:lineRule="auto"/>
              <w:rPr>
                <w:rFonts w:ascii="Arial" w:hAnsi="Arial" w:cs="Arial"/>
                <w:color w:val="000000" w:themeColor="text1"/>
                <w:sz w:val="20"/>
                <w:szCs w:val="20"/>
              </w:rPr>
            </w:pPr>
          </w:p>
        </w:tc>
      </w:tr>
      <w:tr w:rsidR="00E61562" w:rsidRPr="0030308C" w14:paraId="1D2B66D9" w14:textId="77777777" w:rsidTr="000E0C52">
        <w:trPr>
          <w:jc w:val="center"/>
        </w:trPr>
        <w:tc>
          <w:tcPr>
            <w:tcW w:w="5245" w:type="dxa"/>
            <w:tcBorders>
              <w:bottom w:val="single" w:sz="4" w:space="0" w:color="auto"/>
            </w:tcBorders>
          </w:tcPr>
          <w:p w14:paraId="52641B70" w14:textId="77777777" w:rsidR="00E61562" w:rsidRPr="0030308C" w:rsidRDefault="00E61562" w:rsidP="000E0C52">
            <w:pPr>
              <w:spacing w:line="276" w:lineRule="auto"/>
              <w:jc w:val="both"/>
              <w:rPr>
                <w:rFonts w:ascii="Arial" w:hAnsi="Arial" w:cs="Arial"/>
                <w:color w:val="000000" w:themeColor="text1"/>
                <w:sz w:val="20"/>
                <w:szCs w:val="20"/>
              </w:rPr>
            </w:pPr>
            <w:r w:rsidRPr="0030308C">
              <w:rPr>
                <w:rFonts w:ascii="Arial" w:hAnsi="Arial" w:cs="Arial"/>
                <w:color w:val="000000" w:themeColor="text1"/>
                <w:sz w:val="20"/>
                <w:szCs w:val="20"/>
              </w:rPr>
              <w:t>Number of aflibercept injections years 1+</w:t>
            </w:r>
          </w:p>
        </w:tc>
        <w:tc>
          <w:tcPr>
            <w:tcW w:w="1134" w:type="dxa"/>
            <w:tcBorders>
              <w:bottom w:val="single" w:sz="4" w:space="0" w:color="auto"/>
            </w:tcBorders>
          </w:tcPr>
          <w:p w14:paraId="657D68FC" w14:textId="77777777" w:rsidR="00E61562" w:rsidRPr="0030308C" w:rsidRDefault="00E61562" w:rsidP="000E0C52">
            <w:pPr>
              <w:spacing w:line="276" w:lineRule="auto"/>
              <w:rPr>
                <w:rFonts w:ascii="Arial" w:hAnsi="Arial" w:cs="Arial"/>
                <w:color w:val="000000" w:themeColor="text1"/>
                <w:sz w:val="20"/>
                <w:szCs w:val="20"/>
              </w:rPr>
            </w:pPr>
            <w:r w:rsidRPr="0030308C">
              <w:rPr>
                <w:rFonts w:ascii="Arial" w:hAnsi="Arial" w:cs="Arial"/>
                <w:color w:val="000000" w:themeColor="text1"/>
                <w:sz w:val="20"/>
                <w:szCs w:val="20"/>
              </w:rPr>
              <w:t>13.04</w:t>
            </w:r>
          </w:p>
        </w:tc>
        <w:tc>
          <w:tcPr>
            <w:tcW w:w="1701" w:type="dxa"/>
            <w:tcBorders>
              <w:bottom w:val="single" w:sz="4" w:space="0" w:color="auto"/>
            </w:tcBorders>
          </w:tcPr>
          <w:p w14:paraId="17316876" w14:textId="77777777" w:rsidR="00E61562" w:rsidRPr="0030308C" w:rsidRDefault="00E61562" w:rsidP="000E0C52">
            <w:pPr>
              <w:spacing w:line="276" w:lineRule="auto"/>
              <w:rPr>
                <w:rFonts w:ascii="Arial" w:hAnsi="Arial" w:cs="Arial"/>
                <w:color w:val="000000" w:themeColor="text1"/>
                <w:sz w:val="20"/>
                <w:szCs w:val="20"/>
              </w:rPr>
            </w:pPr>
            <w:r w:rsidRPr="0030308C">
              <w:rPr>
                <w:rFonts w:ascii="Arial" w:hAnsi="Arial" w:cs="Arial"/>
                <w:color w:val="000000" w:themeColor="text1"/>
                <w:sz w:val="20"/>
                <w:szCs w:val="20"/>
              </w:rPr>
              <w:t>2.61</w:t>
            </w:r>
          </w:p>
        </w:tc>
        <w:tc>
          <w:tcPr>
            <w:tcW w:w="1418" w:type="dxa"/>
            <w:tcBorders>
              <w:bottom w:val="single" w:sz="4" w:space="0" w:color="auto"/>
            </w:tcBorders>
          </w:tcPr>
          <w:p w14:paraId="5D813355" w14:textId="77777777" w:rsidR="00E61562" w:rsidRPr="0030308C" w:rsidRDefault="00E61562" w:rsidP="000E0C52">
            <w:pPr>
              <w:spacing w:line="276" w:lineRule="auto"/>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2126" w:type="dxa"/>
            <w:tcBorders>
              <w:bottom w:val="single" w:sz="4" w:space="0" w:color="auto"/>
            </w:tcBorders>
          </w:tcPr>
          <w:p w14:paraId="409B341F" w14:textId="77777777" w:rsidR="00E61562" w:rsidRPr="0030308C" w:rsidRDefault="00E61562" w:rsidP="000E0C52">
            <w:pPr>
              <w:spacing w:line="276" w:lineRule="auto"/>
              <w:rPr>
                <w:rFonts w:ascii="Arial" w:hAnsi="Arial" w:cs="Arial"/>
                <w:color w:val="000000" w:themeColor="text1"/>
                <w:sz w:val="20"/>
                <w:szCs w:val="20"/>
              </w:rPr>
            </w:pPr>
            <w:r w:rsidRPr="0030308C">
              <w:rPr>
                <w:rFonts w:ascii="Arial" w:hAnsi="Arial" w:cs="Arial"/>
                <w:color w:val="000000" w:themeColor="text1"/>
                <w:sz w:val="20"/>
                <w:szCs w:val="20"/>
              </w:rPr>
              <w:t>Estimated according to definition</w:t>
            </w:r>
          </w:p>
        </w:tc>
      </w:tr>
      <w:tr w:rsidR="00E61562" w:rsidRPr="0030308C" w14:paraId="04245D83" w14:textId="77777777" w:rsidTr="000E0C52">
        <w:trPr>
          <w:jc w:val="center"/>
        </w:trPr>
        <w:tc>
          <w:tcPr>
            <w:tcW w:w="5245" w:type="dxa"/>
            <w:tcBorders>
              <w:top w:val="single" w:sz="4" w:space="0" w:color="auto"/>
            </w:tcBorders>
          </w:tcPr>
          <w:p w14:paraId="251567A7" w14:textId="77777777" w:rsidR="00E61562" w:rsidRPr="0030308C" w:rsidRDefault="00E61562" w:rsidP="000E0C52">
            <w:pPr>
              <w:spacing w:line="276" w:lineRule="auto"/>
              <w:rPr>
                <w:rFonts w:ascii="Arial" w:hAnsi="Arial" w:cs="Arial"/>
                <w:b/>
                <w:bCs/>
                <w:color w:val="000000" w:themeColor="text1"/>
                <w:sz w:val="20"/>
                <w:szCs w:val="20"/>
              </w:rPr>
            </w:pPr>
            <w:r w:rsidRPr="0030308C">
              <w:rPr>
                <w:rFonts w:ascii="Arial" w:hAnsi="Arial" w:cs="Arial"/>
                <w:b/>
                <w:bCs/>
                <w:color w:val="000000" w:themeColor="text1"/>
                <w:sz w:val="20"/>
                <w:szCs w:val="20"/>
              </w:rPr>
              <w:t>Subgroup 2 (</w:t>
            </w:r>
            <w:r w:rsidRPr="004A5E02">
              <w:rPr>
                <w:rFonts w:ascii="Arial" w:hAnsi="Arial" w:cs="Arial"/>
                <w:b/>
                <w:bCs/>
                <w:color w:val="000000" w:themeColor="text1"/>
                <w:sz w:val="20"/>
                <w:szCs w:val="20"/>
              </w:rPr>
              <w:t xml:space="preserve">high-treatment-intensity patients </w:t>
            </w:r>
            <w:r w:rsidRPr="0030308C">
              <w:rPr>
                <w:rFonts w:ascii="Arial" w:hAnsi="Arial" w:cs="Arial"/>
                <w:b/>
                <w:bCs/>
                <w:color w:val="000000" w:themeColor="text1"/>
                <w:sz w:val="20"/>
                <w:szCs w:val="20"/>
              </w:rPr>
              <w:t xml:space="preserve">with </w:t>
            </w:r>
            <w:proofErr w:type="spellStart"/>
            <w:r w:rsidRPr="0030308C">
              <w:rPr>
                <w:rFonts w:ascii="Arial" w:hAnsi="Arial" w:cs="Arial"/>
                <w:b/>
                <w:bCs/>
                <w:color w:val="000000" w:themeColor="text1"/>
                <w:sz w:val="20"/>
                <w:szCs w:val="20"/>
              </w:rPr>
              <w:t>RWD</w:t>
            </w:r>
            <w:r>
              <w:rPr>
                <w:rFonts w:ascii="Arial" w:hAnsi="Arial" w:cs="Arial"/>
                <w:b/>
                <w:bCs/>
                <w:color w:val="000000" w:themeColor="text1"/>
                <w:sz w:val="20"/>
                <w:szCs w:val="20"/>
                <w:vertAlign w:val="superscript"/>
              </w:rPr>
              <w:t>b</w:t>
            </w:r>
            <w:proofErr w:type="spellEnd"/>
            <w:r w:rsidRPr="0030308C">
              <w:rPr>
                <w:rFonts w:ascii="Arial" w:hAnsi="Arial" w:cs="Arial"/>
                <w:b/>
                <w:bCs/>
                <w:color w:val="000000" w:themeColor="text1"/>
                <w:sz w:val="20"/>
                <w:szCs w:val="20"/>
              </w:rPr>
              <w:t>)</w:t>
            </w:r>
          </w:p>
        </w:tc>
        <w:tc>
          <w:tcPr>
            <w:tcW w:w="1134" w:type="dxa"/>
            <w:tcBorders>
              <w:top w:val="single" w:sz="4" w:space="0" w:color="auto"/>
            </w:tcBorders>
          </w:tcPr>
          <w:p w14:paraId="41363CD2" w14:textId="77777777" w:rsidR="00E61562" w:rsidRPr="0030308C" w:rsidRDefault="00E61562" w:rsidP="000E0C52">
            <w:pPr>
              <w:spacing w:line="276" w:lineRule="auto"/>
              <w:rPr>
                <w:rFonts w:ascii="Arial" w:hAnsi="Arial" w:cs="Arial"/>
                <w:color w:val="000000" w:themeColor="text1"/>
                <w:sz w:val="20"/>
                <w:szCs w:val="20"/>
              </w:rPr>
            </w:pPr>
          </w:p>
        </w:tc>
        <w:tc>
          <w:tcPr>
            <w:tcW w:w="1701" w:type="dxa"/>
            <w:tcBorders>
              <w:top w:val="single" w:sz="4" w:space="0" w:color="auto"/>
            </w:tcBorders>
          </w:tcPr>
          <w:p w14:paraId="58C8253F" w14:textId="77777777" w:rsidR="00E61562" w:rsidRPr="0030308C" w:rsidRDefault="00E61562" w:rsidP="000E0C52">
            <w:pPr>
              <w:spacing w:line="276" w:lineRule="auto"/>
              <w:rPr>
                <w:rFonts w:ascii="Arial" w:hAnsi="Arial" w:cs="Arial"/>
                <w:color w:val="000000" w:themeColor="text1"/>
                <w:sz w:val="20"/>
                <w:szCs w:val="20"/>
              </w:rPr>
            </w:pPr>
          </w:p>
        </w:tc>
        <w:tc>
          <w:tcPr>
            <w:tcW w:w="1418" w:type="dxa"/>
            <w:tcBorders>
              <w:top w:val="single" w:sz="4" w:space="0" w:color="auto"/>
            </w:tcBorders>
          </w:tcPr>
          <w:p w14:paraId="1149BD61" w14:textId="77777777" w:rsidR="00E61562" w:rsidRPr="0030308C" w:rsidRDefault="00E61562" w:rsidP="000E0C52">
            <w:pPr>
              <w:spacing w:line="276" w:lineRule="auto"/>
              <w:jc w:val="both"/>
              <w:rPr>
                <w:rFonts w:ascii="Arial" w:hAnsi="Arial" w:cs="Arial"/>
                <w:color w:val="000000" w:themeColor="text1"/>
                <w:sz w:val="20"/>
                <w:szCs w:val="20"/>
              </w:rPr>
            </w:pPr>
          </w:p>
        </w:tc>
        <w:tc>
          <w:tcPr>
            <w:tcW w:w="2126" w:type="dxa"/>
            <w:tcBorders>
              <w:top w:val="single" w:sz="4" w:space="0" w:color="auto"/>
            </w:tcBorders>
          </w:tcPr>
          <w:p w14:paraId="54F2DD65" w14:textId="77777777" w:rsidR="00E61562" w:rsidRPr="0030308C" w:rsidRDefault="00E61562" w:rsidP="000E0C52">
            <w:pPr>
              <w:spacing w:line="276" w:lineRule="auto"/>
              <w:jc w:val="both"/>
              <w:rPr>
                <w:rFonts w:ascii="Arial" w:hAnsi="Arial" w:cs="Arial"/>
                <w:color w:val="000000" w:themeColor="text1"/>
                <w:sz w:val="20"/>
                <w:szCs w:val="20"/>
              </w:rPr>
            </w:pPr>
          </w:p>
        </w:tc>
      </w:tr>
      <w:tr w:rsidR="00E61562" w:rsidRPr="0030308C" w14:paraId="23E58064" w14:textId="77777777" w:rsidTr="000E0C52">
        <w:trPr>
          <w:jc w:val="center"/>
        </w:trPr>
        <w:tc>
          <w:tcPr>
            <w:tcW w:w="5245" w:type="dxa"/>
          </w:tcPr>
          <w:p w14:paraId="02241AB3" w14:textId="77777777" w:rsidR="00E61562" w:rsidRPr="0030308C" w:rsidRDefault="00E61562" w:rsidP="000E0C52">
            <w:pPr>
              <w:spacing w:line="276" w:lineRule="auto"/>
              <w:jc w:val="both"/>
              <w:rPr>
                <w:rFonts w:ascii="Arial" w:hAnsi="Arial" w:cs="Arial"/>
                <w:color w:val="000000" w:themeColor="text1"/>
                <w:sz w:val="20"/>
                <w:szCs w:val="20"/>
              </w:rPr>
            </w:pPr>
            <w:r w:rsidRPr="0030308C">
              <w:rPr>
                <w:rFonts w:ascii="Arial" w:hAnsi="Arial" w:cs="Arial"/>
                <w:color w:val="000000" w:themeColor="text1"/>
                <w:sz w:val="20"/>
                <w:szCs w:val="20"/>
              </w:rPr>
              <w:t xml:space="preserve">Number of aflibercept injections year 1 </w:t>
            </w:r>
          </w:p>
        </w:tc>
        <w:tc>
          <w:tcPr>
            <w:tcW w:w="1134" w:type="dxa"/>
          </w:tcPr>
          <w:p w14:paraId="3E20E9AB" w14:textId="77777777" w:rsidR="00E61562" w:rsidRPr="0030308C" w:rsidRDefault="00E61562" w:rsidP="000E0C52">
            <w:pPr>
              <w:spacing w:line="276" w:lineRule="auto"/>
              <w:rPr>
                <w:rFonts w:ascii="Arial" w:hAnsi="Arial" w:cs="Arial"/>
                <w:color w:val="000000" w:themeColor="text1"/>
                <w:sz w:val="20"/>
                <w:szCs w:val="20"/>
              </w:rPr>
            </w:pPr>
            <w:r w:rsidRPr="0030308C">
              <w:rPr>
                <w:rFonts w:ascii="Arial" w:hAnsi="Arial" w:cs="Arial"/>
                <w:color w:val="000000" w:themeColor="text1"/>
                <w:sz w:val="20"/>
                <w:szCs w:val="20"/>
              </w:rPr>
              <w:t>11.90</w:t>
            </w:r>
          </w:p>
        </w:tc>
        <w:tc>
          <w:tcPr>
            <w:tcW w:w="1701" w:type="dxa"/>
          </w:tcPr>
          <w:p w14:paraId="0FB11826" w14:textId="77777777" w:rsidR="00E61562" w:rsidRPr="0030308C" w:rsidRDefault="00E61562" w:rsidP="000E0C52">
            <w:pPr>
              <w:spacing w:line="276" w:lineRule="auto"/>
              <w:rPr>
                <w:rFonts w:ascii="Arial" w:hAnsi="Arial" w:cs="Arial"/>
                <w:color w:val="000000" w:themeColor="text1"/>
                <w:sz w:val="20"/>
                <w:szCs w:val="20"/>
              </w:rPr>
            </w:pPr>
            <w:r w:rsidRPr="0030308C">
              <w:rPr>
                <w:rFonts w:ascii="Arial" w:hAnsi="Arial" w:cs="Arial"/>
                <w:color w:val="000000" w:themeColor="text1"/>
                <w:sz w:val="20"/>
                <w:szCs w:val="20"/>
              </w:rPr>
              <w:t>2.38</w:t>
            </w:r>
          </w:p>
        </w:tc>
        <w:tc>
          <w:tcPr>
            <w:tcW w:w="1418" w:type="dxa"/>
          </w:tcPr>
          <w:p w14:paraId="17F817D0" w14:textId="77777777" w:rsidR="00E61562" w:rsidRPr="0030308C" w:rsidRDefault="00E61562" w:rsidP="000E0C52">
            <w:pPr>
              <w:spacing w:line="276" w:lineRule="auto"/>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2126" w:type="dxa"/>
          </w:tcPr>
          <w:p w14:paraId="23B64E45" w14:textId="77777777" w:rsidR="00E61562" w:rsidRPr="0030308C" w:rsidRDefault="00E61562" w:rsidP="000E0C52">
            <w:pPr>
              <w:spacing w:line="276" w:lineRule="auto"/>
              <w:jc w:val="both"/>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{"citationID":"2tHY9g5c","properties":{"formattedCitation":"(8)","plainCitation":"(8)","noteIndex":0},"citationItems":[{"id":299,"uris":["http://zotero.org/users/local/qnIpXHeo/items/HAB6TKEG"],"itemData":{"id":299,"type":"document","abstract":"Evidence-based recommendations on aflibercept (Eylea) solution for injection for treating wet age-related macular degeneration","language":"eng","note":"publisher: NICE","title":"Macula degeneration Appendix J: Health Economics","URL":"https://www.nice.org.uk/guidance/ta294/chapter/3-The-manufacturers-submission#cost-effectiveness","author":[{"family":"NICE","given":""}],"accessed":{"date-parts":[["2024",1,10]]},"issued":{"date-parts":[["2018"]]}}}],"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sz w:val="20"/>
                <w:lang w:val="en-GB"/>
              </w:rPr>
              <w:t>(8)</w:t>
            </w:r>
            <w:r w:rsidRPr="0030308C">
              <w:rPr>
                <w:rFonts w:ascii="Arial" w:hAnsi="Arial" w:cs="Arial"/>
                <w:color w:val="000000" w:themeColor="text1"/>
                <w:sz w:val="20"/>
                <w:szCs w:val="20"/>
              </w:rPr>
              <w:fldChar w:fldCharType="end"/>
            </w:r>
          </w:p>
        </w:tc>
      </w:tr>
      <w:tr w:rsidR="00E61562" w:rsidRPr="0030308C" w14:paraId="4D546777" w14:textId="77777777" w:rsidTr="000E0C52">
        <w:trPr>
          <w:jc w:val="center"/>
        </w:trPr>
        <w:tc>
          <w:tcPr>
            <w:tcW w:w="5245" w:type="dxa"/>
          </w:tcPr>
          <w:p w14:paraId="367B2F35" w14:textId="77777777" w:rsidR="00E61562" w:rsidRPr="0030308C" w:rsidRDefault="00E61562" w:rsidP="000E0C52">
            <w:pPr>
              <w:spacing w:line="276" w:lineRule="auto"/>
              <w:jc w:val="both"/>
              <w:rPr>
                <w:rFonts w:ascii="Arial" w:hAnsi="Arial" w:cs="Arial"/>
                <w:color w:val="000000" w:themeColor="text1"/>
                <w:sz w:val="20"/>
                <w:szCs w:val="20"/>
              </w:rPr>
            </w:pPr>
            <w:r w:rsidRPr="0030308C">
              <w:rPr>
                <w:rFonts w:ascii="Arial" w:hAnsi="Arial" w:cs="Arial"/>
                <w:color w:val="000000" w:themeColor="text1"/>
                <w:sz w:val="20"/>
                <w:szCs w:val="20"/>
              </w:rPr>
              <w:t xml:space="preserve">Number of aflibercept injections year 2 </w:t>
            </w:r>
          </w:p>
        </w:tc>
        <w:tc>
          <w:tcPr>
            <w:tcW w:w="1134" w:type="dxa"/>
          </w:tcPr>
          <w:p w14:paraId="2ECEC48B" w14:textId="77777777" w:rsidR="00E61562" w:rsidRPr="0030308C" w:rsidRDefault="00E61562" w:rsidP="000E0C52">
            <w:pPr>
              <w:spacing w:line="276" w:lineRule="auto"/>
              <w:rPr>
                <w:rFonts w:ascii="Arial" w:hAnsi="Arial" w:cs="Arial"/>
                <w:color w:val="000000" w:themeColor="text1"/>
                <w:sz w:val="20"/>
                <w:szCs w:val="20"/>
              </w:rPr>
            </w:pPr>
            <w:r w:rsidRPr="0030308C">
              <w:rPr>
                <w:rFonts w:ascii="Arial" w:hAnsi="Arial" w:cs="Arial"/>
                <w:color w:val="000000" w:themeColor="text1"/>
                <w:sz w:val="20"/>
                <w:szCs w:val="20"/>
              </w:rPr>
              <w:t>11.38</w:t>
            </w:r>
          </w:p>
        </w:tc>
        <w:tc>
          <w:tcPr>
            <w:tcW w:w="1701" w:type="dxa"/>
          </w:tcPr>
          <w:p w14:paraId="4D56DC7D" w14:textId="77777777" w:rsidR="00E61562" w:rsidRPr="0030308C" w:rsidRDefault="00E61562" w:rsidP="000E0C52">
            <w:pPr>
              <w:spacing w:line="276" w:lineRule="auto"/>
              <w:rPr>
                <w:rFonts w:ascii="Arial" w:hAnsi="Arial" w:cs="Arial"/>
                <w:color w:val="000000" w:themeColor="text1"/>
                <w:sz w:val="20"/>
                <w:szCs w:val="20"/>
              </w:rPr>
            </w:pPr>
            <w:r w:rsidRPr="0030308C">
              <w:rPr>
                <w:rFonts w:ascii="Arial" w:hAnsi="Arial" w:cs="Arial"/>
                <w:color w:val="000000" w:themeColor="text1"/>
                <w:sz w:val="20"/>
                <w:szCs w:val="20"/>
              </w:rPr>
              <w:t>2.28</w:t>
            </w:r>
          </w:p>
        </w:tc>
        <w:tc>
          <w:tcPr>
            <w:tcW w:w="1418" w:type="dxa"/>
          </w:tcPr>
          <w:p w14:paraId="18559901" w14:textId="77777777" w:rsidR="00E61562" w:rsidRPr="0030308C" w:rsidRDefault="00E61562" w:rsidP="000E0C52">
            <w:pPr>
              <w:spacing w:line="276" w:lineRule="auto"/>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2126" w:type="dxa"/>
          </w:tcPr>
          <w:p w14:paraId="26DB7CED" w14:textId="77777777" w:rsidR="00E61562" w:rsidRPr="0030308C" w:rsidRDefault="00E61562" w:rsidP="000E0C52">
            <w:pPr>
              <w:spacing w:line="276" w:lineRule="auto"/>
              <w:jc w:val="both"/>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{"citationID":"qikO9q9Y","properties":{"formattedCitation":"(8)","plainCitation":"(8)","noteIndex":0},"citationItems":[{"id":299,"uris":["http://zotero.org/users/local/qnIpXHeo/items/HAB6TKEG"],"itemData":{"id":299,"type":"document","abstract":"Evidence-based recommendations on aflibercept (Eylea) solution for injection for treating wet age-related macular degeneration","language":"eng","note":"publisher: NICE","title":"Macula degeneration Appendix J: Health Economics","URL":"https://www.nice.org.uk/guidance/ta294/chapter/3-The-manufacturers-submission#cost-effectiveness","author":[{"family":"NICE","given":""}],"accessed":{"date-parts":[["2024",1,10]]},"issued":{"date-parts":[["2018"]]}}}],"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sz w:val="20"/>
                <w:lang w:val="en-GB"/>
              </w:rPr>
              <w:t>(8)</w:t>
            </w:r>
            <w:r w:rsidRPr="0030308C">
              <w:rPr>
                <w:rFonts w:ascii="Arial" w:hAnsi="Arial" w:cs="Arial"/>
                <w:color w:val="000000" w:themeColor="text1"/>
                <w:sz w:val="20"/>
                <w:szCs w:val="20"/>
              </w:rPr>
              <w:fldChar w:fldCharType="end"/>
            </w:r>
          </w:p>
        </w:tc>
      </w:tr>
      <w:tr w:rsidR="00E61562" w:rsidRPr="0030308C" w14:paraId="3B279B96" w14:textId="77777777" w:rsidTr="000E0C52">
        <w:trPr>
          <w:jc w:val="center"/>
        </w:trPr>
        <w:tc>
          <w:tcPr>
            <w:tcW w:w="5245" w:type="dxa"/>
          </w:tcPr>
          <w:p w14:paraId="3A121221" w14:textId="77777777" w:rsidR="00E61562" w:rsidRPr="0030308C" w:rsidRDefault="00E61562" w:rsidP="000E0C52">
            <w:pPr>
              <w:spacing w:line="276" w:lineRule="auto"/>
              <w:jc w:val="both"/>
              <w:rPr>
                <w:rFonts w:ascii="Arial" w:hAnsi="Arial" w:cs="Arial"/>
                <w:color w:val="000000" w:themeColor="text1"/>
                <w:sz w:val="20"/>
                <w:szCs w:val="20"/>
              </w:rPr>
            </w:pPr>
            <w:r w:rsidRPr="0030308C">
              <w:rPr>
                <w:rFonts w:ascii="Arial" w:hAnsi="Arial" w:cs="Arial"/>
                <w:color w:val="000000" w:themeColor="text1"/>
                <w:sz w:val="20"/>
                <w:szCs w:val="20"/>
              </w:rPr>
              <w:t xml:space="preserve">Number of aflibercept injections years 3+ </w:t>
            </w:r>
          </w:p>
        </w:tc>
        <w:tc>
          <w:tcPr>
            <w:tcW w:w="1134" w:type="dxa"/>
          </w:tcPr>
          <w:p w14:paraId="624E43EB" w14:textId="77777777" w:rsidR="00E61562" w:rsidRPr="0030308C" w:rsidRDefault="00E61562" w:rsidP="000E0C52">
            <w:pPr>
              <w:spacing w:line="276" w:lineRule="auto"/>
              <w:rPr>
                <w:rFonts w:ascii="Arial" w:hAnsi="Arial" w:cs="Arial"/>
                <w:color w:val="000000" w:themeColor="text1"/>
                <w:sz w:val="20"/>
                <w:szCs w:val="20"/>
              </w:rPr>
            </w:pPr>
            <w:r w:rsidRPr="0030308C">
              <w:rPr>
                <w:rFonts w:ascii="Arial" w:hAnsi="Arial" w:cs="Arial"/>
                <w:color w:val="000000" w:themeColor="text1"/>
                <w:sz w:val="20"/>
                <w:szCs w:val="20"/>
              </w:rPr>
              <w:t>10.92</w:t>
            </w:r>
          </w:p>
        </w:tc>
        <w:tc>
          <w:tcPr>
            <w:tcW w:w="1701" w:type="dxa"/>
          </w:tcPr>
          <w:p w14:paraId="6F907698" w14:textId="77777777" w:rsidR="00E61562" w:rsidRPr="0030308C" w:rsidRDefault="00E61562" w:rsidP="000E0C52">
            <w:pPr>
              <w:spacing w:line="276" w:lineRule="auto"/>
              <w:rPr>
                <w:rFonts w:ascii="Arial" w:hAnsi="Arial" w:cs="Arial"/>
                <w:color w:val="000000" w:themeColor="text1"/>
                <w:sz w:val="20"/>
                <w:szCs w:val="20"/>
              </w:rPr>
            </w:pPr>
            <w:r w:rsidRPr="0030308C">
              <w:rPr>
                <w:rFonts w:ascii="Arial" w:hAnsi="Arial" w:cs="Arial"/>
                <w:color w:val="000000" w:themeColor="text1"/>
                <w:sz w:val="20"/>
                <w:szCs w:val="20"/>
              </w:rPr>
              <w:t>2.18</w:t>
            </w:r>
          </w:p>
        </w:tc>
        <w:tc>
          <w:tcPr>
            <w:tcW w:w="1418" w:type="dxa"/>
          </w:tcPr>
          <w:p w14:paraId="14229876" w14:textId="77777777" w:rsidR="00E61562" w:rsidRPr="0030308C" w:rsidRDefault="00E61562" w:rsidP="000E0C52">
            <w:pPr>
              <w:spacing w:line="276" w:lineRule="auto"/>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2126" w:type="dxa"/>
          </w:tcPr>
          <w:p w14:paraId="0E3FA848" w14:textId="77777777" w:rsidR="00E61562" w:rsidRPr="0030308C" w:rsidRDefault="00E61562" w:rsidP="000E0C52">
            <w:pPr>
              <w:spacing w:line="276" w:lineRule="auto"/>
              <w:jc w:val="both"/>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{"citationID":"i1SMtAUe","properties":{"formattedCitation":"(8)","plainCitation":"(8)","noteIndex":0},"citationItems":[{"id":299,"uris":["http://zotero.org/users/local/qnIpXHeo/items/HAB6TKEG"],"itemData":{"id":299,"type":"document","abstract":"Evidence-based recommendations on aflibercept (Eylea) solution for injection for treating wet age-related macular degeneration","language":"eng","note":"publisher: NICE","title":"Macula degeneration Appendix J: Health Economics","URL":"https://www.nice.org.uk/guidance/ta294/chapter/3-The-manufacturers-submission#cost-effectiveness","author":[{"family":"NICE","given":""}],"accessed":{"date-parts":[["2024",1,10]]},"issued":{"date-parts":[["2018"]]}}}],"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sz w:val="20"/>
                <w:lang w:val="en-GB"/>
              </w:rPr>
              <w:t>(8)</w:t>
            </w:r>
            <w:r w:rsidRPr="0030308C">
              <w:rPr>
                <w:rFonts w:ascii="Arial" w:hAnsi="Arial" w:cs="Arial"/>
                <w:color w:val="000000" w:themeColor="text1"/>
                <w:sz w:val="20"/>
                <w:szCs w:val="20"/>
              </w:rPr>
              <w:fldChar w:fldCharType="end"/>
            </w:r>
          </w:p>
        </w:tc>
      </w:tr>
    </w:tbl>
    <w:p w14:paraId="7988A3A1" w14:textId="77777777" w:rsidR="00E61562" w:rsidRPr="0030308C" w:rsidRDefault="00E61562" w:rsidP="00E61562">
      <w:pPr>
        <w:pStyle w:val="Caption"/>
        <w:keepNext/>
        <w:spacing w:after="0" w:line="276" w:lineRule="auto"/>
        <w:jc w:val="both"/>
        <w:rPr>
          <w:rFonts w:ascii="Arial" w:hAnsi="Arial" w:cs="Arial"/>
          <w:i w:val="0"/>
          <w:iCs w:val="0"/>
          <w:color w:val="000000" w:themeColor="text1"/>
          <w:vertAlign w:val="superscript"/>
        </w:rPr>
      </w:pPr>
      <w:bookmarkStart w:id="13" w:name="_Ref166800546"/>
    </w:p>
    <w:p w14:paraId="09FA4509" w14:textId="77777777" w:rsidR="00E61562" w:rsidRPr="00F41E75" w:rsidRDefault="00E61562" w:rsidP="00E61562">
      <w:pPr>
        <w:pStyle w:val="Caption"/>
        <w:keepNext/>
        <w:spacing w:after="0" w:line="276" w:lineRule="auto"/>
        <w:jc w:val="both"/>
        <w:rPr>
          <w:rFonts w:ascii="Arial" w:hAnsi="Arial" w:cs="Arial"/>
          <w:i w:val="0"/>
          <w:iCs w:val="0"/>
          <w:color w:val="000000" w:themeColor="text1"/>
          <w:sz w:val="16"/>
          <w:szCs w:val="16"/>
        </w:rPr>
      </w:pPr>
      <w:proofErr w:type="gramStart"/>
      <w:r w:rsidRPr="0030308C">
        <w:rPr>
          <w:rFonts w:ascii="Arial" w:hAnsi="Arial" w:cs="Arial"/>
          <w:i w:val="0"/>
          <w:iCs w:val="0"/>
          <w:color w:val="000000" w:themeColor="text1"/>
          <w:vertAlign w:val="superscript"/>
        </w:rPr>
        <w:t>a</w:t>
      </w:r>
      <w:r>
        <w:rPr>
          <w:rFonts w:ascii="Arial" w:hAnsi="Arial" w:cs="Arial"/>
          <w:i w:val="0"/>
          <w:iCs w:val="0"/>
          <w:color w:val="000000" w:themeColor="text1"/>
          <w:vertAlign w:val="superscript"/>
        </w:rPr>
        <w:t xml:space="preserve"> </w:t>
      </w:r>
      <w:r w:rsidRPr="00FD64AF">
        <w:rPr>
          <w:rFonts w:ascii="Arial" w:hAnsi="Arial" w:cs="Arial"/>
          <w:i w:val="0"/>
          <w:iCs w:val="0"/>
          <w:color w:val="000000" w:themeColor="text1"/>
          <w:sz w:val="16"/>
          <w:szCs w:val="16"/>
        </w:rPr>
        <w:t>Monthly injections</w:t>
      </w:r>
      <w:proofErr w:type="gramEnd"/>
      <w:r w:rsidRPr="00FD64AF">
        <w:rPr>
          <w:rFonts w:ascii="Arial" w:hAnsi="Arial" w:cs="Arial"/>
          <w:i w:val="0"/>
          <w:iCs w:val="0"/>
          <w:color w:val="000000" w:themeColor="text1"/>
          <w:sz w:val="16"/>
          <w:szCs w:val="16"/>
        </w:rPr>
        <w:t xml:space="preserve"> are assumed</w:t>
      </w:r>
      <w:r w:rsidRPr="002E668C">
        <w:rPr>
          <w:rFonts w:ascii="Arial" w:hAnsi="Arial" w:cs="Arial"/>
          <w:i w:val="0"/>
          <w:iCs w:val="0"/>
          <w:color w:val="000000" w:themeColor="text1"/>
          <w:sz w:val="16"/>
          <w:szCs w:val="16"/>
        </w:rPr>
        <w:t xml:space="preserve"> to be administered every 4 weeks, up to 13.04 injections per year.</w:t>
      </w:r>
    </w:p>
    <w:p w14:paraId="6137332C" w14:textId="77777777" w:rsidR="00E61562" w:rsidRPr="00F41E75" w:rsidRDefault="00E61562" w:rsidP="00E61562">
      <w:pPr>
        <w:pStyle w:val="Caption"/>
        <w:keepNext/>
        <w:spacing w:after="0" w:line="276" w:lineRule="auto"/>
        <w:jc w:val="both"/>
        <w:rPr>
          <w:rFonts w:ascii="Arial" w:hAnsi="Arial" w:cs="Arial"/>
          <w:i w:val="0"/>
          <w:iCs w:val="0"/>
          <w:color w:val="000000" w:themeColor="text1"/>
          <w:sz w:val="16"/>
          <w:szCs w:val="16"/>
          <w:lang w:val="en-NL"/>
        </w:rPr>
      </w:pPr>
      <w:r>
        <w:rPr>
          <w:rFonts w:ascii="Arial" w:hAnsi="Arial" w:cs="Arial"/>
          <w:i w:val="0"/>
          <w:iCs w:val="0"/>
          <w:color w:val="000000" w:themeColor="text1"/>
          <w:vertAlign w:val="superscript"/>
        </w:rPr>
        <w:t xml:space="preserve">b </w:t>
      </w:r>
      <w:r w:rsidRPr="00F41E75">
        <w:rPr>
          <w:rFonts w:ascii="Arial" w:hAnsi="Arial" w:cs="Arial"/>
          <w:i w:val="0"/>
          <w:iCs w:val="0"/>
          <w:color w:val="000000" w:themeColor="text1"/>
          <w:sz w:val="16"/>
          <w:szCs w:val="16"/>
        </w:rPr>
        <w:t>Real-world adherence to the recommended treatment reflects imperfect adherence to continuous, routine injections. The number of injections given long-term is assumed to be 91% of the intended number of injections per year.</w:t>
      </w:r>
    </w:p>
    <w:p w14:paraId="1DB31513" w14:textId="77777777" w:rsidR="00E61562" w:rsidRPr="00F41E75" w:rsidRDefault="00E61562" w:rsidP="00E61562">
      <w:pPr>
        <w:rPr>
          <w:lang w:val="en-US"/>
        </w:rPr>
        <w:sectPr w:rsidR="00E61562" w:rsidRPr="00F41E75" w:rsidSect="00E61562">
          <w:pgSz w:w="11906" w:h="16838"/>
          <w:pgMar w:top="1440" w:right="1440" w:bottom="1440" w:left="1440" w:header="708" w:footer="708" w:gutter="0"/>
          <w:cols w:space="708"/>
          <w:docGrid w:linePitch="360"/>
        </w:sectPr>
      </w:pPr>
    </w:p>
    <w:p w14:paraId="7A3C3791" w14:textId="77777777" w:rsidR="00E61562" w:rsidRPr="0030308C" w:rsidRDefault="00E61562" w:rsidP="00E61562">
      <w:pPr>
        <w:pStyle w:val="Caption"/>
        <w:keepNext/>
        <w:jc w:val="both"/>
        <w:rPr>
          <w:rFonts w:ascii="Arial" w:hAnsi="Arial" w:cs="Arial"/>
          <w:b/>
          <w:bCs/>
          <w:i w:val="0"/>
          <w:iCs w:val="0"/>
          <w:color w:val="000000" w:themeColor="text1"/>
          <w:sz w:val="24"/>
          <w:szCs w:val="24"/>
        </w:rPr>
      </w:pPr>
      <w:bookmarkStart w:id="14" w:name="_Toc168139203"/>
      <w:bookmarkEnd w:id="13"/>
      <w:r>
        <w:rPr>
          <w:rFonts w:ascii="Arial" w:hAnsi="Arial" w:cs="Arial"/>
          <w:b/>
          <w:bCs/>
          <w:i w:val="0"/>
          <w:iCs w:val="0"/>
          <w:color w:val="000000" w:themeColor="text1"/>
          <w:sz w:val="24"/>
          <w:szCs w:val="24"/>
        </w:rPr>
        <w:lastRenderedPageBreak/>
        <w:t>eTable8</w:t>
      </w:r>
      <w:r w:rsidRPr="0030308C">
        <w:rPr>
          <w:rFonts w:ascii="Arial" w:hAnsi="Arial" w:cs="Arial"/>
          <w:b/>
          <w:bCs/>
          <w:i w:val="0"/>
          <w:iCs w:val="0"/>
          <w:color w:val="000000" w:themeColor="text1"/>
          <w:sz w:val="24"/>
          <w:szCs w:val="24"/>
        </w:rPr>
        <w:t xml:space="preserve">. Input values for treatment-related and health state-related costs including probabilistic analysis distributions. </w:t>
      </w:r>
      <w:bookmarkEnd w:id="14"/>
    </w:p>
    <w:tbl>
      <w:tblPr>
        <w:tblStyle w:val="TableGridLight"/>
        <w:tblW w:w="588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6"/>
        <w:gridCol w:w="4318"/>
        <w:gridCol w:w="1402"/>
        <w:gridCol w:w="1543"/>
        <w:gridCol w:w="1379"/>
        <w:gridCol w:w="5222"/>
      </w:tblGrid>
      <w:tr w:rsidR="00E61562" w:rsidRPr="0030308C" w14:paraId="13558A47" w14:textId="77777777" w:rsidTr="000E0C52">
        <w:trPr>
          <w:trHeight w:val="466"/>
          <w:jc w:val="center"/>
        </w:trPr>
        <w:tc>
          <w:tcPr>
            <w:tcW w:w="778" w:type="pct"/>
            <w:tcBorders>
              <w:bottom w:val="single" w:sz="4" w:space="0" w:color="auto"/>
            </w:tcBorders>
          </w:tcPr>
          <w:p w14:paraId="732CA252" w14:textId="77777777" w:rsidR="00E61562" w:rsidRPr="0030308C" w:rsidRDefault="00E61562" w:rsidP="000E0C52">
            <w:pPr>
              <w:rPr>
                <w:rFonts w:ascii="Arial" w:hAnsi="Arial" w:cs="Arial"/>
                <w:b/>
                <w:bCs/>
                <w:color w:val="000000" w:themeColor="text1"/>
                <w:sz w:val="20"/>
                <w:szCs w:val="20"/>
              </w:rPr>
            </w:pPr>
            <w:r w:rsidRPr="0030308C">
              <w:rPr>
                <w:rFonts w:ascii="Arial" w:hAnsi="Arial" w:cs="Arial"/>
                <w:b/>
                <w:bCs/>
                <w:color w:val="000000" w:themeColor="text1"/>
                <w:sz w:val="20"/>
                <w:szCs w:val="20"/>
              </w:rPr>
              <w:t>Type of treatment-related cost (cost in US $)</w:t>
            </w:r>
          </w:p>
        </w:tc>
        <w:tc>
          <w:tcPr>
            <w:tcW w:w="1315" w:type="pct"/>
            <w:tcBorders>
              <w:bottom w:val="single" w:sz="4" w:space="0" w:color="auto"/>
            </w:tcBorders>
          </w:tcPr>
          <w:p w14:paraId="125C0C2B" w14:textId="77777777" w:rsidR="00E61562" w:rsidRPr="0030308C" w:rsidRDefault="00E61562" w:rsidP="000E0C52">
            <w:pPr>
              <w:rPr>
                <w:rFonts w:ascii="Arial" w:hAnsi="Arial" w:cs="Arial"/>
                <w:b/>
                <w:bCs/>
                <w:color w:val="000000" w:themeColor="text1"/>
                <w:sz w:val="20"/>
                <w:szCs w:val="20"/>
              </w:rPr>
            </w:pPr>
            <w:r w:rsidRPr="0030308C">
              <w:rPr>
                <w:rFonts w:ascii="Arial" w:hAnsi="Arial" w:cs="Arial"/>
                <w:b/>
                <w:bCs/>
                <w:color w:val="000000" w:themeColor="text1"/>
                <w:sz w:val="20"/>
                <w:szCs w:val="20"/>
              </w:rPr>
              <w:t>Description</w:t>
            </w:r>
          </w:p>
        </w:tc>
        <w:tc>
          <w:tcPr>
            <w:tcW w:w="427" w:type="pct"/>
            <w:tcBorders>
              <w:bottom w:val="single" w:sz="4" w:space="0" w:color="auto"/>
            </w:tcBorders>
          </w:tcPr>
          <w:p w14:paraId="704B8225" w14:textId="77777777" w:rsidR="00E61562" w:rsidRPr="0030308C" w:rsidRDefault="00E61562" w:rsidP="000E0C52">
            <w:pPr>
              <w:rPr>
                <w:rFonts w:ascii="Arial" w:hAnsi="Arial" w:cs="Arial"/>
                <w:b/>
                <w:bCs/>
                <w:color w:val="000000" w:themeColor="text1"/>
                <w:sz w:val="20"/>
                <w:szCs w:val="20"/>
              </w:rPr>
            </w:pPr>
            <w:r w:rsidRPr="0030308C">
              <w:rPr>
                <w:rFonts w:ascii="Arial" w:hAnsi="Arial" w:cs="Arial"/>
                <w:b/>
                <w:bCs/>
                <w:color w:val="000000" w:themeColor="text1"/>
                <w:sz w:val="20"/>
                <w:szCs w:val="20"/>
              </w:rPr>
              <w:t>Value</w:t>
            </w:r>
          </w:p>
        </w:tc>
        <w:tc>
          <w:tcPr>
            <w:tcW w:w="470" w:type="pct"/>
            <w:tcBorders>
              <w:bottom w:val="single" w:sz="4" w:space="0" w:color="auto"/>
            </w:tcBorders>
          </w:tcPr>
          <w:p w14:paraId="1BCCABF2" w14:textId="77777777" w:rsidR="00E61562" w:rsidRPr="0030308C" w:rsidRDefault="00E61562" w:rsidP="000E0C52">
            <w:pPr>
              <w:rPr>
                <w:rFonts w:ascii="Arial" w:hAnsi="Arial" w:cs="Arial"/>
                <w:b/>
                <w:bCs/>
                <w:color w:val="000000" w:themeColor="text1"/>
                <w:sz w:val="20"/>
                <w:szCs w:val="20"/>
                <w:vertAlign w:val="superscript"/>
              </w:rPr>
            </w:pPr>
            <w:r w:rsidRPr="0030308C">
              <w:rPr>
                <w:rFonts w:ascii="Arial" w:hAnsi="Arial" w:cs="Arial"/>
                <w:b/>
                <w:bCs/>
                <w:color w:val="000000" w:themeColor="text1"/>
                <w:sz w:val="20"/>
                <w:szCs w:val="20"/>
              </w:rPr>
              <w:t xml:space="preserve">Standard </w:t>
            </w:r>
            <w:proofErr w:type="spellStart"/>
            <w:proofErr w:type="gramStart"/>
            <w:r w:rsidRPr="0030308C">
              <w:rPr>
                <w:rFonts w:ascii="Arial" w:hAnsi="Arial" w:cs="Arial"/>
                <w:b/>
                <w:bCs/>
                <w:color w:val="000000" w:themeColor="text1"/>
                <w:sz w:val="20"/>
                <w:szCs w:val="20"/>
              </w:rPr>
              <w:t>error</w:t>
            </w:r>
            <w:r w:rsidRPr="0030308C">
              <w:rPr>
                <w:rFonts w:ascii="Arial" w:hAnsi="Arial" w:cs="Arial"/>
                <w:b/>
                <w:bCs/>
                <w:color w:val="000000" w:themeColor="text1"/>
                <w:sz w:val="20"/>
                <w:szCs w:val="20"/>
                <w:vertAlign w:val="superscript"/>
              </w:rPr>
              <w:t>a,b</w:t>
            </w:r>
            <w:proofErr w:type="spellEnd"/>
            <w:proofErr w:type="gramEnd"/>
          </w:p>
        </w:tc>
        <w:tc>
          <w:tcPr>
            <w:tcW w:w="420" w:type="pct"/>
            <w:tcBorders>
              <w:bottom w:val="single" w:sz="4" w:space="0" w:color="auto"/>
            </w:tcBorders>
          </w:tcPr>
          <w:p w14:paraId="15ED28FA" w14:textId="77777777" w:rsidR="00E61562" w:rsidRPr="0030308C" w:rsidRDefault="00E61562" w:rsidP="000E0C52">
            <w:pPr>
              <w:rPr>
                <w:rFonts w:ascii="Arial" w:hAnsi="Arial" w:cs="Arial"/>
                <w:b/>
                <w:bCs/>
                <w:color w:val="000000" w:themeColor="text1"/>
                <w:sz w:val="20"/>
                <w:szCs w:val="20"/>
                <w:vertAlign w:val="superscript"/>
              </w:rPr>
            </w:pPr>
            <w:r w:rsidRPr="0030308C">
              <w:rPr>
                <w:rFonts w:ascii="Arial" w:hAnsi="Arial" w:cs="Arial"/>
                <w:b/>
                <w:bCs/>
                <w:color w:val="000000" w:themeColor="text1"/>
                <w:sz w:val="20"/>
                <w:szCs w:val="20"/>
              </w:rPr>
              <w:t>Distribution</w:t>
            </w:r>
          </w:p>
        </w:tc>
        <w:tc>
          <w:tcPr>
            <w:tcW w:w="1590" w:type="pct"/>
            <w:tcBorders>
              <w:bottom w:val="single" w:sz="4" w:space="0" w:color="auto"/>
            </w:tcBorders>
          </w:tcPr>
          <w:p w14:paraId="4649ABED" w14:textId="77777777" w:rsidR="00E61562" w:rsidRPr="0030308C" w:rsidRDefault="00E61562" w:rsidP="000E0C52">
            <w:pPr>
              <w:rPr>
                <w:rFonts w:ascii="Arial" w:hAnsi="Arial" w:cs="Arial"/>
                <w:b/>
                <w:bCs/>
                <w:color w:val="000000" w:themeColor="text1"/>
                <w:sz w:val="20"/>
                <w:szCs w:val="20"/>
              </w:rPr>
            </w:pPr>
            <w:r w:rsidRPr="0030308C">
              <w:rPr>
                <w:rFonts w:ascii="Arial" w:hAnsi="Arial" w:cs="Arial"/>
                <w:b/>
                <w:bCs/>
                <w:color w:val="000000" w:themeColor="text1"/>
                <w:sz w:val="20"/>
                <w:szCs w:val="20"/>
              </w:rPr>
              <w:t>Source</w:t>
            </w:r>
          </w:p>
        </w:tc>
      </w:tr>
      <w:tr w:rsidR="00E61562" w:rsidRPr="0030308C" w14:paraId="6A67C7CA" w14:textId="77777777" w:rsidTr="000E0C52">
        <w:trPr>
          <w:trHeight w:val="225"/>
          <w:jc w:val="center"/>
        </w:trPr>
        <w:tc>
          <w:tcPr>
            <w:tcW w:w="778" w:type="pct"/>
            <w:tcBorders>
              <w:top w:val="single" w:sz="4" w:space="0" w:color="auto"/>
              <w:bottom w:val="single" w:sz="4" w:space="0" w:color="auto"/>
            </w:tcBorders>
          </w:tcPr>
          <w:p w14:paraId="53A67DD7" w14:textId="77777777" w:rsidR="00E61562" w:rsidRPr="0030308C" w:rsidRDefault="00E61562" w:rsidP="000E0C52">
            <w:pPr>
              <w:rPr>
                <w:rFonts w:ascii="Arial" w:hAnsi="Arial" w:cs="Arial"/>
                <w:b/>
                <w:bCs/>
                <w:color w:val="000000" w:themeColor="text1"/>
                <w:sz w:val="20"/>
                <w:szCs w:val="20"/>
              </w:rPr>
            </w:pPr>
            <w:r w:rsidRPr="0030308C">
              <w:rPr>
                <w:rFonts w:ascii="Arial" w:hAnsi="Arial" w:cs="Arial"/>
                <w:b/>
                <w:bCs/>
                <w:color w:val="000000" w:themeColor="text1"/>
                <w:sz w:val="20"/>
                <w:szCs w:val="20"/>
              </w:rPr>
              <w:t>PDP</w:t>
            </w:r>
          </w:p>
        </w:tc>
        <w:tc>
          <w:tcPr>
            <w:tcW w:w="1315" w:type="pct"/>
            <w:tcBorders>
              <w:top w:val="single" w:sz="4" w:space="0" w:color="auto"/>
              <w:bottom w:val="single" w:sz="4" w:space="0" w:color="auto"/>
            </w:tcBorders>
          </w:tcPr>
          <w:p w14:paraId="353675DA" w14:textId="77777777" w:rsidR="00E61562" w:rsidRPr="0030308C" w:rsidRDefault="00E61562" w:rsidP="000E0C52">
            <w:pPr>
              <w:rPr>
                <w:rFonts w:ascii="Arial" w:hAnsi="Arial" w:cs="Arial"/>
                <w:b/>
                <w:bCs/>
                <w:color w:val="000000" w:themeColor="text1"/>
                <w:sz w:val="20"/>
                <w:szCs w:val="20"/>
              </w:rPr>
            </w:pPr>
          </w:p>
        </w:tc>
        <w:tc>
          <w:tcPr>
            <w:tcW w:w="427" w:type="pct"/>
            <w:tcBorders>
              <w:top w:val="single" w:sz="4" w:space="0" w:color="auto"/>
              <w:bottom w:val="single" w:sz="4" w:space="0" w:color="auto"/>
            </w:tcBorders>
          </w:tcPr>
          <w:p w14:paraId="0553F062" w14:textId="77777777" w:rsidR="00E61562" w:rsidRPr="0030308C" w:rsidRDefault="00E61562" w:rsidP="000E0C52">
            <w:pPr>
              <w:rPr>
                <w:rFonts w:ascii="Arial" w:hAnsi="Arial" w:cs="Arial"/>
                <w:b/>
                <w:bCs/>
                <w:color w:val="000000" w:themeColor="text1"/>
                <w:sz w:val="20"/>
                <w:szCs w:val="20"/>
              </w:rPr>
            </w:pPr>
          </w:p>
        </w:tc>
        <w:tc>
          <w:tcPr>
            <w:tcW w:w="470" w:type="pct"/>
            <w:tcBorders>
              <w:top w:val="single" w:sz="4" w:space="0" w:color="auto"/>
              <w:bottom w:val="single" w:sz="4" w:space="0" w:color="auto"/>
            </w:tcBorders>
          </w:tcPr>
          <w:p w14:paraId="00399E52" w14:textId="77777777" w:rsidR="00E61562" w:rsidRPr="0030308C" w:rsidRDefault="00E61562" w:rsidP="000E0C52">
            <w:pPr>
              <w:rPr>
                <w:rFonts w:ascii="Arial" w:hAnsi="Arial" w:cs="Arial"/>
                <w:b/>
                <w:bCs/>
                <w:color w:val="000000" w:themeColor="text1"/>
                <w:sz w:val="20"/>
                <w:szCs w:val="20"/>
              </w:rPr>
            </w:pPr>
          </w:p>
        </w:tc>
        <w:tc>
          <w:tcPr>
            <w:tcW w:w="420" w:type="pct"/>
            <w:tcBorders>
              <w:top w:val="single" w:sz="4" w:space="0" w:color="auto"/>
              <w:bottom w:val="single" w:sz="4" w:space="0" w:color="auto"/>
            </w:tcBorders>
          </w:tcPr>
          <w:p w14:paraId="3D7B648A" w14:textId="77777777" w:rsidR="00E61562" w:rsidRPr="0030308C" w:rsidRDefault="00E61562" w:rsidP="000E0C52">
            <w:pPr>
              <w:rPr>
                <w:rFonts w:ascii="Arial" w:hAnsi="Arial" w:cs="Arial"/>
                <w:b/>
                <w:bCs/>
                <w:color w:val="000000" w:themeColor="text1"/>
                <w:sz w:val="20"/>
                <w:szCs w:val="20"/>
              </w:rPr>
            </w:pPr>
          </w:p>
        </w:tc>
        <w:tc>
          <w:tcPr>
            <w:tcW w:w="1590" w:type="pct"/>
            <w:tcBorders>
              <w:top w:val="single" w:sz="4" w:space="0" w:color="auto"/>
              <w:bottom w:val="single" w:sz="4" w:space="0" w:color="auto"/>
            </w:tcBorders>
          </w:tcPr>
          <w:p w14:paraId="41CCD72E" w14:textId="77777777" w:rsidR="00E61562" w:rsidRPr="0030308C" w:rsidRDefault="00E61562" w:rsidP="000E0C52">
            <w:pPr>
              <w:rPr>
                <w:rFonts w:ascii="Arial" w:hAnsi="Arial" w:cs="Arial"/>
                <w:b/>
                <w:bCs/>
                <w:color w:val="000000" w:themeColor="text1"/>
                <w:sz w:val="20"/>
                <w:szCs w:val="20"/>
              </w:rPr>
            </w:pPr>
          </w:p>
        </w:tc>
      </w:tr>
      <w:tr w:rsidR="00E61562" w:rsidRPr="0030308C" w14:paraId="7E947231" w14:textId="77777777" w:rsidTr="000E0C52">
        <w:trPr>
          <w:trHeight w:val="225"/>
          <w:jc w:val="center"/>
        </w:trPr>
        <w:tc>
          <w:tcPr>
            <w:tcW w:w="778" w:type="pct"/>
            <w:tcBorders>
              <w:top w:val="single" w:sz="4" w:space="0" w:color="auto"/>
            </w:tcBorders>
          </w:tcPr>
          <w:p w14:paraId="2A68868C"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 xml:space="preserve">Number of </w:t>
            </w:r>
            <w:r>
              <w:rPr>
                <w:rFonts w:ascii="Arial" w:hAnsi="Arial" w:cs="Arial"/>
                <w:color w:val="000000" w:themeColor="text1"/>
                <w:sz w:val="20"/>
                <w:szCs w:val="20"/>
              </w:rPr>
              <w:t>insertion procedures (surgeries)</w:t>
            </w:r>
          </w:p>
        </w:tc>
        <w:tc>
          <w:tcPr>
            <w:tcW w:w="1315" w:type="pct"/>
            <w:tcBorders>
              <w:top w:val="single" w:sz="4" w:space="0" w:color="auto"/>
            </w:tcBorders>
          </w:tcPr>
          <w:p w14:paraId="06FE6D7F"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Insertion of the PDP device.</w:t>
            </w:r>
          </w:p>
        </w:tc>
        <w:tc>
          <w:tcPr>
            <w:tcW w:w="427" w:type="pct"/>
            <w:tcBorders>
              <w:top w:val="single" w:sz="4" w:space="0" w:color="auto"/>
            </w:tcBorders>
          </w:tcPr>
          <w:p w14:paraId="69BB634C"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w:t>
            </w:r>
          </w:p>
        </w:tc>
        <w:tc>
          <w:tcPr>
            <w:tcW w:w="470" w:type="pct"/>
            <w:tcBorders>
              <w:top w:val="single" w:sz="4" w:space="0" w:color="auto"/>
            </w:tcBorders>
          </w:tcPr>
          <w:p w14:paraId="54DD435C" w14:textId="77777777" w:rsidR="00E61562" w:rsidRPr="0030308C" w:rsidRDefault="00E61562" w:rsidP="000E0C52">
            <w:pPr>
              <w:rPr>
                <w:rFonts w:ascii="Arial" w:hAnsi="Arial" w:cs="Arial"/>
                <w:color w:val="000000" w:themeColor="text1"/>
                <w:sz w:val="20"/>
                <w:szCs w:val="20"/>
              </w:rPr>
            </w:pPr>
          </w:p>
        </w:tc>
        <w:tc>
          <w:tcPr>
            <w:tcW w:w="420" w:type="pct"/>
            <w:tcBorders>
              <w:top w:val="single" w:sz="4" w:space="0" w:color="auto"/>
            </w:tcBorders>
          </w:tcPr>
          <w:p w14:paraId="476DF7B7" w14:textId="77777777" w:rsidR="00E61562" w:rsidRPr="0030308C" w:rsidRDefault="00E61562" w:rsidP="000E0C52">
            <w:pPr>
              <w:rPr>
                <w:rFonts w:ascii="Arial" w:hAnsi="Arial" w:cs="Arial"/>
                <w:color w:val="000000" w:themeColor="text1"/>
                <w:sz w:val="20"/>
                <w:szCs w:val="20"/>
              </w:rPr>
            </w:pPr>
          </w:p>
        </w:tc>
        <w:tc>
          <w:tcPr>
            <w:tcW w:w="1590" w:type="pct"/>
            <w:tcBorders>
              <w:top w:val="single" w:sz="4" w:space="0" w:color="auto"/>
            </w:tcBorders>
          </w:tcPr>
          <w:p w14:paraId="60C4F268" w14:textId="77777777" w:rsidR="00E61562" w:rsidRPr="0030308C" w:rsidRDefault="00E61562" w:rsidP="000E0C52">
            <w:pPr>
              <w:rPr>
                <w:rFonts w:ascii="Arial" w:hAnsi="Arial" w:cs="Arial"/>
                <w:color w:val="000000" w:themeColor="text1"/>
                <w:sz w:val="20"/>
                <w:szCs w:val="20"/>
              </w:rPr>
            </w:pPr>
          </w:p>
        </w:tc>
      </w:tr>
      <w:tr w:rsidR="00E61562" w:rsidRPr="0030308C" w14:paraId="5E6E707F" w14:textId="77777777" w:rsidTr="000E0C52">
        <w:trPr>
          <w:trHeight w:val="241"/>
          <w:jc w:val="center"/>
        </w:trPr>
        <w:tc>
          <w:tcPr>
            <w:tcW w:w="778" w:type="pct"/>
          </w:tcPr>
          <w:p w14:paraId="1FEDD004" w14:textId="77777777" w:rsidR="00E61562" w:rsidRPr="0030308C" w:rsidRDefault="00E61562" w:rsidP="000E0C52">
            <w:pPr>
              <w:rPr>
                <w:rFonts w:ascii="Arial" w:hAnsi="Arial" w:cs="Arial"/>
                <w:color w:val="000000" w:themeColor="text1"/>
                <w:sz w:val="20"/>
                <w:szCs w:val="20"/>
              </w:rPr>
            </w:pPr>
            <w:r>
              <w:rPr>
                <w:rFonts w:ascii="Arial" w:hAnsi="Arial" w:cs="Arial"/>
                <w:color w:val="000000" w:themeColor="text1"/>
                <w:sz w:val="20"/>
                <w:szCs w:val="20"/>
              </w:rPr>
              <w:t>Cost of insertion procedure</w:t>
            </w:r>
          </w:p>
        </w:tc>
        <w:tc>
          <w:tcPr>
            <w:tcW w:w="1315" w:type="pct"/>
          </w:tcPr>
          <w:p w14:paraId="0151F9D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DRG 42O with a DRG weight of 0.297.</w:t>
            </w:r>
          </w:p>
        </w:tc>
        <w:tc>
          <w:tcPr>
            <w:tcW w:w="427" w:type="pct"/>
          </w:tcPr>
          <w:p w14:paraId="40EAF637"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1 457</w:t>
            </w:r>
          </w:p>
        </w:tc>
        <w:tc>
          <w:tcPr>
            <w:tcW w:w="470" w:type="pct"/>
          </w:tcPr>
          <w:p w14:paraId="10F4638B" w14:textId="77777777" w:rsidR="00E61562" w:rsidRPr="0030308C" w:rsidRDefault="00E61562" w:rsidP="000E0C52">
            <w:pPr>
              <w:rPr>
                <w:rFonts w:ascii="Arial" w:hAnsi="Arial" w:cs="Arial"/>
                <w:color w:val="000000" w:themeColor="text1"/>
                <w:sz w:val="20"/>
                <w:szCs w:val="20"/>
              </w:rPr>
            </w:pPr>
          </w:p>
        </w:tc>
        <w:tc>
          <w:tcPr>
            <w:tcW w:w="420" w:type="pct"/>
          </w:tcPr>
          <w:p w14:paraId="0A9B75FC" w14:textId="77777777" w:rsidR="00E61562" w:rsidRPr="0030308C" w:rsidRDefault="00E61562" w:rsidP="000E0C52">
            <w:pPr>
              <w:rPr>
                <w:rFonts w:ascii="Arial" w:hAnsi="Arial" w:cs="Arial"/>
                <w:color w:val="000000" w:themeColor="text1"/>
                <w:sz w:val="20"/>
                <w:szCs w:val="20"/>
              </w:rPr>
            </w:pPr>
          </w:p>
        </w:tc>
        <w:tc>
          <w:tcPr>
            <w:tcW w:w="1590" w:type="pct"/>
          </w:tcPr>
          <w:p w14:paraId="0909F7A7"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{"citationID":"0JGCvKrA","properties":{"formattedCitation":"(10)","plainCitation":"(10)","noteIndex":0},"citationItems":[{"id":1216,"uris":["http://zotero.org/users/local/qnIpXHeo/items/5SCRLPR4"],"itemData":{"id":1216,"type":"dataset","title":"ISF-regelverk 2024: DRG masterliste and Innsatsstyrt finansiering 2024","author":[{"family":"Helsedirektoratet","given":""}],"issued":{"date-parts":[["2023",12]]}}}],"schema":"https://github.com/citation-style-language/schema/raw/master/csl-citation.json"}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(10)</w:t>
            </w:r>
            <w:r w:rsidRPr="0030308C">
              <w:rPr>
                <w:rFonts w:ascii="Arial" w:hAnsi="Arial" w:cs="Arial"/>
                <w:color w:val="000000" w:themeColor="text1"/>
                <w:sz w:val="20"/>
                <w:szCs w:val="20"/>
              </w:rPr>
              <w:fldChar w:fldCharType="end"/>
            </w:r>
          </w:p>
        </w:tc>
      </w:tr>
      <w:tr w:rsidR="00E61562" w:rsidRPr="0030308C" w14:paraId="6F20BD19" w14:textId="77777777" w:rsidTr="000E0C52">
        <w:trPr>
          <w:trHeight w:val="824"/>
          <w:jc w:val="center"/>
        </w:trPr>
        <w:tc>
          <w:tcPr>
            <w:tcW w:w="778" w:type="pct"/>
          </w:tcPr>
          <w:p w14:paraId="4DDEA62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Drug cost per refill</w:t>
            </w:r>
          </w:p>
        </w:tc>
        <w:tc>
          <w:tcPr>
            <w:tcW w:w="1315" w:type="pct"/>
          </w:tcPr>
          <w:p w14:paraId="719832B3"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Drug cost of the PDP.</w:t>
            </w:r>
          </w:p>
        </w:tc>
        <w:tc>
          <w:tcPr>
            <w:tcW w:w="427" w:type="pct"/>
          </w:tcPr>
          <w:p w14:paraId="76DE00C0"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2 371</w:t>
            </w:r>
          </w:p>
        </w:tc>
        <w:tc>
          <w:tcPr>
            <w:tcW w:w="470" w:type="pct"/>
          </w:tcPr>
          <w:p w14:paraId="3DCFAC07"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592.81</w:t>
            </w:r>
          </w:p>
        </w:tc>
        <w:tc>
          <w:tcPr>
            <w:tcW w:w="420" w:type="pct"/>
          </w:tcPr>
          <w:p w14:paraId="6307602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1590" w:type="pct"/>
          </w:tcPr>
          <w:p w14:paraId="2CFFDF28" w14:textId="77777777" w:rsidR="00E61562" w:rsidRPr="0030308C" w:rsidRDefault="00E61562" w:rsidP="000E0C52">
            <w:pPr>
              <w:rPr>
                <w:rFonts w:ascii="Arial" w:hAnsi="Arial" w:cs="Arial"/>
                <w:color w:val="000000" w:themeColor="text1"/>
                <w:sz w:val="20"/>
                <w:szCs w:val="20"/>
              </w:rPr>
            </w:pPr>
            <w:r w:rsidRPr="000C323F">
              <w:rPr>
                <w:rFonts w:ascii="Arial" w:hAnsi="Arial" w:cs="Arial"/>
                <w:color w:val="000000" w:themeColor="text1"/>
                <w:sz w:val="20"/>
                <w:szCs w:val="20"/>
              </w:rPr>
              <w:t>This is not an official Roche price, but an estimate based on a drug with similar efficacy to other anti-VEGF treatments, where aflibercept is the on-label alternative used in Norway. Based on initial discussions with the manufacturer, the implant itself was assumed to be supplied without additional payment.</w:t>
            </w:r>
          </w:p>
        </w:tc>
      </w:tr>
      <w:tr w:rsidR="00E61562" w:rsidRPr="0030308C" w14:paraId="0D179845" w14:textId="77777777" w:rsidTr="000E0C52">
        <w:trPr>
          <w:trHeight w:val="225"/>
          <w:jc w:val="center"/>
        </w:trPr>
        <w:tc>
          <w:tcPr>
            <w:tcW w:w="778" w:type="pct"/>
          </w:tcPr>
          <w:p w14:paraId="5603516E"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refills year 1</w:t>
            </w:r>
          </w:p>
        </w:tc>
        <w:tc>
          <w:tcPr>
            <w:tcW w:w="1315" w:type="pct"/>
          </w:tcPr>
          <w:p w14:paraId="5857D1A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refills of the PDP device in year 1.</w:t>
            </w:r>
          </w:p>
        </w:tc>
        <w:tc>
          <w:tcPr>
            <w:tcW w:w="427" w:type="pct"/>
          </w:tcPr>
          <w:p w14:paraId="3C122A8A"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w:t>
            </w:r>
          </w:p>
        </w:tc>
        <w:tc>
          <w:tcPr>
            <w:tcW w:w="470" w:type="pct"/>
          </w:tcPr>
          <w:p w14:paraId="1FF6BF2F"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0.2</w:t>
            </w:r>
          </w:p>
        </w:tc>
        <w:tc>
          <w:tcPr>
            <w:tcW w:w="420" w:type="pct"/>
          </w:tcPr>
          <w:p w14:paraId="581139C0"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1590" w:type="pct"/>
          </w:tcPr>
          <w:p w14:paraId="27E16620" w14:textId="77777777" w:rsidR="00E61562" w:rsidRPr="0030308C" w:rsidRDefault="00E61562" w:rsidP="000E0C52">
            <w:pPr>
              <w:rPr>
                <w:rFonts w:ascii="Arial" w:hAnsi="Arial" w:cs="Arial"/>
                <w:color w:val="000000" w:themeColor="text1"/>
                <w:sz w:val="20"/>
                <w:szCs w:val="20"/>
              </w:rPr>
            </w:pPr>
          </w:p>
        </w:tc>
      </w:tr>
      <w:tr w:rsidR="00E61562" w:rsidRPr="0030308C" w14:paraId="0A1C262E" w14:textId="77777777" w:rsidTr="000E0C52">
        <w:trPr>
          <w:trHeight w:val="241"/>
          <w:jc w:val="center"/>
        </w:trPr>
        <w:tc>
          <w:tcPr>
            <w:tcW w:w="778" w:type="pct"/>
          </w:tcPr>
          <w:p w14:paraId="5D393CD9"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refills years 2+</w:t>
            </w:r>
          </w:p>
        </w:tc>
        <w:tc>
          <w:tcPr>
            <w:tcW w:w="1315" w:type="pct"/>
          </w:tcPr>
          <w:p w14:paraId="77E029FE"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refills of the PDP device in years 2+.</w:t>
            </w:r>
          </w:p>
        </w:tc>
        <w:tc>
          <w:tcPr>
            <w:tcW w:w="427" w:type="pct"/>
          </w:tcPr>
          <w:p w14:paraId="6DB7FB51"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2</w:t>
            </w:r>
          </w:p>
        </w:tc>
        <w:tc>
          <w:tcPr>
            <w:tcW w:w="470" w:type="pct"/>
          </w:tcPr>
          <w:p w14:paraId="463150F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0.4</w:t>
            </w:r>
          </w:p>
        </w:tc>
        <w:tc>
          <w:tcPr>
            <w:tcW w:w="420" w:type="pct"/>
          </w:tcPr>
          <w:p w14:paraId="6CFC7F14"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1590" w:type="pct"/>
          </w:tcPr>
          <w:p w14:paraId="2DA41090" w14:textId="77777777" w:rsidR="00E61562" w:rsidRPr="0030308C" w:rsidRDefault="00E61562" w:rsidP="000E0C52">
            <w:pPr>
              <w:rPr>
                <w:rFonts w:ascii="Arial" w:hAnsi="Arial" w:cs="Arial"/>
                <w:color w:val="000000" w:themeColor="text1"/>
                <w:sz w:val="20"/>
                <w:szCs w:val="20"/>
              </w:rPr>
            </w:pPr>
          </w:p>
        </w:tc>
      </w:tr>
      <w:tr w:rsidR="00E61562" w:rsidRPr="0030308C" w14:paraId="6AFADF73" w14:textId="77777777" w:rsidTr="000E0C52">
        <w:trPr>
          <w:trHeight w:val="225"/>
          <w:jc w:val="center"/>
        </w:trPr>
        <w:tc>
          <w:tcPr>
            <w:tcW w:w="778" w:type="pct"/>
          </w:tcPr>
          <w:p w14:paraId="74F15939"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Cost of refill procedure</w:t>
            </w:r>
          </w:p>
        </w:tc>
        <w:tc>
          <w:tcPr>
            <w:tcW w:w="1315" w:type="pct"/>
          </w:tcPr>
          <w:p w14:paraId="69F8C77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DRG 802U with a DRG weight of 0.068.</w:t>
            </w:r>
          </w:p>
        </w:tc>
        <w:tc>
          <w:tcPr>
            <w:tcW w:w="427" w:type="pct"/>
          </w:tcPr>
          <w:p w14:paraId="0809A98E"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33</w:t>
            </w:r>
            <w:r>
              <w:rPr>
                <w:rFonts w:ascii="Arial" w:hAnsi="Arial" w:cs="Arial"/>
                <w:color w:val="000000" w:themeColor="text1"/>
                <w:sz w:val="20"/>
                <w:szCs w:val="20"/>
              </w:rPr>
              <w:t>4</w:t>
            </w:r>
          </w:p>
        </w:tc>
        <w:tc>
          <w:tcPr>
            <w:tcW w:w="470" w:type="pct"/>
          </w:tcPr>
          <w:p w14:paraId="75BA6754" w14:textId="77777777" w:rsidR="00E61562" w:rsidRPr="0030308C" w:rsidRDefault="00E61562" w:rsidP="000E0C52">
            <w:pPr>
              <w:rPr>
                <w:rFonts w:ascii="Arial" w:hAnsi="Arial" w:cs="Arial"/>
                <w:color w:val="000000" w:themeColor="text1"/>
                <w:sz w:val="20"/>
                <w:szCs w:val="20"/>
              </w:rPr>
            </w:pPr>
          </w:p>
        </w:tc>
        <w:tc>
          <w:tcPr>
            <w:tcW w:w="420" w:type="pct"/>
          </w:tcPr>
          <w:p w14:paraId="0B1AEAF1" w14:textId="77777777" w:rsidR="00E61562" w:rsidRPr="0030308C" w:rsidRDefault="00E61562" w:rsidP="000E0C52">
            <w:pPr>
              <w:rPr>
                <w:rFonts w:ascii="Arial" w:hAnsi="Arial" w:cs="Arial"/>
                <w:color w:val="000000" w:themeColor="text1"/>
                <w:sz w:val="20"/>
                <w:szCs w:val="20"/>
              </w:rPr>
            </w:pPr>
          </w:p>
        </w:tc>
        <w:tc>
          <w:tcPr>
            <w:tcW w:w="1590" w:type="pct"/>
          </w:tcPr>
          <w:p w14:paraId="22B3E8E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{"citationID":"TbHts93h","properties":{"formattedCitation":"(10)","plainCitation":"(10)","noteIndex":0},"citationItems":[{"id":1216,"uris":["http://zotero.org/users/local/qnIpXHeo/items/5SCRLPR4"],"itemData":{"id":1216,"type":"dataset","title":"ISF-regelverk 2024: DRG masterliste and Innsatsstyrt finansiering 2024","author":[{"family":"Helsedirektoratet","given":""}],"issued":{"date-parts":[["2023",12]]}}}],"schema":"https://github.com/citation-style-language/schema/raw/master/csl-citation.json"}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(10)</w:t>
            </w:r>
            <w:r w:rsidRPr="0030308C">
              <w:rPr>
                <w:rFonts w:ascii="Arial" w:hAnsi="Arial" w:cs="Arial"/>
                <w:color w:val="000000" w:themeColor="text1"/>
                <w:sz w:val="20"/>
                <w:szCs w:val="20"/>
              </w:rPr>
              <w:fldChar w:fldCharType="end"/>
            </w:r>
          </w:p>
        </w:tc>
      </w:tr>
      <w:tr w:rsidR="00E61562" w:rsidRPr="0030308C" w14:paraId="32422D97" w14:textId="77777777" w:rsidTr="000E0C52">
        <w:trPr>
          <w:trHeight w:val="241"/>
          <w:jc w:val="center"/>
        </w:trPr>
        <w:tc>
          <w:tcPr>
            <w:tcW w:w="778" w:type="pct"/>
          </w:tcPr>
          <w:p w14:paraId="355B307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monitoring visits year 1</w:t>
            </w:r>
          </w:p>
        </w:tc>
        <w:tc>
          <w:tcPr>
            <w:tcW w:w="1315" w:type="pct"/>
          </w:tcPr>
          <w:p w14:paraId="065E4E06"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monitoring visits in year 1.</w:t>
            </w:r>
          </w:p>
        </w:tc>
        <w:tc>
          <w:tcPr>
            <w:tcW w:w="427" w:type="pct"/>
          </w:tcPr>
          <w:p w14:paraId="6AE3F007"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3</w:t>
            </w:r>
          </w:p>
        </w:tc>
        <w:tc>
          <w:tcPr>
            <w:tcW w:w="470" w:type="pct"/>
          </w:tcPr>
          <w:p w14:paraId="457C310E"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0.6</w:t>
            </w:r>
          </w:p>
        </w:tc>
        <w:tc>
          <w:tcPr>
            <w:tcW w:w="420" w:type="pct"/>
          </w:tcPr>
          <w:p w14:paraId="4872D14F"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1590" w:type="pct"/>
          </w:tcPr>
          <w:p w14:paraId="77D49AC3"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 xml:space="preserve">Intended clinical practice as suggested by Roche Norge </w:t>
            </w:r>
            <w:r>
              <w:rPr>
                <w:rFonts w:ascii="Arial" w:hAnsi="Arial" w:cs="Arial"/>
                <w:color w:val="000000" w:themeColor="text1"/>
                <w:sz w:val="20"/>
                <w:szCs w:val="20"/>
              </w:rPr>
              <w:t>AS.</w:t>
            </w:r>
          </w:p>
        </w:tc>
      </w:tr>
      <w:tr w:rsidR="00E61562" w:rsidRPr="0030308C" w14:paraId="204FD1DA" w14:textId="77777777" w:rsidTr="000E0C52">
        <w:trPr>
          <w:trHeight w:val="81"/>
          <w:jc w:val="center"/>
        </w:trPr>
        <w:tc>
          <w:tcPr>
            <w:tcW w:w="778" w:type="pct"/>
          </w:tcPr>
          <w:p w14:paraId="2FDBD259"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monitoring visits years 2+</w:t>
            </w:r>
          </w:p>
        </w:tc>
        <w:tc>
          <w:tcPr>
            <w:tcW w:w="1315" w:type="pct"/>
          </w:tcPr>
          <w:p w14:paraId="1F2167A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monitoring visits in years 2+.</w:t>
            </w:r>
          </w:p>
        </w:tc>
        <w:tc>
          <w:tcPr>
            <w:tcW w:w="427" w:type="pct"/>
          </w:tcPr>
          <w:p w14:paraId="5F92BB99"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w:t>
            </w:r>
          </w:p>
        </w:tc>
        <w:tc>
          <w:tcPr>
            <w:tcW w:w="470" w:type="pct"/>
          </w:tcPr>
          <w:p w14:paraId="1B33CA6E" w14:textId="77777777" w:rsidR="00E61562" w:rsidRPr="0030308C" w:rsidRDefault="00E61562" w:rsidP="000E0C52">
            <w:pPr>
              <w:rPr>
                <w:rFonts w:ascii="Arial" w:hAnsi="Arial" w:cs="Arial"/>
                <w:color w:val="000000" w:themeColor="text1"/>
                <w:sz w:val="20"/>
                <w:szCs w:val="20"/>
              </w:rPr>
            </w:pPr>
          </w:p>
        </w:tc>
        <w:tc>
          <w:tcPr>
            <w:tcW w:w="420" w:type="pct"/>
          </w:tcPr>
          <w:p w14:paraId="2CE99C61" w14:textId="77777777" w:rsidR="00E61562" w:rsidRPr="0030308C" w:rsidRDefault="00E61562" w:rsidP="000E0C52">
            <w:pPr>
              <w:rPr>
                <w:rFonts w:ascii="Arial" w:hAnsi="Arial" w:cs="Arial"/>
                <w:color w:val="000000" w:themeColor="text1"/>
                <w:sz w:val="20"/>
                <w:szCs w:val="20"/>
              </w:rPr>
            </w:pPr>
          </w:p>
        </w:tc>
        <w:tc>
          <w:tcPr>
            <w:tcW w:w="1590" w:type="pct"/>
          </w:tcPr>
          <w:p w14:paraId="1920F47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Intended clinical practice as suggested by Roche Norge AS.</w:t>
            </w:r>
          </w:p>
        </w:tc>
      </w:tr>
      <w:tr w:rsidR="00E61562" w:rsidRPr="0030308C" w14:paraId="434604AC" w14:textId="77777777" w:rsidTr="000E0C52">
        <w:trPr>
          <w:trHeight w:val="466"/>
          <w:jc w:val="center"/>
        </w:trPr>
        <w:tc>
          <w:tcPr>
            <w:tcW w:w="778" w:type="pct"/>
            <w:tcBorders>
              <w:bottom w:val="single" w:sz="4" w:space="0" w:color="auto"/>
            </w:tcBorders>
          </w:tcPr>
          <w:p w14:paraId="3132506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Cost of monitoring procedure</w:t>
            </w:r>
          </w:p>
        </w:tc>
        <w:tc>
          <w:tcPr>
            <w:tcW w:w="1315" w:type="pct"/>
            <w:tcBorders>
              <w:bottom w:val="single" w:sz="4" w:space="0" w:color="auto"/>
            </w:tcBorders>
          </w:tcPr>
          <w:p w14:paraId="7242EF0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DRG 902O with a DRG weight of 0.029.</w:t>
            </w:r>
          </w:p>
        </w:tc>
        <w:tc>
          <w:tcPr>
            <w:tcW w:w="427" w:type="pct"/>
            <w:tcBorders>
              <w:bottom w:val="single" w:sz="4" w:space="0" w:color="auto"/>
            </w:tcBorders>
          </w:tcPr>
          <w:p w14:paraId="0CD80209"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142</w:t>
            </w:r>
          </w:p>
          <w:p w14:paraId="55D2D2BC" w14:textId="77777777" w:rsidR="00E61562" w:rsidRPr="0030308C" w:rsidRDefault="00E61562" w:rsidP="000E0C52">
            <w:pPr>
              <w:rPr>
                <w:rFonts w:ascii="Arial" w:hAnsi="Arial" w:cs="Arial"/>
                <w:color w:val="000000" w:themeColor="text1"/>
                <w:sz w:val="20"/>
                <w:szCs w:val="20"/>
              </w:rPr>
            </w:pPr>
          </w:p>
        </w:tc>
        <w:tc>
          <w:tcPr>
            <w:tcW w:w="470" w:type="pct"/>
            <w:tcBorders>
              <w:bottom w:val="single" w:sz="4" w:space="0" w:color="auto"/>
            </w:tcBorders>
          </w:tcPr>
          <w:p w14:paraId="13EB4A5F" w14:textId="77777777" w:rsidR="00E61562" w:rsidRPr="0030308C" w:rsidRDefault="00E61562" w:rsidP="000E0C52">
            <w:pPr>
              <w:rPr>
                <w:rFonts w:ascii="Arial" w:hAnsi="Arial" w:cs="Arial"/>
                <w:color w:val="000000" w:themeColor="text1"/>
                <w:sz w:val="20"/>
                <w:szCs w:val="20"/>
              </w:rPr>
            </w:pPr>
          </w:p>
        </w:tc>
        <w:tc>
          <w:tcPr>
            <w:tcW w:w="420" w:type="pct"/>
            <w:tcBorders>
              <w:bottom w:val="single" w:sz="4" w:space="0" w:color="auto"/>
            </w:tcBorders>
          </w:tcPr>
          <w:p w14:paraId="4490CA58" w14:textId="77777777" w:rsidR="00E61562" w:rsidRPr="0030308C" w:rsidRDefault="00E61562" w:rsidP="000E0C52">
            <w:pPr>
              <w:rPr>
                <w:rFonts w:ascii="Arial" w:hAnsi="Arial" w:cs="Arial"/>
                <w:color w:val="000000" w:themeColor="text1"/>
                <w:sz w:val="20"/>
                <w:szCs w:val="20"/>
              </w:rPr>
            </w:pPr>
          </w:p>
        </w:tc>
        <w:tc>
          <w:tcPr>
            <w:tcW w:w="1590" w:type="pct"/>
            <w:tcBorders>
              <w:bottom w:val="single" w:sz="4" w:space="0" w:color="auto"/>
            </w:tcBorders>
          </w:tcPr>
          <w:p w14:paraId="01AF75C7" w14:textId="77777777" w:rsidR="00E61562" w:rsidRPr="0030308C" w:rsidRDefault="00E61562" w:rsidP="000E0C52">
            <w:pPr>
              <w:rPr>
                <w:rFonts w:ascii="Arial" w:hAnsi="Arial" w:cs="Arial"/>
                <w:color w:val="000000" w:themeColor="text1"/>
                <w:sz w:val="20"/>
                <w:szCs w:val="20"/>
              </w:rPr>
            </w:pPr>
          </w:p>
        </w:tc>
      </w:tr>
      <w:tr w:rsidR="00E61562" w:rsidRPr="0030308C" w14:paraId="0733B8DF" w14:textId="77777777" w:rsidTr="000E0C52">
        <w:trPr>
          <w:trHeight w:val="241"/>
          <w:jc w:val="center"/>
        </w:trPr>
        <w:tc>
          <w:tcPr>
            <w:tcW w:w="778" w:type="pct"/>
            <w:tcBorders>
              <w:top w:val="single" w:sz="4" w:space="0" w:color="auto"/>
              <w:bottom w:val="single" w:sz="4" w:space="0" w:color="auto"/>
            </w:tcBorders>
          </w:tcPr>
          <w:p w14:paraId="702E08DC" w14:textId="77777777" w:rsidR="00E61562" w:rsidRPr="0030308C" w:rsidRDefault="00E61562" w:rsidP="000E0C52">
            <w:pPr>
              <w:rPr>
                <w:rFonts w:ascii="Arial" w:hAnsi="Arial" w:cs="Arial"/>
                <w:b/>
                <w:bCs/>
                <w:color w:val="000000" w:themeColor="text1"/>
                <w:sz w:val="20"/>
                <w:szCs w:val="20"/>
              </w:rPr>
            </w:pPr>
            <w:r w:rsidRPr="0030308C">
              <w:rPr>
                <w:rFonts w:ascii="Arial" w:hAnsi="Arial" w:cs="Arial"/>
                <w:b/>
                <w:bCs/>
                <w:color w:val="000000" w:themeColor="text1"/>
                <w:sz w:val="20"/>
                <w:szCs w:val="20"/>
              </w:rPr>
              <w:t>Aflibercept</w:t>
            </w:r>
          </w:p>
        </w:tc>
        <w:tc>
          <w:tcPr>
            <w:tcW w:w="1315" w:type="pct"/>
            <w:tcBorders>
              <w:top w:val="single" w:sz="4" w:space="0" w:color="auto"/>
              <w:bottom w:val="single" w:sz="4" w:space="0" w:color="auto"/>
            </w:tcBorders>
          </w:tcPr>
          <w:p w14:paraId="3116D09E" w14:textId="77777777" w:rsidR="00E61562" w:rsidRPr="0030308C" w:rsidRDefault="00E61562" w:rsidP="000E0C52">
            <w:pPr>
              <w:rPr>
                <w:rFonts w:ascii="Arial" w:hAnsi="Arial" w:cs="Arial"/>
                <w:color w:val="000000" w:themeColor="text1"/>
                <w:sz w:val="20"/>
                <w:szCs w:val="20"/>
              </w:rPr>
            </w:pPr>
          </w:p>
        </w:tc>
        <w:tc>
          <w:tcPr>
            <w:tcW w:w="427" w:type="pct"/>
            <w:tcBorders>
              <w:top w:val="single" w:sz="4" w:space="0" w:color="auto"/>
              <w:bottom w:val="single" w:sz="4" w:space="0" w:color="auto"/>
            </w:tcBorders>
          </w:tcPr>
          <w:p w14:paraId="534DF811" w14:textId="77777777" w:rsidR="00E61562" w:rsidRPr="0030308C" w:rsidRDefault="00E61562" w:rsidP="000E0C52">
            <w:pPr>
              <w:rPr>
                <w:rFonts w:ascii="Arial" w:hAnsi="Arial" w:cs="Arial"/>
                <w:color w:val="000000" w:themeColor="text1"/>
                <w:sz w:val="20"/>
                <w:szCs w:val="20"/>
              </w:rPr>
            </w:pPr>
          </w:p>
        </w:tc>
        <w:tc>
          <w:tcPr>
            <w:tcW w:w="470" w:type="pct"/>
            <w:tcBorders>
              <w:top w:val="single" w:sz="4" w:space="0" w:color="auto"/>
              <w:bottom w:val="single" w:sz="4" w:space="0" w:color="auto"/>
            </w:tcBorders>
          </w:tcPr>
          <w:p w14:paraId="713286A1" w14:textId="77777777" w:rsidR="00E61562" w:rsidRPr="0030308C" w:rsidRDefault="00E61562" w:rsidP="000E0C52">
            <w:pPr>
              <w:rPr>
                <w:rFonts w:ascii="Arial" w:hAnsi="Arial" w:cs="Arial"/>
                <w:color w:val="000000" w:themeColor="text1"/>
                <w:sz w:val="20"/>
                <w:szCs w:val="20"/>
              </w:rPr>
            </w:pPr>
          </w:p>
        </w:tc>
        <w:tc>
          <w:tcPr>
            <w:tcW w:w="420" w:type="pct"/>
            <w:tcBorders>
              <w:top w:val="single" w:sz="4" w:space="0" w:color="auto"/>
              <w:bottom w:val="single" w:sz="4" w:space="0" w:color="auto"/>
            </w:tcBorders>
          </w:tcPr>
          <w:p w14:paraId="3A63C241" w14:textId="77777777" w:rsidR="00E61562" w:rsidRPr="0030308C" w:rsidRDefault="00E61562" w:rsidP="000E0C52">
            <w:pPr>
              <w:rPr>
                <w:rFonts w:ascii="Arial" w:hAnsi="Arial" w:cs="Arial"/>
                <w:color w:val="000000" w:themeColor="text1"/>
                <w:sz w:val="20"/>
                <w:szCs w:val="20"/>
              </w:rPr>
            </w:pPr>
          </w:p>
        </w:tc>
        <w:tc>
          <w:tcPr>
            <w:tcW w:w="1590" w:type="pct"/>
            <w:tcBorders>
              <w:top w:val="single" w:sz="4" w:space="0" w:color="auto"/>
              <w:bottom w:val="single" w:sz="4" w:space="0" w:color="auto"/>
            </w:tcBorders>
          </w:tcPr>
          <w:p w14:paraId="20200385" w14:textId="77777777" w:rsidR="00E61562" w:rsidRPr="0030308C" w:rsidRDefault="00E61562" w:rsidP="000E0C52">
            <w:pPr>
              <w:rPr>
                <w:rFonts w:ascii="Arial" w:hAnsi="Arial" w:cs="Arial"/>
                <w:color w:val="000000" w:themeColor="text1"/>
                <w:sz w:val="20"/>
                <w:szCs w:val="20"/>
              </w:rPr>
            </w:pPr>
          </w:p>
        </w:tc>
      </w:tr>
      <w:tr w:rsidR="00E61562" w:rsidRPr="0030308C" w14:paraId="0C10E122" w14:textId="77777777" w:rsidTr="000E0C52">
        <w:trPr>
          <w:trHeight w:val="466"/>
          <w:jc w:val="center"/>
        </w:trPr>
        <w:tc>
          <w:tcPr>
            <w:tcW w:w="778" w:type="pct"/>
            <w:tcBorders>
              <w:top w:val="single" w:sz="4" w:space="0" w:color="auto"/>
            </w:tcBorders>
          </w:tcPr>
          <w:p w14:paraId="6647F549" w14:textId="77777777" w:rsidR="00E61562" w:rsidRPr="0030308C" w:rsidRDefault="00E61562" w:rsidP="000E0C52">
            <w:pPr>
              <w:rPr>
                <w:rFonts w:ascii="Arial" w:hAnsi="Arial" w:cs="Arial"/>
                <w:color w:val="000000" w:themeColor="text1"/>
                <w:sz w:val="20"/>
                <w:szCs w:val="20"/>
              </w:rPr>
            </w:pPr>
            <w:r>
              <w:rPr>
                <w:rFonts w:ascii="Arial" w:hAnsi="Arial" w:cs="Arial"/>
                <w:color w:val="000000" w:themeColor="text1"/>
                <w:sz w:val="20"/>
                <w:szCs w:val="20"/>
              </w:rPr>
              <w:t xml:space="preserve">Intravitreal injection </w:t>
            </w:r>
            <w:r w:rsidRPr="0030308C">
              <w:rPr>
                <w:rFonts w:ascii="Arial" w:hAnsi="Arial" w:cs="Arial"/>
                <w:color w:val="000000" w:themeColor="text1"/>
                <w:sz w:val="20"/>
                <w:szCs w:val="20"/>
              </w:rPr>
              <w:t>procedure</w:t>
            </w:r>
          </w:p>
        </w:tc>
        <w:tc>
          <w:tcPr>
            <w:tcW w:w="1315" w:type="pct"/>
            <w:tcBorders>
              <w:top w:val="single" w:sz="4" w:space="0" w:color="auto"/>
            </w:tcBorders>
          </w:tcPr>
          <w:p w14:paraId="7199ED26"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DRG 802U with a DRG weight of 0.068.</w:t>
            </w:r>
          </w:p>
        </w:tc>
        <w:tc>
          <w:tcPr>
            <w:tcW w:w="427" w:type="pct"/>
            <w:tcBorders>
              <w:top w:val="single" w:sz="4" w:space="0" w:color="auto"/>
            </w:tcBorders>
          </w:tcPr>
          <w:p w14:paraId="392BBFC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33</w:t>
            </w:r>
            <w:r>
              <w:rPr>
                <w:rFonts w:ascii="Arial" w:hAnsi="Arial" w:cs="Arial"/>
                <w:color w:val="000000" w:themeColor="text1"/>
                <w:sz w:val="20"/>
                <w:szCs w:val="20"/>
              </w:rPr>
              <w:t>4</w:t>
            </w:r>
          </w:p>
        </w:tc>
        <w:tc>
          <w:tcPr>
            <w:tcW w:w="470" w:type="pct"/>
            <w:tcBorders>
              <w:top w:val="single" w:sz="4" w:space="0" w:color="auto"/>
            </w:tcBorders>
          </w:tcPr>
          <w:p w14:paraId="5E68B0DF" w14:textId="77777777" w:rsidR="00E61562" w:rsidRPr="0030308C" w:rsidRDefault="00E61562" w:rsidP="000E0C52">
            <w:pPr>
              <w:rPr>
                <w:rFonts w:ascii="Arial" w:hAnsi="Arial" w:cs="Arial"/>
                <w:color w:val="000000" w:themeColor="text1"/>
                <w:sz w:val="20"/>
                <w:szCs w:val="20"/>
              </w:rPr>
            </w:pPr>
          </w:p>
        </w:tc>
        <w:tc>
          <w:tcPr>
            <w:tcW w:w="420" w:type="pct"/>
            <w:tcBorders>
              <w:top w:val="single" w:sz="4" w:space="0" w:color="auto"/>
            </w:tcBorders>
          </w:tcPr>
          <w:p w14:paraId="71563FB6" w14:textId="77777777" w:rsidR="00E61562" w:rsidRPr="0030308C" w:rsidRDefault="00E61562" w:rsidP="000E0C52">
            <w:pPr>
              <w:rPr>
                <w:rFonts w:ascii="Arial" w:hAnsi="Arial" w:cs="Arial"/>
                <w:color w:val="000000" w:themeColor="text1"/>
                <w:sz w:val="20"/>
                <w:szCs w:val="20"/>
              </w:rPr>
            </w:pPr>
          </w:p>
        </w:tc>
        <w:tc>
          <w:tcPr>
            <w:tcW w:w="1590" w:type="pct"/>
            <w:tcBorders>
              <w:top w:val="single" w:sz="4" w:space="0" w:color="auto"/>
            </w:tcBorders>
          </w:tcPr>
          <w:p w14:paraId="14D72E1E"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{"citationID":"B8fUX1pk","properties":{"formattedCitation":"(10)","plainCitation":"(10)","noteIndex":0},"citationItems":[{"id":1216,"uris":["http://zotero.org/users/local/qnIpXHeo/items/5SCRLPR4"],"itemData":{"id":1216,"type":"dataset","title":"ISF-regelverk 2024: DRG masterliste and Innsatsstyrt finansiering 2024","author":[{"family":"Helsedirektoratet","given":""}],"issued":{"date-parts":[["2023",12]]}}}],"schema":"https://github.com/citation-style-language/schema/raw/master/csl-citation.json"}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(10)</w:t>
            </w:r>
            <w:r w:rsidRPr="0030308C">
              <w:rPr>
                <w:rFonts w:ascii="Arial" w:hAnsi="Arial" w:cs="Arial"/>
                <w:color w:val="000000" w:themeColor="text1"/>
                <w:sz w:val="20"/>
                <w:szCs w:val="20"/>
              </w:rPr>
              <w:fldChar w:fldCharType="end"/>
            </w:r>
          </w:p>
          <w:p w14:paraId="1E10F843" w14:textId="77777777" w:rsidR="00E61562" w:rsidRPr="0030308C" w:rsidRDefault="00E61562" w:rsidP="000E0C52">
            <w:pPr>
              <w:rPr>
                <w:rFonts w:ascii="Arial" w:hAnsi="Arial" w:cs="Arial"/>
                <w:color w:val="000000" w:themeColor="text1"/>
                <w:sz w:val="20"/>
                <w:szCs w:val="20"/>
              </w:rPr>
            </w:pPr>
          </w:p>
        </w:tc>
      </w:tr>
      <w:tr w:rsidR="00E61562" w:rsidRPr="0030308C" w14:paraId="3C7E2057" w14:textId="77777777" w:rsidTr="000E0C52">
        <w:trPr>
          <w:trHeight w:val="466"/>
          <w:jc w:val="center"/>
        </w:trPr>
        <w:tc>
          <w:tcPr>
            <w:tcW w:w="778" w:type="pct"/>
          </w:tcPr>
          <w:p w14:paraId="7E999111"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Drug costs per vial of aflibercept</w:t>
            </w:r>
          </w:p>
        </w:tc>
        <w:tc>
          <w:tcPr>
            <w:tcW w:w="1315" w:type="pct"/>
          </w:tcPr>
          <w:p w14:paraId="645F3076"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We used maximum approved pharmacy sales price minus 25% VAT.</w:t>
            </w:r>
          </w:p>
        </w:tc>
        <w:tc>
          <w:tcPr>
            <w:tcW w:w="427" w:type="pct"/>
          </w:tcPr>
          <w:p w14:paraId="32D2FF4D"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76</w:t>
            </w:r>
            <w:r>
              <w:rPr>
                <w:rFonts w:ascii="Arial" w:hAnsi="Arial" w:cs="Arial"/>
                <w:color w:val="000000" w:themeColor="text1"/>
                <w:sz w:val="20"/>
                <w:szCs w:val="20"/>
              </w:rPr>
              <w:t>5</w:t>
            </w:r>
          </w:p>
          <w:p w14:paraId="6398FE0B" w14:textId="77777777" w:rsidR="00E61562" w:rsidRPr="0030308C" w:rsidRDefault="00E61562" w:rsidP="000E0C52">
            <w:pPr>
              <w:rPr>
                <w:rFonts w:ascii="Arial" w:hAnsi="Arial" w:cs="Arial"/>
                <w:color w:val="000000" w:themeColor="text1"/>
                <w:sz w:val="20"/>
                <w:szCs w:val="20"/>
              </w:rPr>
            </w:pPr>
          </w:p>
        </w:tc>
        <w:tc>
          <w:tcPr>
            <w:tcW w:w="470" w:type="pct"/>
          </w:tcPr>
          <w:p w14:paraId="7F56DA5D" w14:textId="77777777" w:rsidR="00E61562" w:rsidRPr="0030308C" w:rsidRDefault="00E61562" w:rsidP="000E0C52">
            <w:pPr>
              <w:rPr>
                <w:rFonts w:ascii="Arial" w:hAnsi="Arial" w:cs="Arial"/>
                <w:color w:val="000000" w:themeColor="text1"/>
                <w:sz w:val="20"/>
                <w:szCs w:val="20"/>
              </w:rPr>
            </w:pPr>
          </w:p>
        </w:tc>
        <w:tc>
          <w:tcPr>
            <w:tcW w:w="420" w:type="pct"/>
          </w:tcPr>
          <w:p w14:paraId="420410FB" w14:textId="77777777" w:rsidR="00E61562" w:rsidRPr="0030308C" w:rsidRDefault="00E61562" w:rsidP="000E0C52">
            <w:pPr>
              <w:rPr>
                <w:rFonts w:ascii="Arial" w:hAnsi="Arial" w:cs="Arial"/>
                <w:color w:val="000000" w:themeColor="text1"/>
                <w:sz w:val="20"/>
                <w:szCs w:val="20"/>
              </w:rPr>
            </w:pPr>
          </w:p>
        </w:tc>
        <w:tc>
          <w:tcPr>
            <w:tcW w:w="1590" w:type="pct"/>
          </w:tcPr>
          <w:p w14:paraId="310C35F1"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{"citationID":"a15c315knt9","properties":{"formattedCitation":"(11)","plainCitation":"(11)","noteIndex":0},"citationItems":[{"id":1214,"uris":["http://zotero.org/users/local/qnIpXHeo/items/IJQZRIQP"],"itemData":{"id":1214,"type":"dataset","number":"Directoratet for Medisinske Producter","title":"Legemidelpriser","URL":"https://www.legemiddelsok.no","author":[{"family":"Norwegian Medical Product Agency","given":""}]}}],"schema":"https://github.com/citation-style-language/schema/raw/master/csl-citation.json"}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(11)</w:t>
            </w:r>
            <w:r w:rsidRPr="0030308C">
              <w:rPr>
                <w:rFonts w:ascii="Arial" w:hAnsi="Arial" w:cs="Arial"/>
                <w:color w:val="000000" w:themeColor="text1"/>
                <w:sz w:val="20"/>
                <w:szCs w:val="20"/>
              </w:rPr>
              <w:fldChar w:fldCharType="end"/>
            </w:r>
          </w:p>
        </w:tc>
      </w:tr>
      <w:tr w:rsidR="00E61562" w:rsidRPr="0030308C" w14:paraId="23487637" w14:textId="77777777" w:rsidTr="000E0C52">
        <w:trPr>
          <w:trHeight w:val="466"/>
          <w:jc w:val="center"/>
        </w:trPr>
        <w:tc>
          <w:tcPr>
            <w:tcW w:w="778" w:type="pct"/>
          </w:tcPr>
          <w:p w14:paraId="4DAB6F83"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injections per vial of aflibercept</w:t>
            </w:r>
          </w:p>
        </w:tc>
        <w:tc>
          <w:tcPr>
            <w:tcW w:w="1315" w:type="pct"/>
          </w:tcPr>
          <w:p w14:paraId="44E1E07D"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Vials are split into multiple injections.</w:t>
            </w:r>
          </w:p>
        </w:tc>
        <w:tc>
          <w:tcPr>
            <w:tcW w:w="427" w:type="pct"/>
          </w:tcPr>
          <w:p w14:paraId="286DE47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2.5</w:t>
            </w:r>
          </w:p>
        </w:tc>
        <w:tc>
          <w:tcPr>
            <w:tcW w:w="470" w:type="pct"/>
          </w:tcPr>
          <w:p w14:paraId="1AE286E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0.25</w:t>
            </w:r>
          </w:p>
          <w:p w14:paraId="7F5DB49D" w14:textId="77777777" w:rsidR="00E61562" w:rsidRPr="0030308C" w:rsidRDefault="00E61562" w:rsidP="000E0C52">
            <w:pPr>
              <w:rPr>
                <w:rFonts w:ascii="Arial" w:hAnsi="Arial" w:cs="Arial"/>
                <w:color w:val="000000" w:themeColor="text1"/>
                <w:sz w:val="20"/>
                <w:szCs w:val="20"/>
              </w:rPr>
            </w:pPr>
          </w:p>
        </w:tc>
        <w:tc>
          <w:tcPr>
            <w:tcW w:w="420" w:type="pct"/>
          </w:tcPr>
          <w:p w14:paraId="48E6D86E"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1590" w:type="pct"/>
          </w:tcPr>
          <w:p w14:paraId="5B09D54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{"citationID":"a29iof2pvet","properties":{"formattedCitation":"(12)","plainCitation":"(12)","noteIndex":0},"citationItems":[{"id":1132,"uris":["http://zotero.org/users/local/qnIpXHeo/items/GPJQ2WNT"],"itemData":{"id":1132,"type":"document","title":"Vaskulær endotelial vekstfaktor-hemmere (anti-VEGF) for behandling av neovaskulær aldersrelatert makuladegenerasjon","author":[{"family":"Sykehusinnkjøp","given":""}],"issued":{"date-parts":[["2024",1,12]]}}}],"schema":"https://github.com/citation-style-language/schema/raw/master/csl-citation.json"}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(12)</w:t>
            </w:r>
            <w:r w:rsidRPr="0030308C">
              <w:rPr>
                <w:rFonts w:ascii="Arial" w:hAnsi="Arial" w:cs="Arial"/>
                <w:color w:val="000000" w:themeColor="text1"/>
                <w:sz w:val="20"/>
                <w:szCs w:val="20"/>
              </w:rPr>
              <w:fldChar w:fldCharType="end"/>
            </w:r>
          </w:p>
        </w:tc>
      </w:tr>
      <w:tr w:rsidR="00E61562" w:rsidRPr="0030308C" w14:paraId="5868EE22" w14:textId="77777777" w:rsidTr="000E0C52">
        <w:trPr>
          <w:trHeight w:val="225"/>
          <w:jc w:val="center"/>
        </w:trPr>
        <w:tc>
          <w:tcPr>
            <w:tcW w:w="778" w:type="pct"/>
            <w:tcBorders>
              <w:bottom w:val="single" w:sz="4" w:space="0" w:color="auto"/>
            </w:tcBorders>
          </w:tcPr>
          <w:p w14:paraId="2DEBD8E6"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Production costs per syringe</w:t>
            </w:r>
          </w:p>
        </w:tc>
        <w:tc>
          <w:tcPr>
            <w:tcW w:w="1315" w:type="pct"/>
            <w:tcBorders>
              <w:bottom w:val="single" w:sz="4" w:space="0" w:color="auto"/>
            </w:tcBorders>
          </w:tcPr>
          <w:p w14:paraId="4BECBCE1"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One-time additional production costs per syringe.</w:t>
            </w:r>
          </w:p>
        </w:tc>
        <w:tc>
          <w:tcPr>
            <w:tcW w:w="427" w:type="pct"/>
            <w:tcBorders>
              <w:bottom w:val="single" w:sz="4" w:space="0" w:color="auto"/>
            </w:tcBorders>
          </w:tcPr>
          <w:p w14:paraId="5416EEF6"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3</w:t>
            </w:r>
            <w:r>
              <w:rPr>
                <w:rFonts w:ascii="Arial" w:hAnsi="Arial" w:cs="Arial"/>
                <w:color w:val="000000" w:themeColor="text1"/>
                <w:sz w:val="20"/>
                <w:szCs w:val="20"/>
              </w:rPr>
              <w:t>8</w:t>
            </w:r>
          </w:p>
        </w:tc>
        <w:tc>
          <w:tcPr>
            <w:tcW w:w="470" w:type="pct"/>
            <w:tcBorders>
              <w:bottom w:val="single" w:sz="4" w:space="0" w:color="auto"/>
            </w:tcBorders>
          </w:tcPr>
          <w:p w14:paraId="0EDA2A70" w14:textId="77777777" w:rsidR="00E61562" w:rsidRPr="0030308C" w:rsidRDefault="00E61562" w:rsidP="000E0C52">
            <w:pPr>
              <w:rPr>
                <w:rFonts w:ascii="Arial" w:hAnsi="Arial" w:cs="Arial"/>
                <w:color w:val="000000" w:themeColor="text1"/>
                <w:sz w:val="20"/>
                <w:szCs w:val="20"/>
              </w:rPr>
            </w:pPr>
          </w:p>
        </w:tc>
        <w:tc>
          <w:tcPr>
            <w:tcW w:w="420" w:type="pct"/>
            <w:tcBorders>
              <w:bottom w:val="single" w:sz="4" w:space="0" w:color="auto"/>
            </w:tcBorders>
          </w:tcPr>
          <w:p w14:paraId="629AC0B6" w14:textId="77777777" w:rsidR="00E61562" w:rsidRPr="0030308C" w:rsidRDefault="00E61562" w:rsidP="000E0C52">
            <w:pPr>
              <w:rPr>
                <w:rFonts w:ascii="Arial" w:hAnsi="Arial" w:cs="Arial"/>
                <w:color w:val="000000" w:themeColor="text1"/>
                <w:sz w:val="20"/>
                <w:szCs w:val="20"/>
              </w:rPr>
            </w:pPr>
          </w:p>
        </w:tc>
        <w:tc>
          <w:tcPr>
            <w:tcW w:w="1590" w:type="pct"/>
            <w:tcBorders>
              <w:bottom w:val="single" w:sz="4" w:space="0" w:color="auto"/>
            </w:tcBorders>
          </w:tcPr>
          <w:p w14:paraId="65DFDE8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{"citationID":"a2lgobv4gan","properties":{"formattedCitation":"(12)","plainCitation":"(12)","noteIndex":0},"citationItems":[{"id":1132,"uris":["http://zotero.org/users/local/qnIpXHeo/items/GPJQ2WNT"],"itemData":{"id":1132,"type":"document","title":"Vaskulær endotelial vekstfaktor-hemmere (anti-VEGF) for behandling av neovaskulær aldersrelatert makuladegenerasjon","author":[{"family":"Sykehusinnkjøp","given":""}],"issued":{"date-parts":[["2024",1,12]]}}}],"schema":"https://github.com/citation-style-language/schema/raw/master/csl-citation.json"}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(12)</w:t>
            </w:r>
            <w:r w:rsidRPr="0030308C">
              <w:rPr>
                <w:rFonts w:ascii="Arial" w:hAnsi="Arial" w:cs="Arial"/>
                <w:color w:val="000000" w:themeColor="text1"/>
                <w:sz w:val="20"/>
                <w:szCs w:val="20"/>
              </w:rPr>
              <w:fldChar w:fldCharType="end"/>
            </w:r>
          </w:p>
        </w:tc>
      </w:tr>
      <w:tr w:rsidR="00E61562" w:rsidRPr="0030308C" w14:paraId="1D15476D" w14:textId="77777777" w:rsidTr="000E0C52">
        <w:trPr>
          <w:trHeight w:val="241"/>
          <w:jc w:val="center"/>
        </w:trPr>
        <w:tc>
          <w:tcPr>
            <w:tcW w:w="778" w:type="pct"/>
            <w:tcBorders>
              <w:top w:val="single" w:sz="4" w:space="0" w:color="auto"/>
              <w:bottom w:val="single" w:sz="4" w:space="0" w:color="auto"/>
            </w:tcBorders>
          </w:tcPr>
          <w:p w14:paraId="4C846950" w14:textId="77777777" w:rsidR="00E61562" w:rsidRPr="0030308C" w:rsidRDefault="00E61562" w:rsidP="000E0C52">
            <w:pPr>
              <w:rPr>
                <w:rFonts w:ascii="Arial" w:hAnsi="Arial" w:cs="Arial"/>
                <w:b/>
                <w:bCs/>
                <w:color w:val="000000" w:themeColor="text1"/>
                <w:sz w:val="20"/>
                <w:szCs w:val="20"/>
              </w:rPr>
            </w:pPr>
            <w:r w:rsidRPr="0030308C">
              <w:rPr>
                <w:rFonts w:ascii="Arial" w:hAnsi="Arial" w:cs="Arial"/>
                <w:b/>
                <w:bCs/>
                <w:color w:val="000000" w:themeColor="text1"/>
                <w:sz w:val="20"/>
                <w:szCs w:val="20"/>
              </w:rPr>
              <w:t>Health state-related costs</w:t>
            </w:r>
          </w:p>
        </w:tc>
        <w:tc>
          <w:tcPr>
            <w:tcW w:w="1315" w:type="pct"/>
            <w:tcBorders>
              <w:top w:val="single" w:sz="4" w:space="0" w:color="auto"/>
              <w:bottom w:val="single" w:sz="4" w:space="0" w:color="auto"/>
            </w:tcBorders>
          </w:tcPr>
          <w:p w14:paraId="0EC90F89" w14:textId="77777777" w:rsidR="00E61562" w:rsidRPr="0030308C" w:rsidRDefault="00E61562" w:rsidP="000E0C52">
            <w:pPr>
              <w:rPr>
                <w:rFonts w:ascii="Arial" w:hAnsi="Arial" w:cs="Arial"/>
                <w:color w:val="000000" w:themeColor="text1"/>
                <w:sz w:val="20"/>
                <w:szCs w:val="20"/>
              </w:rPr>
            </w:pPr>
          </w:p>
        </w:tc>
        <w:tc>
          <w:tcPr>
            <w:tcW w:w="427" w:type="pct"/>
            <w:tcBorders>
              <w:top w:val="single" w:sz="4" w:space="0" w:color="auto"/>
              <w:bottom w:val="single" w:sz="4" w:space="0" w:color="auto"/>
            </w:tcBorders>
          </w:tcPr>
          <w:p w14:paraId="5265BCB5" w14:textId="77777777" w:rsidR="00E61562" w:rsidRPr="0030308C" w:rsidRDefault="00E61562" w:rsidP="000E0C52">
            <w:pPr>
              <w:rPr>
                <w:rFonts w:ascii="Arial" w:hAnsi="Arial" w:cs="Arial"/>
                <w:color w:val="000000" w:themeColor="text1"/>
                <w:sz w:val="20"/>
                <w:szCs w:val="20"/>
              </w:rPr>
            </w:pPr>
          </w:p>
        </w:tc>
        <w:tc>
          <w:tcPr>
            <w:tcW w:w="470" w:type="pct"/>
            <w:tcBorders>
              <w:top w:val="single" w:sz="4" w:space="0" w:color="auto"/>
              <w:bottom w:val="single" w:sz="4" w:space="0" w:color="auto"/>
            </w:tcBorders>
          </w:tcPr>
          <w:p w14:paraId="24053F9A" w14:textId="77777777" w:rsidR="00E61562" w:rsidRPr="0030308C" w:rsidRDefault="00E61562" w:rsidP="000E0C52">
            <w:pPr>
              <w:rPr>
                <w:rFonts w:ascii="Arial" w:hAnsi="Arial" w:cs="Arial"/>
                <w:color w:val="000000" w:themeColor="text1"/>
                <w:sz w:val="20"/>
                <w:szCs w:val="20"/>
              </w:rPr>
            </w:pPr>
          </w:p>
        </w:tc>
        <w:tc>
          <w:tcPr>
            <w:tcW w:w="420" w:type="pct"/>
            <w:tcBorders>
              <w:top w:val="single" w:sz="4" w:space="0" w:color="auto"/>
              <w:bottom w:val="single" w:sz="4" w:space="0" w:color="auto"/>
            </w:tcBorders>
          </w:tcPr>
          <w:p w14:paraId="7865B43C" w14:textId="77777777" w:rsidR="00E61562" w:rsidRPr="0030308C" w:rsidRDefault="00E61562" w:rsidP="000E0C52">
            <w:pPr>
              <w:rPr>
                <w:rFonts w:ascii="Arial" w:hAnsi="Arial" w:cs="Arial"/>
                <w:color w:val="000000" w:themeColor="text1"/>
                <w:sz w:val="20"/>
                <w:szCs w:val="20"/>
              </w:rPr>
            </w:pPr>
          </w:p>
        </w:tc>
        <w:tc>
          <w:tcPr>
            <w:tcW w:w="1590" w:type="pct"/>
            <w:tcBorders>
              <w:top w:val="single" w:sz="4" w:space="0" w:color="auto"/>
              <w:bottom w:val="single" w:sz="4" w:space="0" w:color="auto"/>
            </w:tcBorders>
          </w:tcPr>
          <w:p w14:paraId="70C051F6" w14:textId="77777777" w:rsidR="00E61562" w:rsidRPr="0030308C" w:rsidRDefault="00E61562" w:rsidP="000E0C52">
            <w:pPr>
              <w:rPr>
                <w:rFonts w:ascii="Arial" w:hAnsi="Arial" w:cs="Arial"/>
                <w:color w:val="000000" w:themeColor="text1"/>
                <w:sz w:val="20"/>
                <w:szCs w:val="20"/>
              </w:rPr>
            </w:pPr>
          </w:p>
        </w:tc>
      </w:tr>
      <w:tr w:rsidR="00E61562" w:rsidRPr="0030308C" w14:paraId="2434BAC5" w14:textId="77777777" w:rsidTr="000E0C52">
        <w:trPr>
          <w:trHeight w:val="225"/>
          <w:jc w:val="center"/>
        </w:trPr>
        <w:tc>
          <w:tcPr>
            <w:tcW w:w="778" w:type="pct"/>
            <w:tcBorders>
              <w:top w:val="single" w:sz="4" w:space="0" w:color="auto"/>
            </w:tcBorders>
          </w:tcPr>
          <w:p w14:paraId="5461DA37"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lastRenderedPageBreak/>
              <w:t xml:space="preserve">Costs in health state VI </w:t>
            </w:r>
            <w:r w:rsidRPr="0030308C">
              <w:rPr>
                <w:color w:val="000000" w:themeColor="text1"/>
                <w:sz w:val="20"/>
                <w:szCs w:val="20"/>
              </w:rPr>
              <w:t>(</w:t>
            </w:r>
            <w:r w:rsidRPr="0030308C">
              <w:rPr>
                <w:rFonts w:ascii="Arial" w:hAnsi="Arial" w:cs="Arial"/>
                <w:color w:val="000000" w:themeColor="text1"/>
                <w:sz w:val="20"/>
                <w:szCs w:val="20"/>
              </w:rPr>
              <w:t>≤ 25 letters).</w:t>
            </w:r>
          </w:p>
        </w:tc>
        <w:tc>
          <w:tcPr>
            <w:tcW w:w="1315" w:type="pct"/>
            <w:tcBorders>
              <w:top w:val="single" w:sz="4" w:space="0" w:color="auto"/>
            </w:tcBorders>
          </w:tcPr>
          <w:p w14:paraId="48FD63F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Yearly cost of disability due to poor vision.</w:t>
            </w:r>
          </w:p>
        </w:tc>
        <w:tc>
          <w:tcPr>
            <w:tcW w:w="427" w:type="pct"/>
            <w:tcBorders>
              <w:top w:val="single" w:sz="4" w:space="0" w:color="auto"/>
            </w:tcBorders>
          </w:tcPr>
          <w:p w14:paraId="3BF101D4"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22 28</w:t>
            </w:r>
            <w:r>
              <w:rPr>
                <w:rFonts w:ascii="Arial" w:hAnsi="Arial" w:cs="Arial"/>
                <w:color w:val="000000" w:themeColor="text1"/>
                <w:sz w:val="20"/>
                <w:szCs w:val="20"/>
              </w:rPr>
              <w:t>9</w:t>
            </w:r>
          </w:p>
        </w:tc>
        <w:tc>
          <w:tcPr>
            <w:tcW w:w="470" w:type="pct"/>
            <w:tcBorders>
              <w:top w:val="single" w:sz="4" w:space="0" w:color="auto"/>
            </w:tcBorders>
          </w:tcPr>
          <w:p w14:paraId="27DFE89A"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2248.73</w:t>
            </w:r>
          </w:p>
        </w:tc>
        <w:tc>
          <w:tcPr>
            <w:tcW w:w="420" w:type="pct"/>
            <w:tcBorders>
              <w:top w:val="single" w:sz="4" w:space="0" w:color="auto"/>
            </w:tcBorders>
          </w:tcPr>
          <w:p w14:paraId="53EB1377"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1590" w:type="pct"/>
            <w:tcBorders>
              <w:top w:val="single" w:sz="4" w:space="0" w:color="auto"/>
            </w:tcBorders>
          </w:tcPr>
          <w:p w14:paraId="7C56ACE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{"citationID":"7OBg4cYR","properties":{"formattedCitation":"(13)","plainCitation":"(13)","noteIndex":0},"citationItems":[{"id":1265,"uris":["http://zotero.org/users/local/qnIpXHeo/items/SAF62XVE"],"itemData":{"id":1265,"type":"document","title":"Cost Of Vision Problems: The Economic Burden of Vision Loss and Eye Disorders in the United States","URL":"https://preventblindness.org/wp-content/uploads/2020/04/Economic-Burden-of-Vision-Final-Report_130611_0.pdf","author":[{"family":"NORC","given":""}],"issued":{"date-parts":[["2013",6,11]]}}}],"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(13)</w:t>
            </w:r>
            <w:r w:rsidRPr="0030308C">
              <w:rPr>
                <w:rFonts w:ascii="Arial" w:hAnsi="Arial" w:cs="Arial"/>
                <w:color w:val="000000" w:themeColor="text1"/>
                <w:sz w:val="20"/>
                <w:szCs w:val="20"/>
              </w:rPr>
              <w:fldChar w:fldCharType="end"/>
            </w:r>
          </w:p>
        </w:tc>
      </w:tr>
    </w:tbl>
    <w:p w14:paraId="15EDD3BD" w14:textId="77777777" w:rsidR="00E61562" w:rsidRPr="002E668C" w:rsidRDefault="00E61562" w:rsidP="00E61562">
      <w:pPr>
        <w:jc w:val="both"/>
        <w:rPr>
          <w:rFonts w:ascii="Arial" w:hAnsi="Arial" w:cs="Arial"/>
          <w:color w:val="000000" w:themeColor="text1"/>
          <w:sz w:val="16"/>
          <w:szCs w:val="16"/>
          <w:vertAlign w:val="superscript"/>
          <w:lang w:val="en-US"/>
        </w:rPr>
      </w:pPr>
      <w:proofErr w:type="spellStart"/>
      <w:r w:rsidRPr="002E668C">
        <w:rPr>
          <w:rFonts w:ascii="Arial" w:hAnsi="Arial" w:cs="Arial"/>
          <w:color w:val="000000" w:themeColor="text1"/>
          <w:sz w:val="16"/>
          <w:szCs w:val="16"/>
          <w:vertAlign w:val="superscript"/>
          <w:lang w:val="en-US"/>
        </w:rPr>
        <w:t>a</w:t>
      </w:r>
      <w:proofErr w:type="spellEnd"/>
      <w:r w:rsidRPr="002E668C">
        <w:rPr>
          <w:color w:val="000000" w:themeColor="text1"/>
          <w:sz w:val="16"/>
          <w:szCs w:val="16"/>
        </w:rPr>
        <w:t xml:space="preserve"> </w:t>
      </w:r>
      <w:r w:rsidRPr="002E668C">
        <w:rPr>
          <w:rFonts w:ascii="Arial" w:hAnsi="Arial" w:cs="Arial"/>
          <w:color w:val="000000" w:themeColor="text1"/>
          <w:sz w:val="16"/>
          <w:szCs w:val="16"/>
          <w:lang w:val="en-US"/>
        </w:rPr>
        <w:t>When no distribution and standard error were reported, the variable is not included in the probabilistic analysis.</w:t>
      </w:r>
    </w:p>
    <w:p w14:paraId="5FE0A7AA" w14:textId="77777777" w:rsidR="00E61562" w:rsidRPr="002E668C" w:rsidRDefault="00E61562" w:rsidP="00E61562">
      <w:pPr>
        <w:jc w:val="both"/>
        <w:rPr>
          <w:rFonts w:ascii="Arial" w:hAnsi="Arial" w:cs="Arial"/>
          <w:color w:val="000000" w:themeColor="text1"/>
          <w:sz w:val="16"/>
          <w:szCs w:val="16"/>
          <w:lang w:val="en-US"/>
        </w:rPr>
      </w:pPr>
      <w:r w:rsidRPr="002E668C">
        <w:rPr>
          <w:rFonts w:ascii="Arial" w:hAnsi="Arial" w:cs="Arial"/>
          <w:color w:val="000000" w:themeColor="text1"/>
          <w:sz w:val="16"/>
          <w:szCs w:val="16"/>
          <w:vertAlign w:val="superscript"/>
          <w:lang w:val="en-US"/>
        </w:rPr>
        <w:t xml:space="preserve">b </w:t>
      </w:r>
      <w:r w:rsidRPr="002E668C">
        <w:rPr>
          <w:rFonts w:ascii="Arial" w:hAnsi="Arial" w:cs="Arial"/>
          <w:color w:val="000000" w:themeColor="text1"/>
          <w:sz w:val="16"/>
          <w:szCs w:val="16"/>
          <w:lang w:val="en-US"/>
        </w:rPr>
        <w:t>If standard errors were unknown, we assumed 25% for the drug price and 20% for the number of refills.</w:t>
      </w:r>
    </w:p>
    <w:p w14:paraId="488D12D4" w14:textId="77777777" w:rsidR="00E61562" w:rsidRPr="0030308C" w:rsidRDefault="00E61562" w:rsidP="00E61562">
      <w:pPr>
        <w:jc w:val="both"/>
        <w:rPr>
          <w:rFonts w:ascii="Arial" w:hAnsi="Arial" w:cs="Arial"/>
          <w:color w:val="000000" w:themeColor="text1"/>
          <w:sz w:val="18"/>
          <w:szCs w:val="18"/>
          <w:lang w:val="en-US"/>
        </w:rPr>
      </w:pPr>
    </w:p>
    <w:p w14:paraId="67182255" w14:textId="77777777" w:rsidR="00E61562" w:rsidRPr="0030308C" w:rsidRDefault="00E61562" w:rsidP="00E61562">
      <w:pPr>
        <w:jc w:val="both"/>
        <w:rPr>
          <w:rFonts w:ascii="Arial" w:hAnsi="Arial" w:cs="Arial"/>
          <w:color w:val="000000" w:themeColor="text1"/>
          <w:sz w:val="20"/>
          <w:szCs w:val="20"/>
          <w:lang w:val="en-US"/>
        </w:rPr>
      </w:pPr>
    </w:p>
    <w:p w14:paraId="53B1A39A" w14:textId="77777777" w:rsidR="00F75E57" w:rsidRDefault="00F75E57">
      <w:pPr>
        <w:rPr>
          <w:rFonts w:ascii="Arial" w:hAnsi="Arial" w:cs="Arial"/>
          <w:b/>
          <w:bCs/>
          <w:color w:val="000000" w:themeColor="text1"/>
          <w:lang w:val="en-US"/>
        </w:rPr>
      </w:pPr>
      <w:bookmarkStart w:id="15" w:name="_Toc168139204"/>
      <w:r>
        <w:rPr>
          <w:rFonts w:ascii="Arial" w:hAnsi="Arial" w:cs="Arial"/>
          <w:b/>
          <w:bCs/>
          <w:i/>
          <w:iCs/>
          <w:color w:val="000000" w:themeColor="text1"/>
        </w:rPr>
        <w:br w:type="page"/>
      </w:r>
    </w:p>
    <w:p w14:paraId="23EA167C" w14:textId="0F087D0A" w:rsidR="00E61562" w:rsidRPr="0030308C" w:rsidRDefault="00E61562" w:rsidP="00E61562">
      <w:pPr>
        <w:pStyle w:val="Caption"/>
        <w:keepNext/>
        <w:jc w:val="both"/>
        <w:rPr>
          <w:rFonts w:ascii="Arial" w:hAnsi="Arial" w:cs="Arial"/>
          <w:b/>
          <w:bCs/>
          <w:i w:val="0"/>
          <w:iCs w:val="0"/>
          <w:color w:val="000000" w:themeColor="text1"/>
          <w:sz w:val="24"/>
          <w:szCs w:val="24"/>
        </w:rPr>
      </w:pPr>
      <w:r>
        <w:rPr>
          <w:rFonts w:ascii="Arial" w:hAnsi="Arial" w:cs="Arial"/>
          <w:b/>
          <w:bCs/>
          <w:i w:val="0"/>
          <w:iCs w:val="0"/>
          <w:color w:val="000000" w:themeColor="text1"/>
          <w:sz w:val="24"/>
          <w:szCs w:val="24"/>
        </w:rPr>
        <w:lastRenderedPageBreak/>
        <w:t>eTable9</w:t>
      </w:r>
      <w:r w:rsidRPr="0030308C">
        <w:rPr>
          <w:rFonts w:ascii="Arial" w:hAnsi="Arial" w:cs="Arial"/>
          <w:b/>
          <w:bCs/>
          <w:i w:val="0"/>
          <w:iCs w:val="0"/>
          <w:color w:val="000000" w:themeColor="text1"/>
          <w:sz w:val="24"/>
          <w:szCs w:val="24"/>
        </w:rPr>
        <w:t>. Input values for transport or lost leisure time-related costs including probabilistic analysis distributions.</w:t>
      </w:r>
      <w:bookmarkEnd w:id="15"/>
      <w:r w:rsidRPr="0030308C">
        <w:rPr>
          <w:rFonts w:ascii="Arial" w:hAnsi="Arial" w:cs="Arial"/>
          <w:b/>
          <w:bCs/>
          <w:i w:val="0"/>
          <w:iCs w:val="0"/>
          <w:color w:val="000000" w:themeColor="text1"/>
          <w:sz w:val="24"/>
          <w:szCs w:val="24"/>
        </w:rPr>
        <w:t xml:space="preserve"> </w:t>
      </w:r>
    </w:p>
    <w:tbl>
      <w:tblPr>
        <w:tblStyle w:val="TableGridLight"/>
        <w:tblW w:w="161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5"/>
        <w:gridCol w:w="3509"/>
        <w:gridCol w:w="1406"/>
        <w:gridCol w:w="1411"/>
        <w:gridCol w:w="1411"/>
        <w:gridCol w:w="4488"/>
      </w:tblGrid>
      <w:tr w:rsidR="00E61562" w:rsidRPr="0030308C" w14:paraId="184625BF" w14:textId="77777777" w:rsidTr="000E0C52">
        <w:trPr>
          <w:trHeight w:val="510"/>
          <w:jc w:val="center"/>
        </w:trPr>
        <w:tc>
          <w:tcPr>
            <w:tcW w:w="3969" w:type="dxa"/>
            <w:tcBorders>
              <w:bottom w:val="single" w:sz="4" w:space="0" w:color="auto"/>
            </w:tcBorders>
          </w:tcPr>
          <w:p w14:paraId="666D5355" w14:textId="77777777" w:rsidR="00E61562" w:rsidRPr="0030308C" w:rsidRDefault="00E61562" w:rsidP="000E0C52">
            <w:pPr>
              <w:rPr>
                <w:rFonts w:ascii="Arial" w:hAnsi="Arial" w:cs="Arial"/>
                <w:color w:val="000000" w:themeColor="text1"/>
                <w:sz w:val="20"/>
                <w:szCs w:val="20"/>
              </w:rPr>
            </w:pPr>
            <w:r w:rsidRPr="0030308C">
              <w:rPr>
                <w:rFonts w:ascii="Arial" w:hAnsi="Arial" w:cs="Arial"/>
                <w:b/>
                <w:bCs/>
                <w:color w:val="000000" w:themeColor="text1"/>
                <w:sz w:val="20"/>
                <w:szCs w:val="20"/>
              </w:rPr>
              <w:t>Type of transport or lost leisure time-related cost (cost in $)</w:t>
            </w:r>
          </w:p>
        </w:tc>
        <w:tc>
          <w:tcPr>
            <w:tcW w:w="3544" w:type="dxa"/>
            <w:tcBorders>
              <w:bottom w:val="single" w:sz="4" w:space="0" w:color="auto"/>
            </w:tcBorders>
          </w:tcPr>
          <w:p w14:paraId="0B22DE3E" w14:textId="77777777" w:rsidR="00E61562" w:rsidRPr="0030308C" w:rsidRDefault="00E61562" w:rsidP="000E0C52">
            <w:pPr>
              <w:rPr>
                <w:rFonts w:ascii="Arial" w:hAnsi="Arial" w:cs="Arial"/>
                <w:color w:val="000000" w:themeColor="text1"/>
                <w:sz w:val="20"/>
                <w:szCs w:val="20"/>
              </w:rPr>
            </w:pPr>
            <w:r w:rsidRPr="0030308C">
              <w:rPr>
                <w:rFonts w:ascii="Arial" w:hAnsi="Arial" w:cs="Arial"/>
                <w:b/>
                <w:bCs/>
                <w:color w:val="000000" w:themeColor="text1"/>
                <w:sz w:val="20"/>
                <w:szCs w:val="20"/>
              </w:rPr>
              <w:t>Description</w:t>
            </w:r>
          </w:p>
        </w:tc>
        <w:tc>
          <w:tcPr>
            <w:tcW w:w="1418" w:type="dxa"/>
            <w:tcBorders>
              <w:bottom w:val="single" w:sz="4" w:space="0" w:color="auto"/>
            </w:tcBorders>
          </w:tcPr>
          <w:p w14:paraId="53B49563"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b/>
                <w:bCs/>
                <w:color w:val="000000" w:themeColor="text1"/>
                <w:sz w:val="20"/>
                <w:szCs w:val="20"/>
              </w:rPr>
              <w:t>Value</w:t>
            </w:r>
          </w:p>
        </w:tc>
        <w:tc>
          <w:tcPr>
            <w:tcW w:w="1417" w:type="dxa"/>
            <w:tcBorders>
              <w:bottom w:val="single" w:sz="4" w:space="0" w:color="auto"/>
            </w:tcBorders>
          </w:tcPr>
          <w:p w14:paraId="51D3DEE4"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b/>
                <w:bCs/>
                <w:color w:val="000000" w:themeColor="text1"/>
                <w:sz w:val="20"/>
                <w:szCs w:val="20"/>
              </w:rPr>
              <w:t>Standard error</w:t>
            </w:r>
          </w:p>
        </w:tc>
        <w:tc>
          <w:tcPr>
            <w:tcW w:w="1276" w:type="dxa"/>
            <w:tcBorders>
              <w:bottom w:val="single" w:sz="4" w:space="0" w:color="auto"/>
            </w:tcBorders>
          </w:tcPr>
          <w:p w14:paraId="481AA832" w14:textId="77777777" w:rsidR="00E61562" w:rsidRPr="0030308C" w:rsidRDefault="00E61562" w:rsidP="000E0C52">
            <w:pPr>
              <w:jc w:val="both"/>
              <w:rPr>
                <w:rFonts w:ascii="Arial" w:hAnsi="Arial" w:cs="Arial"/>
                <w:color w:val="000000" w:themeColor="text1"/>
                <w:sz w:val="20"/>
                <w:szCs w:val="20"/>
                <w:vertAlign w:val="superscript"/>
              </w:rPr>
            </w:pPr>
            <w:proofErr w:type="spellStart"/>
            <w:r w:rsidRPr="0030308C">
              <w:rPr>
                <w:rFonts w:ascii="Arial" w:hAnsi="Arial" w:cs="Arial"/>
                <w:b/>
                <w:bCs/>
                <w:color w:val="000000" w:themeColor="text1"/>
                <w:sz w:val="20"/>
                <w:szCs w:val="20"/>
              </w:rPr>
              <w:t>Distribution</w:t>
            </w:r>
            <w:r w:rsidRPr="0030308C">
              <w:rPr>
                <w:rFonts w:ascii="Arial" w:hAnsi="Arial" w:cs="Arial"/>
                <w:b/>
                <w:bCs/>
                <w:color w:val="000000" w:themeColor="text1"/>
                <w:sz w:val="20"/>
                <w:szCs w:val="20"/>
                <w:vertAlign w:val="superscript"/>
              </w:rPr>
              <w:t>a</w:t>
            </w:r>
            <w:proofErr w:type="spellEnd"/>
          </w:p>
        </w:tc>
        <w:tc>
          <w:tcPr>
            <w:tcW w:w="4536" w:type="dxa"/>
            <w:tcBorders>
              <w:bottom w:val="single" w:sz="4" w:space="0" w:color="auto"/>
            </w:tcBorders>
          </w:tcPr>
          <w:p w14:paraId="41B35810" w14:textId="77777777" w:rsidR="00E61562" w:rsidRPr="0030308C" w:rsidRDefault="00E61562" w:rsidP="000E0C52">
            <w:pPr>
              <w:rPr>
                <w:rFonts w:ascii="Arial" w:hAnsi="Arial" w:cs="Arial"/>
                <w:color w:val="000000" w:themeColor="text1"/>
                <w:sz w:val="20"/>
                <w:szCs w:val="20"/>
              </w:rPr>
            </w:pPr>
            <w:r w:rsidRPr="0030308C">
              <w:rPr>
                <w:rFonts w:ascii="Arial" w:hAnsi="Arial" w:cs="Arial"/>
                <w:b/>
                <w:bCs/>
                <w:color w:val="000000" w:themeColor="text1"/>
                <w:sz w:val="20"/>
                <w:szCs w:val="20"/>
              </w:rPr>
              <w:t>Source</w:t>
            </w:r>
          </w:p>
        </w:tc>
      </w:tr>
      <w:tr w:rsidR="00E61562" w:rsidRPr="0030308C" w14:paraId="01BFB65C" w14:textId="77777777" w:rsidTr="000E0C52">
        <w:trPr>
          <w:jc w:val="center"/>
        </w:trPr>
        <w:tc>
          <w:tcPr>
            <w:tcW w:w="3969" w:type="dxa"/>
            <w:tcBorders>
              <w:top w:val="single" w:sz="4" w:space="0" w:color="auto"/>
            </w:tcBorders>
          </w:tcPr>
          <w:p w14:paraId="5622D23F"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Cost of transport to hospital per trip</w:t>
            </w:r>
          </w:p>
        </w:tc>
        <w:tc>
          <w:tcPr>
            <w:tcW w:w="3544" w:type="dxa"/>
            <w:tcBorders>
              <w:top w:val="single" w:sz="4" w:space="0" w:color="auto"/>
            </w:tcBorders>
          </w:tcPr>
          <w:p w14:paraId="10E8AE21"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Based on an average trip lasting 1.5 hours.</w:t>
            </w:r>
          </w:p>
        </w:tc>
        <w:tc>
          <w:tcPr>
            <w:tcW w:w="1418" w:type="dxa"/>
            <w:tcBorders>
              <w:top w:val="single" w:sz="4" w:space="0" w:color="auto"/>
            </w:tcBorders>
          </w:tcPr>
          <w:p w14:paraId="496CE967"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7</w:t>
            </w:r>
            <w:r>
              <w:rPr>
                <w:rFonts w:ascii="Arial" w:hAnsi="Arial" w:cs="Arial"/>
                <w:color w:val="000000" w:themeColor="text1"/>
                <w:sz w:val="20"/>
                <w:szCs w:val="20"/>
              </w:rPr>
              <w:t>5</w:t>
            </w:r>
          </w:p>
        </w:tc>
        <w:tc>
          <w:tcPr>
            <w:tcW w:w="1417" w:type="dxa"/>
            <w:tcBorders>
              <w:top w:val="single" w:sz="4" w:space="0" w:color="auto"/>
            </w:tcBorders>
          </w:tcPr>
          <w:p w14:paraId="7242DDD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18.65</w:t>
            </w:r>
          </w:p>
        </w:tc>
        <w:tc>
          <w:tcPr>
            <w:tcW w:w="1276" w:type="dxa"/>
            <w:tcBorders>
              <w:top w:val="single" w:sz="4" w:space="0" w:color="auto"/>
            </w:tcBorders>
          </w:tcPr>
          <w:p w14:paraId="0A45A7F9"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4536" w:type="dxa"/>
            <w:tcBorders>
              <w:top w:val="single" w:sz="4" w:space="0" w:color="auto"/>
            </w:tcBorders>
          </w:tcPr>
          <w:p w14:paraId="2D49C2B7"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{"citationID":"dixcGKJp","properties":{"formattedCitation":"(14)","plainCitation":"(14)","noteIndex":0},"citationItems":[{"id":1219,"uris":["http://zotero.org/users/local/qnIpXHeo/items/XHJPNYVB"],"itemData":{"id":1219,"type":"dataset","title":"Enhet Kostnader V1.4","author":[{"family":"Direktoratet for medisinske produkter","given":""}],"issued":{"date-parts":[["2024",2,28]]}}}],"schema":"https://github.com/citation-style-language/schema/raw/master/csl-citation.json"}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(14)</w:t>
            </w:r>
            <w:r w:rsidRPr="0030308C">
              <w:rPr>
                <w:rFonts w:ascii="Arial" w:hAnsi="Arial" w:cs="Arial"/>
                <w:color w:val="000000" w:themeColor="text1"/>
                <w:sz w:val="20"/>
                <w:szCs w:val="20"/>
              </w:rPr>
              <w:fldChar w:fldCharType="end"/>
            </w:r>
          </w:p>
        </w:tc>
      </w:tr>
      <w:tr w:rsidR="00E61562" w:rsidRPr="0030308C" w14:paraId="69C1B1B7" w14:textId="77777777" w:rsidTr="000E0C52">
        <w:trPr>
          <w:jc w:val="center"/>
        </w:trPr>
        <w:tc>
          <w:tcPr>
            <w:tcW w:w="3969" w:type="dxa"/>
          </w:tcPr>
          <w:p w14:paraId="32C38CAA"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transports to hospital per visit</w:t>
            </w:r>
          </w:p>
        </w:tc>
        <w:tc>
          <w:tcPr>
            <w:tcW w:w="3544" w:type="dxa"/>
          </w:tcPr>
          <w:p w14:paraId="12F813CE"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A hospital visit requires a trip back and forth.</w:t>
            </w:r>
          </w:p>
        </w:tc>
        <w:tc>
          <w:tcPr>
            <w:tcW w:w="1418" w:type="dxa"/>
          </w:tcPr>
          <w:p w14:paraId="521C793C"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2</w:t>
            </w:r>
          </w:p>
        </w:tc>
        <w:tc>
          <w:tcPr>
            <w:tcW w:w="1417" w:type="dxa"/>
          </w:tcPr>
          <w:p w14:paraId="2963E3DE" w14:textId="77777777" w:rsidR="00E61562" w:rsidRPr="0030308C" w:rsidRDefault="00E61562" w:rsidP="000E0C52">
            <w:pPr>
              <w:rPr>
                <w:rFonts w:ascii="Arial" w:hAnsi="Arial" w:cs="Arial"/>
                <w:color w:val="000000" w:themeColor="text1"/>
                <w:sz w:val="20"/>
                <w:szCs w:val="20"/>
              </w:rPr>
            </w:pPr>
          </w:p>
        </w:tc>
        <w:tc>
          <w:tcPr>
            <w:tcW w:w="1276" w:type="dxa"/>
          </w:tcPr>
          <w:p w14:paraId="782972CB" w14:textId="77777777" w:rsidR="00E61562" w:rsidRPr="0030308C" w:rsidRDefault="00E61562" w:rsidP="000E0C52">
            <w:pPr>
              <w:jc w:val="both"/>
              <w:rPr>
                <w:rFonts w:ascii="Arial" w:hAnsi="Arial" w:cs="Arial"/>
                <w:color w:val="000000" w:themeColor="text1"/>
                <w:sz w:val="20"/>
                <w:szCs w:val="20"/>
              </w:rPr>
            </w:pPr>
          </w:p>
        </w:tc>
        <w:tc>
          <w:tcPr>
            <w:tcW w:w="4536" w:type="dxa"/>
          </w:tcPr>
          <w:p w14:paraId="6925C9F5" w14:textId="77777777" w:rsidR="00E61562" w:rsidRPr="0030308C" w:rsidRDefault="00E61562" w:rsidP="000E0C52">
            <w:pPr>
              <w:rPr>
                <w:rFonts w:ascii="Arial" w:hAnsi="Arial" w:cs="Arial"/>
                <w:color w:val="000000" w:themeColor="text1"/>
                <w:sz w:val="20"/>
                <w:szCs w:val="20"/>
              </w:rPr>
            </w:pPr>
          </w:p>
        </w:tc>
      </w:tr>
      <w:tr w:rsidR="00E61562" w:rsidRPr="0030308C" w14:paraId="5AD66785" w14:textId="77777777" w:rsidTr="000E0C52">
        <w:trPr>
          <w:jc w:val="center"/>
        </w:trPr>
        <w:tc>
          <w:tcPr>
            <w:tcW w:w="3969" w:type="dxa"/>
          </w:tcPr>
          <w:p w14:paraId="46CBA10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Hours lost leisure time due to a surgery</w:t>
            </w:r>
          </w:p>
        </w:tc>
        <w:tc>
          <w:tcPr>
            <w:tcW w:w="3544" w:type="dxa"/>
          </w:tcPr>
          <w:p w14:paraId="0CED8ACC"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(1.5 hours travel time x 2) + 4 hours in hospital</w:t>
            </w:r>
          </w:p>
        </w:tc>
        <w:tc>
          <w:tcPr>
            <w:tcW w:w="1418" w:type="dxa"/>
          </w:tcPr>
          <w:p w14:paraId="0FF27440"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7</w:t>
            </w:r>
          </w:p>
        </w:tc>
        <w:tc>
          <w:tcPr>
            <w:tcW w:w="1417" w:type="dxa"/>
          </w:tcPr>
          <w:p w14:paraId="6362814E"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1.75</w:t>
            </w:r>
          </w:p>
        </w:tc>
        <w:tc>
          <w:tcPr>
            <w:tcW w:w="1276" w:type="dxa"/>
          </w:tcPr>
          <w:p w14:paraId="5507872B"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4536" w:type="dxa"/>
          </w:tcPr>
          <w:p w14:paraId="1CD963CD"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Assume 1.5 hours travel time. Discussed with ophthalmologists.</w:t>
            </w:r>
          </w:p>
        </w:tc>
      </w:tr>
      <w:tr w:rsidR="00E61562" w:rsidRPr="0030308C" w14:paraId="3D4B7CA6" w14:textId="77777777" w:rsidTr="000E0C52">
        <w:trPr>
          <w:jc w:val="center"/>
        </w:trPr>
        <w:tc>
          <w:tcPr>
            <w:tcW w:w="3969" w:type="dxa"/>
          </w:tcPr>
          <w:p w14:paraId="6E4E2E0F"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Hours lost leisure time due to an injection/monitoring visit</w:t>
            </w:r>
          </w:p>
        </w:tc>
        <w:tc>
          <w:tcPr>
            <w:tcW w:w="3544" w:type="dxa"/>
          </w:tcPr>
          <w:p w14:paraId="4849DFFF"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(1.5 hours travel time x 2) + 2 hours in hospital</w:t>
            </w:r>
          </w:p>
        </w:tc>
        <w:tc>
          <w:tcPr>
            <w:tcW w:w="1418" w:type="dxa"/>
          </w:tcPr>
          <w:p w14:paraId="55231EB7"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5</w:t>
            </w:r>
          </w:p>
        </w:tc>
        <w:tc>
          <w:tcPr>
            <w:tcW w:w="1417" w:type="dxa"/>
          </w:tcPr>
          <w:p w14:paraId="3F5E2D9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1.25</w:t>
            </w:r>
          </w:p>
        </w:tc>
        <w:tc>
          <w:tcPr>
            <w:tcW w:w="1276" w:type="dxa"/>
          </w:tcPr>
          <w:p w14:paraId="1B07F544"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4536" w:type="dxa"/>
          </w:tcPr>
          <w:p w14:paraId="1B58EB67"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Discussed with ophthalmologists.</w:t>
            </w:r>
          </w:p>
        </w:tc>
      </w:tr>
      <w:tr w:rsidR="00E61562" w:rsidRPr="0030308C" w14:paraId="35B4A177" w14:textId="77777777" w:rsidTr="000E0C52">
        <w:trPr>
          <w:jc w:val="center"/>
        </w:trPr>
        <w:tc>
          <w:tcPr>
            <w:tcW w:w="3969" w:type="dxa"/>
          </w:tcPr>
          <w:p w14:paraId="13F9C8E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Cost of one hour lost leisure time</w:t>
            </w:r>
          </w:p>
        </w:tc>
        <w:tc>
          <w:tcPr>
            <w:tcW w:w="3544" w:type="dxa"/>
          </w:tcPr>
          <w:p w14:paraId="709DA653"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Value of one hour working or leisure time</w:t>
            </w:r>
          </w:p>
        </w:tc>
        <w:tc>
          <w:tcPr>
            <w:tcW w:w="1418" w:type="dxa"/>
          </w:tcPr>
          <w:p w14:paraId="6B02BEE0"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29</w:t>
            </w:r>
          </w:p>
        </w:tc>
        <w:tc>
          <w:tcPr>
            <w:tcW w:w="1417" w:type="dxa"/>
          </w:tcPr>
          <w:p w14:paraId="636199D3"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7.29</w:t>
            </w:r>
          </w:p>
        </w:tc>
        <w:tc>
          <w:tcPr>
            <w:tcW w:w="1276" w:type="dxa"/>
          </w:tcPr>
          <w:p w14:paraId="325716A2"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4536" w:type="dxa"/>
          </w:tcPr>
          <w:p w14:paraId="520C1CA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Calculated based on Statistics Norway</w:t>
            </w: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{"citationID":"kLmOPA0n","properties":{"formattedCitation":"(15)","plainCitation":"(15)","noteIndex":0},"citationItems":[{"id":1152,"uris":["http://zotero.org/users/local/qnIpXHeo/items/FIGEM2XG"],"itemData":{"id":1152,"type":"webpage","abstract":"Statistikken viser foretakenes totale kostnader ved å sysselsette arbeidskraft.","container-title":"SSB","language":"nb","title":"Arbeidskraftkostnader","URL":"https://www.ssb.no/arbeid-og-lonn/lonn-og-arbeidskraftkostnader/statistikk/arbeidskraftkostnader","author":[{"family":"Statistics Norway","given":""}],"accessed":{"date-parts":[["2024",5,14]]},"issued":{"date-parts":[["2024",11,6]]}}}],"schema":"https://github.com/citation-style-language/schema/raw/master/csl-citation.json"}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(15)</w:t>
            </w:r>
            <w:r w:rsidRPr="0030308C">
              <w:rPr>
                <w:rFonts w:ascii="Arial" w:hAnsi="Arial" w:cs="Arial"/>
                <w:color w:val="000000" w:themeColor="text1"/>
                <w:sz w:val="20"/>
                <w:szCs w:val="20"/>
              </w:rPr>
              <w:fldChar w:fldCharType="end"/>
            </w:r>
            <w:r w:rsidRPr="0030308C">
              <w:rPr>
                <w:rFonts w:ascii="Arial" w:hAnsi="Arial" w:cs="Arial"/>
                <w:color w:val="000000" w:themeColor="text1"/>
                <w:sz w:val="20"/>
                <w:szCs w:val="20"/>
              </w:rPr>
              <w:t>. Value of leisure = average hourly wage rate - average tax rate</w:t>
            </w:r>
          </w:p>
        </w:tc>
      </w:tr>
      <w:tr w:rsidR="00E61562" w:rsidRPr="0030308C" w14:paraId="50ED0491" w14:textId="77777777" w:rsidTr="000E0C52">
        <w:trPr>
          <w:jc w:val="center"/>
        </w:trPr>
        <w:tc>
          <w:tcPr>
            <w:tcW w:w="3969" w:type="dxa"/>
            <w:tcBorders>
              <w:bottom w:val="single" w:sz="4" w:space="0" w:color="auto"/>
            </w:tcBorders>
          </w:tcPr>
          <w:p w14:paraId="6DA327CC"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Percentage of people in need of accompanying person</w:t>
            </w:r>
          </w:p>
        </w:tc>
        <w:tc>
          <w:tcPr>
            <w:tcW w:w="3544" w:type="dxa"/>
            <w:tcBorders>
              <w:bottom w:val="single" w:sz="4" w:space="0" w:color="auto"/>
            </w:tcBorders>
          </w:tcPr>
          <w:p w14:paraId="273AA796"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 xml:space="preserve">Some patients need a person accompanying them to a hospital visit. </w:t>
            </w:r>
          </w:p>
        </w:tc>
        <w:tc>
          <w:tcPr>
            <w:tcW w:w="1418" w:type="dxa"/>
            <w:tcBorders>
              <w:bottom w:val="single" w:sz="4" w:space="0" w:color="auto"/>
            </w:tcBorders>
          </w:tcPr>
          <w:p w14:paraId="103BDD51"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38%</w:t>
            </w:r>
          </w:p>
        </w:tc>
        <w:tc>
          <w:tcPr>
            <w:tcW w:w="1417" w:type="dxa"/>
            <w:tcBorders>
              <w:bottom w:val="single" w:sz="4" w:space="0" w:color="auto"/>
            </w:tcBorders>
          </w:tcPr>
          <w:p w14:paraId="63A62C43"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0.095</w:t>
            </w:r>
          </w:p>
        </w:tc>
        <w:tc>
          <w:tcPr>
            <w:tcW w:w="1276" w:type="dxa"/>
            <w:tcBorders>
              <w:bottom w:val="single" w:sz="4" w:space="0" w:color="auto"/>
            </w:tcBorders>
          </w:tcPr>
          <w:p w14:paraId="78FCFD3F"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4536" w:type="dxa"/>
            <w:tcBorders>
              <w:bottom w:val="single" w:sz="4" w:space="0" w:color="auto"/>
            </w:tcBorders>
          </w:tcPr>
          <w:p w14:paraId="1C8C643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{"citationID":"yFugsRCy","properties":{"formattedCitation":"(16)","plainCitation":"(16)","noteIndex":0},"citationItems":[{"id":19,"uris":["http://zotero.org/users/local/qnIpXHeo/items/TSVMGZHM"],"itemData":{"id":19,"type":"article-journal","abstract":"PURPOSE: Patients with neovascular age-related macular degeneration (nAMD) are treated with frequent intravitreal injections to maintain vision. The treatment frequency impacts the life of patients and caregivers and poses a major capacity challenge for Norwegian ophthalmic clinics. The purpose of this survey was to document patient-reported outcomes on how the disease and the treatment impact nAMD patients in Norway.\nMETHODS: Norwegian nAMD patients voluntarily completed the survey. The patients reported the time spent on each treatment appointment, the need for caregiver support, treatment intervals, and the emotional impact of the treatment. There was no active selection of patients to the survey. Respondents had to confirm the nAMD diagnosis prior to submitting the response. All data was included in the analysis as submitted by the respondents. This survey was market research involving anonymous patient data, and no participants were identifiable.\nRESULTS: In total, 130 patients responded to the survey. The majority of patients reported to receive nine or more injections per year (48.8%), and many patients needed caregiver support for every treatment appointment (37.7%). Patients reported to be anxious one day (25.4%), two days (8.5%), one week (10.8%) or more than one week (3.1%) prior to treatment. The week before the treatment, 33.1% of patients reported to be stressed and 15.4% struggled to sleep. The majority of patients reported the treatment as uncomfortable (54.6%) or as somewhat painful (26.2%). The results on yearly number of injections, time used each treatment day and need for caregiver support suggested a variation between Norwegian hospital regions.\nCONCLUSIONS: This survey uncovers how treatment with intravitreal injections represents a substantial burden for Norwegian patients with nAMD. Future research on how the treatment burden impacts nAMD patients may lead to more patient-centered care and help guide treatment decisions. New treatments with longer intervals between injections are likely to both reduce the treatment burden and improve capacity in ophthalmology clinics.","container-title":"Clinical Ophthalmology (Auckland, N.Z.)","DOI":"10.2147/OPTH.S409103","ISSN":"1177-5467","journalAbbreviation":"Clin Ophthalmol","language":"eng","note":"PMID: 37256195\nPMCID: PMC10226541","page":"1465-1474","source":"PubMed","title":"Through the Eyes of Patients: Understanding Treatment Burden of Intravitreal Anti-VEGF Injections for nAMD Patients in Norway","title-short":"Through the Eyes of Patients","volume":"17","author":[{"family":"Reitan","given":"Gudrun"},{"family":"Kjellevold Haugen","given":"Inga Britt"},{"family":"Andersen","given":"Kristoffer"},{"family":"Bragadottir","given":"Ragnheidur"},{"family":"Bindesbøll","given":"Christian"}],"issued":{"date-parts":[["2023"]]}}}],"schema":"https://github.com/citation-style-language/schema/raw/master/csl-citation.json"}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(16)</w:t>
            </w:r>
            <w:r w:rsidRPr="0030308C">
              <w:rPr>
                <w:rFonts w:ascii="Arial" w:hAnsi="Arial" w:cs="Arial"/>
                <w:color w:val="000000" w:themeColor="text1"/>
                <w:sz w:val="20"/>
                <w:szCs w:val="20"/>
              </w:rPr>
              <w:fldChar w:fldCharType="end"/>
            </w:r>
          </w:p>
        </w:tc>
      </w:tr>
      <w:tr w:rsidR="00E61562" w:rsidRPr="0030308C" w14:paraId="424F0399" w14:textId="77777777" w:rsidTr="000E0C52">
        <w:trPr>
          <w:jc w:val="center"/>
        </w:trPr>
        <w:tc>
          <w:tcPr>
            <w:tcW w:w="3969" w:type="dxa"/>
            <w:tcBorders>
              <w:top w:val="single" w:sz="4" w:space="0" w:color="auto"/>
              <w:bottom w:val="single" w:sz="4" w:space="0" w:color="auto"/>
            </w:tcBorders>
          </w:tcPr>
          <w:p w14:paraId="2FD51B2C" w14:textId="77777777" w:rsidR="00E61562" w:rsidRPr="00292827" w:rsidRDefault="00E61562" w:rsidP="000E0C52">
            <w:pPr>
              <w:rPr>
                <w:rFonts w:ascii="Arial" w:hAnsi="Arial" w:cs="Arial"/>
                <w:b/>
                <w:bCs/>
                <w:color w:val="000000" w:themeColor="text1"/>
                <w:sz w:val="20"/>
                <w:szCs w:val="20"/>
              </w:rPr>
            </w:pPr>
            <w:r w:rsidRPr="00292827">
              <w:rPr>
                <w:rFonts w:ascii="Arial" w:hAnsi="Arial" w:cs="Arial"/>
                <w:b/>
                <w:bCs/>
                <w:color w:val="000000" w:themeColor="text1"/>
                <w:sz w:val="20"/>
                <w:szCs w:val="20"/>
              </w:rPr>
              <w:t>Subgroup 3: long-distance travelers</w:t>
            </w:r>
          </w:p>
        </w:tc>
        <w:tc>
          <w:tcPr>
            <w:tcW w:w="3544" w:type="dxa"/>
            <w:tcBorders>
              <w:top w:val="single" w:sz="4" w:space="0" w:color="auto"/>
              <w:bottom w:val="single" w:sz="4" w:space="0" w:color="auto"/>
            </w:tcBorders>
          </w:tcPr>
          <w:p w14:paraId="1D80416D" w14:textId="77777777" w:rsidR="00E61562" w:rsidRPr="0030308C" w:rsidRDefault="00E61562" w:rsidP="000E0C52">
            <w:pPr>
              <w:rPr>
                <w:rFonts w:ascii="Arial" w:hAnsi="Arial" w:cs="Arial"/>
                <w:color w:val="000000" w:themeColor="text1"/>
                <w:sz w:val="20"/>
                <w:szCs w:val="20"/>
              </w:rPr>
            </w:pPr>
          </w:p>
        </w:tc>
        <w:tc>
          <w:tcPr>
            <w:tcW w:w="1418" w:type="dxa"/>
            <w:tcBorders>
              <w:top w:val="single" w:sz="4" w:space="0" w:color="auto"/>
              <w:bottom w:val="single" w:sz="4" w:space="0" w:color="auto"/>
            </w:tcBorders>
          </w:tcPr>
          <w:p w14:paraId="5C5AAF4A" w14:textId="77777777" w:rsidR="00E61562" w:rsidRPr="0030308C" w:rsidRDefault="00E61562" w:rsidP="000E0C52">
            <w:pPr>
              <w:rPr>
                <w:rFonts w:ascii="Arial" w:hAnsi="Arial" w:cs="Arial"/>
                <w:color w:val="000000" w:themeColor="text1"/>
                <w:sz w:val="20"/>
                <w:szCs w:val="20"/>
              </w:rPr>
            </w:pPr>
          </w:p>
        </w:tc>
        <w:tc>
          <w:tcPr>
            <w:tcW w:w="1417" w:type="dxa"/>
            <w:tcBorders>
              <w:top w:val="single" w:sz="4" w:space="0" w:color="auto"/>
              <w:bottom w:val="single" w:sz="4" w:space="0" w:color="auto"/>
            </w:tcBorders>
          </w:tcPr>
          <w:p w14:paraId="1E0388AB" w14:textId="77777777" w:rsidR="00E61562" w:rsidRPr="0030308C" w:rsidRDefault="00E61562" w:rsidP="000E0C52">
            <w:pPr>
              <w:rPr>
                <w:rFonts w:ascii="Arial" w:hAnsi="Arial" w:cs="Arial"/>
                <w:color w:val="000000" w:themeColor="text1"/>
                <w:sz w:val="20"/>
                <w:szCs w:val="20"/>
              </w:rPr>
            </w:pPr>
          </w:p>
        </w:tc>
        <w:tc>
          <w:tcPr>
            <w:tcW w:w="1276" w:type="dxa"/>
            <w:tcBorders>
              <w:top w:val="single" w:sz="4" w:space="0" w:color="auto"/>
              <w:bottom w:val="single" w:sz="4" w:space="0" w:color="auto"/>
            </w:tcBorders>
          </w:tcPr>
          <w:p w14:paraId="089ED959" w14:textId="77777777" w:rsidR="00E61562" w:rsidRPr="0030308C" w:rsidRDefault="00E61562" w:rsidP="000E0C52">
            <w:pPr>
              <w:jc w:val="both"/>
              <w:rPr>
                <w:rFonts w:ascii="Arial" w:hAnsi="Arial" w:cs="Arial"/>
                <w:color w:val="000000" w:themeColor="text1"/>
                <w:sz w:val="20"/>
                <w:szCs w:val="20"/>
              </w:rPr>
            </w:pPr>
          </w:p>
        </w:tc>
        <w:tc>
          <w:tcPr>
            <w:tcW w:w="4536" w:type="dxa"/>
            <w:tcBorders>
              <w:top w:val="single" w:sz="4" w:space="0" w:color="auto"/>
              <w:bottom w:val="single" w:sz="4" w:space="0" w:color="auto"/>
            </w:tcBorders>
          </w:tcPr>
          <w:p w14:paraId="5104DAE9" w14:textId="77777777" w:rsidR="00E61562" w:rsidRPr="0030308C" w:rsidRDefault="00E61562" w:rsidP="000E0C52">
            <w:pPr>
              <w:rPr>
                <w:rFonts w:ascii="Arial" w:hAnsi="Arial" w:cs="Arial"/>
                <w:color w:val="000000" w:themeColor="text1"/>
                <w:sz w:val="20"/>
                <w:szCs w:val="20"/>
              </w:rPr>
            </w:pPr>
          </w:p>
        </w:tc>
      </w:tr>
      <w:tr w:rsidR="00E61562" w:rsidRPr="0030308C" w14:paraId="1231DF20" w14:textId="77777777" w:rsidTr="000E0C52">
        <w:trPr>
          <w:jc w:val="center"/>
        </w:trPr>
        <w:tc>
          <w:tcPr>
            <w:tcW w:w="3969" w:type="dxa"/>
            <w:tcBorders>
              <w:top w:val="single" w:sz="4" w:space="0" w:color="auto"/>
            </w:tcBorders>
          </w:tcPr>
          <w:p w14:paraId="6C49CE16"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Cost of transport to hospital per trip</w:t>
            </w:r>
          </w:p>
        </w:tc>
        <w:tc>
          <w:tcPr>
            <w:tcW w:w="3544" w:type="dxa"/>
            <w:tcBorders>
              <w:top w:val="single" w:sz="4" w:space="0" w:color="auto"/>
            </w:tcBorders>
          </w:tcPr>
          <w:p w14:paraId="66740319"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Based on an average trip lasting 4 hours.</w:t>
            </w:r>
          </w:p>
        </w:tc>
        <w:tc>
          <w:tcPr>
            <w:tcW w:w="1418" w:type="dxa"/>
            <w:tcBorders>
              <w:top w:val="single" w:sz="4" w:space="0" w:color="auto"/>
            </w:tcBorders>
          </w:tcPr>
          <w:p w14:paraId="0BA7BF8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19</w:t>
            </w:r>
            <w:r>
              <w:rPr>
                <w:rFonts w:ascii="Arial" w:hAnsi="Arial" w:cs="Arial"/>
                <w:color w:val="000000" w:themeColor="text1"/>
                <w:sz w:val="20"/>
                <w:szCs w:val="20"/>
              </w:rPr>
              <w:t>9</w:t>
            </w:r>
          </w:p>
        </w:tc>
        <w:tc>
          <w:tcPr>
            <w:tcW w:w="1417" w:type="dxa"/>
            <w:tcBorders>
              <w:top w:val="single" w:sz="4" w:space="0" w:color="auto"/>
            </w:tcBorders>
          </w:tcPr>
          <w:p w14:paraId="3D6AA78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62.16</w:t>
            </w:r>
          </w:p>
        </w:tc>
        <w:tc>
          <w:tcPr>
            <w:tcW w:w="1276" w:type="dxa"/>
            <w:tcBorders>
              <w:top w:val="single" w:sz="4" w:space="0" w:color="auto"/>
            </w:tcBorders>
          </w:tcPr>
          <w:p w14:paraId="3FA8F26E"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4536" w:type="dxa"/>
            <w:tcBorders>
              <w:top w:val="single" w:sz="4" w:space="0" w:color="auto"/>
            </w:tcBorders>
          </w:tcPr>
          <w:p w14:paraId="4F69356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Calculated based on a cost of 75 $ per 1.5 hours transport</w:t>
            </w:r>
          </w:p>
        </w:tc>
      </w:tr>
      <w:tr w:rsidR="00E61562" w:rsidRPr="0030308C" w14:paraId="73E51673" w14:textId="77777777" w:rsidTr="000E0C52">
        <w:trPr>
          <w:jc w:val="center"/>
        </w:trPr>
        <w:tc>
          <w:tcPr>
            <w:tcW w:w="3969" w:type="dxa"/>
          </w:tcPr>
          <w:p w14:paraId="1E497F0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Hours lost leisure time due to surgery</w:t>
            </w:r>
          </w:p>
        </w:tc>
        <w:tc>
          <w:tcPr>
            <w:tcW w:w="3544" w:type="dxa"/>
          </w:tcPr>
          <w:p w14:paraId="049B166C"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(4 hours travel time x 2) + 4 hours in hospital</w:t>
            </w:r>
          </w:p>
        </w:tc>
        <w:tc>
          <w:tcPr>
            <w:tcW w:w="1418" w:type="dxa"/>
          </w:tcPr>
          <w:p w14:paraId="4CB7EFC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12</w:t>
            </w:r>
          </w:p>
        </w:tc>
        <w:tc>
          <w:tcPr>
            <w:tcW w:w="1417" w:type="dxa"/>
          </w:tcPr>
          <w:p w14:paraId="47763DC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3</w:t>
            </w:r>
          </w:p>
        </w:tc>
        <w:tc>
          <w:tcPr>
            <w:tcW w:w="1276" w:type="dxa"/>
          </w:tcPr>
          <w:p w14:paraId="1E2D7DCC"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4536" w:type="dxa"/>
          </w:tcPr>
          <w:p w14:paraId="523FC7E9"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Assume 4 hours travel time based on Husum et al.</w:t>
            </w: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{"citationID":"a3bc9bao8u","properties":{"formattedCitation":"(17)","plainCitation":"(17)","noteIndex":0},"citationItems":[{"id":189,"uris":["http://zotero.org/users/local/qnIpXHeo/items/3CI3CTXB"],"itemData":{"id":189,"type":"article-journal","abstract":"PURPOSE: To investigate the use of intravitreal anti-vascular endothelial growth factor (anti-VEGF) therapy in Norway from 2011 to 2021 and explore how the eye departments organized their injection services.\nMETHODS: We combined data from the Norwegian Patient Registry (NPR) with survey responses from Norway's 22 eye departments. The NPR data encompassed all registered intravitreal injection episodes from 2011 to 2021. The survey contained questions about local treatment practices and emphasized neovascular age-related macular degeneration (nAMD), retinal vein occlusion and diabetic macular edema.\nRESULTS: A total of 47247 unique patients received 841 646 intravitreal injections in the study period. The number of patients per year increased from 6522 in 2011 to 20 635 in 2021. The number of injections per year increased from 30 926 in 2011 to 125 258 in 2021. The most frequent diagnosis was nAMD. In 2021, the age-adjusted treatment activity in Norway's 11 counties ranged from 47.8 to 75.5 injections per 1000 inhabitants aged ≥50 years. The use of aflibercept gradually exceeded bevacizumab, but the aflibercept proportion per county ranged from 38 to 82% in 2021. The survey revealed varying treatment practices, local guidelines were often absent, and only half of the departments defined a lower visual limit for initiating or maintaining treatment.\nCONCLUSION: The use of intravitreal anti-VEGF therapy increased considerably from 2011 to 2021, but there was considerable regional variation in treatment activity, drug utilization and organization of injection services. These findings emphasize the need for strengthened governance and national guidelines to ensure equal treatment nationally.","container-title":"Acta Ophthalmologica","DOI":"10.1111/aos.16598","ISSN":"1755-3768","journalAbbreviation":"Acta Ophthalmol","language":"eng","note":"PMID: 38071435","source":"PubMed","title":"Intravitreal anti-vascular endothelial growth factor therapy for retinal diseases in Norway from 2011 to 2021: A combined registry and survey study","title-short":"Intravitreal anti-vascular endothelial growth factor therapy for retinal diseases in Norway from 2011 to 2021","author":[{"family":"Husum","given":"Yngvil Solheim"},{"family":"Bråten","given":"Ragnhild Haugli"},{"family":"Saether","given":"Erik Magnus"},{"family":"Moe","given":"Morten Carstens"},{"family":"Kristiansen","given":"Ivar Sønbø"},{"family":"Jørstad","given":"Øystein Kalsnes"}],"issued":{"date-parts":[["2023",12,9]]}}}],"schema":"https://github.com/citation-style-language/schema/raw/master/csl-citation.json"}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(17)</w:t>
            </w:r>
            <w:r w:rsidRPr="0030308C">
              <w:rPr>
                <w:rFonts w:ascii="Arial" w:hAnsi="Arial" w:cs="Arial"/>
                <w:color w:val="000000" w:themeColor="text1"/>
                <w:sz w:val="20"/>
                <w:szCs w:val="20"/>
              </w:rPr>
              <w:fldChar w:fldCharType="end"/>
            </w:r>
            <w:r w:rsidRPr="0030308C">
              <w:rPr>
                <w:rFonts w:ascii="Arial" w:hAnsi="Arial" w:cs="Arial"/>
                <w:color w:val="000000" w:themeColor="text1"/>
                <w:sz w:val="20"/>
                <w:szCs w:val="20"/>
              </w:rPr>
              <w:t xml:space="preserve"> Time in hospital discussed with ophthalmologists.</w:t>
            </w:r>
          </w:p>
        </w:tc>
      </w:tr>
      <w:tr w:rsidR="00E61562" w:rsidRPr="0030308C" w14:paraId="3299CB55" w14:textId="77777777" w:rsidTr="000E0C52">
        <w:trPr>
          <w:jc w:val="center"/>
        </w:trPr>
        <w:tc>
          <w:tcPr>
            <w:tcW w:w="3969" w:type="dxa"/>
          </w:tcPr>
          <w:p w14:paraId="369B2DB1"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Hours lost leisure time due to an injection/monitoring visit</w:t>
            </w:r>
          </w:p>
        </w:tc>
        <w:tc>
          <w:tcPr>
            <w:tcW w:w="3544" w:type="dxa"/>
          </w:tcPr>
          <w:p w14:paraId="7A34B923"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(4 hours travel time x 2) + 2 hours in hospital</w:t>
            </w:r>
          </w:p>
        </w:tc>
        <w:tc>
          <w:tcPr>
            <w:tcW w:w="1418" w:type="dxa"/>
          </w:tcPr>
          <w:p w14:paraId="53AF6BC0"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10</w:t>
            </w:r>
          </w:p>
        </w:tc>
        <w:tc>
          <w:tcPr>
            <w:tcW w:w="1417" w:type="dxa"/>
          </w:tcPr>
          <w:p w14:paraId="0BC57E2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2.5</w:t>
            </w:r>
          </w:p>
        </w:tc>
        <w:tc>
          <w:tcPr>
            <w:tcW w:w="1276" w:type="dxa"/>
          </w:tcPr>
          <w:p w14:paraId="3284F94E" w14:textId="77777777" w:rsidR="00E61562" w:rsidRPr="0030308C" w:rsidRDefault="00E61562" w:rsidP="000E0C52">
            <w:pPr>
              <w:jc w:val="both"/>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4536" w:type="dxa"/>
          </w:tcPr>
          <w:p w14:paraId="325CF117"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Assume 4 hours travel time based on Husum et al.</w:t>
            </w: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{"citationID":"3Tabmrdk","properties":{"formattedCitation":"(17)","plainCitation":"(17)","noteIndex":0},"citationItems":[{"id":189,"uris":["http://zotero.org/users/local/qnIpXHeo/items/3CI3CTXB"],"itemData":{"id":189,"type":"article-journal","abstract":"PURPOSE: To investigate the use of intravitreal anti-vascular endothelial growth factor (anti-VEGF) therapy in Norway from 2011 to 2021 and explore how the eye departments organized their injection services.\nMETHODS: We combined data from the Norwegian Patient Registry (NPR) with survey responses from Norway's 22 eye departments. The NPR data encompassed all registered intravitreal injection episodes from 2011 to 2021. The survey contained questions about local treatment practices and emphasized neovascular age-related macular degeneration (nAMD), retinal vein occlusion and diabetic macular edema.\nRESULTS: A total of 47247 unique patients received 841 646 intravitreal injections in the study period. The number of patients per year increased from 6522 in 2011 to 20 635 in 2021. The number of injections per year increased from 30 926 in 2011 to 125 258 in 2021. The most frequent diagnosis was nAMD. In 2021, the age-adjusted treatment activity in Norway's 11 counties ranged from 47.8 to 75.5 injections per 1000 inhabitants aged ≥50 years. The use of aflibercept gradually exceeded bevacizumab, but the aflibercept proportion per county ranged from 38 to 82% in 2021. The survey revealed varying treatment practices, local guidelines were often absent, and only half of the departments defined a lower visual limit for initiating or maintaining treatment.\nCONCLUSION: The use of intravitreal anti-VEGF therapy increased considerably from 2011 to 2021, but there was considerable regional variation in treatment activity, drug utilization and organization of injection services. These findings emphasize the need for strengthened governance and national guidelines to ensure equal treatment nationally.","container-title":"Acta Ophthalmologica","DOI":"10.1111/aos.16598","ISSN":"1755-3768","journalAbbreviation":"Acta Ophthalmol","language":"eng","note":"PMID: 38071435","source":"PubMed","title":"Intravitreal anti-vascular endothelial growth factor therapy for retinal diseases in Norway from 2011 to 2021: A combined registry and survey study","title-short":"Intravitreal anti-vascular endothelial growth factor therapy for retinal diseases in Norway from 2011 to 2021","author":[{"family":"Husum","given":"Yngvil Solheim"},{"family":"Bråten","given":"Ragnhild Haugli"},{"family":"Saether","given":"Erik Magnus"},{"family":"Moe","given":"Morten Carstens"},{"family":"Kristiansen","given":"Ivar Sønbø"},{"family":"Jørstad","given":"Øystein Kalsnes"}],"issued":{"date-parts":[["2023",12,9]]}}}],"schema":"https://github.com/citation-style-language/schema/raw/master/csl-citation.json"}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(17)</w:t>
            </w:r>
            <w:r w:rsidRPr="0030308C">
              <w:rPr>
                <w:rFonts w:ascii="Arial" w:hAnsi="Arial" w:cs="Arial"/>
                <w:color w:val="000000" w:themeColor="text1"/>
                <w:sz w:val="20"/>
                <w:szCs w:val="20"/>
              </w:rPr>
              <w:fldChar w:fldCharType="end"/>
            </w:r>
            <w:r w:rsidRPr="0030308C">
              <w:rPr>
                <w:rFonts w:ascii="Arial" w:hAnsi="Arial" w:cs="Arial"/>
                <w:color w:val="000000" w:themeColor="text1"/>
                <w:sz w:val="20"/>
                <w:szCs w:val="20"/>
              </w:rPr>
              <w:t xml:space="preserve"> Time in hospital discussed with ophthalmologists.</w:t>
            </w:r>
          </w:p>
        </w:tc>
      </w:tr>
    </w:tbl>
    <w:p w14:paraId="511A5CC3" w14:textId="77777777" w:rsidR="00E61562" w:rsidRPr="00E338D0" w:rsidRDefault="00E61562" w:rsidP="00E61562">
      <w:pPr>
        <w:jc w:val="both"/>
        <w:rPr>
          <w:rFonts w:ascii="Arial" w:hAnsi="Arial" w:cs="Arial"/>
          <w:color w:val="000000" w:themeColor="text1"/>
          <w:sz w:val="16"/>
          <w:szCs w:val="16"/>
          <w:lang w:val="en-US"/>
        </w:rPr>
      </w:pPr>
      <w:proofErr w:type="spellStart"/>
      <w:proofErr w:type="gramStart"/>
      <w:r w:rsidRPr="00E338D0">
        <w:rPr>
          <w:rFonts w:ascii="Arial" w:hAnsi="Arial" w:cs="Arial"/>
          <w:color w:val="000000" w:themeColor="text1"/>
          <w:sz w:val="16"/>
          <w:szCs w:val="16"/>
          <w:vertAlign w:val="superscript"/>
          <w:lang w:val="en-US"/>
        </w:rPr>
        <w:t>a</w:t>
      </w:r>
      <w:proofErr w:type="spellEnd"/>
      <w:proofErr w:type="gramEnd"/>
      <w:r w:rsidRPr="00E338D0">
        <w:rPr>
          <w:rFonts w:ascii="Arial" w:hAnsi="Arial" w:cs="Arial"/>
          <w:color w:val="000000" w:themeColor="text1"/>
          <w:sz w:val="16"/>
          <w:szCs w:val="16"/>
          <w:vertAlign w:val="superscript"/>
          <w:lang w:val="en-US"/>
        </w:rPr>
        <w:t xml:space="preserve"> </w:t>
      </w:r>
      <w:r w:rsidRPr="00E338D0">
        <w:rPr>
          <w:rFonts w:ascii="Arial" w:hAnsi="Arial" w:cs="Arial"/>
          <w:color w:val="000000" w:themeColor="text1"/>
          <w:sz w:val="16"/>
          <w:szCs w:val="16"/>
          <w:lang w:val="en-US"/>
        </w:rPr>
        <w:t>If standard errors were unknown, we assumed 25%.</w:t>
      </w:r>
    </w:p>
    <w:p w14:paraId="7B65795B" w14:textId="77777777" w:rsidR="00E61562" w:rsidRPr="0030308C" w:rsidRDefault="00E61562" w:rsidP="00E61562">
      <w:pPr>
        <w:jc w:val="both"/>
        <w:rPr>
          <w:rFonts w:ascii="Arial" w:hAnsi="Arial" w:cs="Arial"/>
          <w:color w:val="000000" w:themeColor="text1"/>
          <w:sz w:val="20"/>
          <w:szCs w:val="20"/>
          <w:lang w:val="en-US"/>
        </w:rPr>
      </w:pPr>
      <w:r w:rsidRPr="0030308C">
        <w:rPr>
          <w:rFonts w:ascii="Arial" w:hAnsi="Arial" w:cs="Arial"/>
          <w:color w:val="000000" w:themeColor="text1"/>
          <w:sz w:val="20"/>
          <w:szCs w:val="20"/>
          <w:lang w:val="en-US"/>
        </w:rPr>
        <w:br w:type="page"/>
      </w:r>
    </w:p>
    <w:p w14:paraId="7EED9410" w14:textId="77777777" w:rsidR="00E61562" w:rsidRPr="0030308C" w:rsidRDefault="00E61562" w:rsidP="00E61562">
      <w:pPr>
        <w:pStyle w:val="Caption"/>
        <w:keepNext/>
        <w:jc w:val="both"/>
        <w:rPr>
          <w:rFonts w:ascii="Arial" w:hAnsi="Arial" w:cs="Arial"/>
          <w:b/>
          <w:bCs/>
          <w:i w:val="0"/>
          <w:iCs w:val="0"/>
          <w:color w:val="000000" w:themeColor="text1"/>
          <w:sz w:val="24"/>
          <w:szCs w:val="24"/>
        </w:rPr>
      </w:pPr>
      <w:bookmarkStart w:id="16" w:name="_Toc168139205"/>
      <w:r>
        <w:rPr>
          <w:rFonts w:ascii="Arial" w:hAnsi="Arial" w:cs="Arial"/>
          <w:b/>
          <w:bCs/>
          <w:i w:val="0"/>
          <w:iCs w:val="0"/>
          <w:color w:val="000000" w:themeColor="text1"/>
          <w:sz w:val="24"/>
          <w:szCs w:val="24"/>
        </w:rPr>
        <w:lastRenderedPageBreak/>
        <w:t>eTable10</w:t>
      </w:r>
      <w:r w:rsidRPr="0030308C">
        <w:rPr>
          <w:rFonts w:ascii="Arial" w:hAnsi="Arial" w:cs="Arial"/>
          <w:b/>
          <w:bCs/>
          <w:i w:val="0"/>
          <w:iCs w:val="0"/>
          <w:color w:val="000000" w:themeColor="text1"/>
          <w:sz w:val="24"/>
          <w:szCs w:val="24"/>
        </w:rPr>
        <w:t xml:space="preserve">. Input values for adverse event-related costs including probabilistic analysis distributions. </w:t>
      </w:r>
      <w:bookmarkEnd w:id="16"/>
    </w:p>
    <w:tbl>
      <w:tblPr>
        <w:tblStyle w:val="TableGridLight"/>
        <w:tblW w:w="155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3"/>
        <w:gridCol w:w="4455"/>
        <w:gridCol w:w="1172"/>
        <w:gridCol w:w="1418"/>
        <w:gridCol w:w="1339"/>
        <w:gridCol w:w="2637"/>
      </w:tblGrid>
      <w:tr w:rsidR="00E61562" w:rsidRPr="0030308C" w14:paraId="50985EA3" w14:textId="77777777" w:rsidTr="000E0C52">
        <w:trPr>
          <w:jc w:val="center"/>
        </w:trPr>
        <w:tc>
          <w:tcPr>
            <w:tcW w:w="4573" w:type="dxa"/>
            <w:tcBorders>
              <w:bottom w:val="single" w:sz="4" w:space="0" w:color="auto"/>
            </w:tcBorders>
          </w:tcPr>
          <w:p w14:paraId="7B561B53" w14:textId="77777777" w:rsidR="00E61562" w:rsidRPr="0030308C" w:rsidRDefault="00E61562" w:rsidP="000E0C52">
            <w:pPr>
              <w:rPr>
                <w:rFonts w:ascii="Arial" w:hAnsi="Arial" w:cs="Arial"/>
                <w:color w:val="000000" w:themeColor="text1"/>
                <w:sz w:val="20"/>
                <w:szCs w:val="20"/>
              </w:rPr>
            </w:pPr>
            <w:r w:rsidRPr="0030308C">
              <w:rPr>
                <w:rFonts w:ascii="Arial" w:hAnsi="Arial" w:cs="Arial"/>
                <w:b/>
                <w:bCs/>
                <w:color w:val="000000" w:themeColor="text1"/>
                <w:sz w:val="20"/>
                <w:szCs w:val="20"/>
              </w:rPr>
              <w:t>Type of adverse event</w:t>
            </w:r>
            <w:r>
              <w:rPr>
                <w:rFonts w:ascii="Arial" w:hAnsi="Arial" w:cs="Arial"/>
                <w:b/>
                <w:bCs/>
                <w:color w:val="000000" w:themeColor="text1"/>
                <w:sz w:val="20"/>
                <w:szCs w:val="20"/>
              </w:rPr>
              <w:t>-</w:t>
            </w:r>
            <w:r w:rsidRPr="0030308C">
              <w:rPr>
                <w:rFonts w:ascii="Arial" w:hAnsi="Arial" w:cs="Arial"/>
                <w:b/>
                <w:bCs/>
                <w:color w:val="000000" w:themeColor="text1"/>
                <w:sz w:val="20"/>
                <w:szCs w:val="20"/>
              </w:rPr>
              <w:t>related cost (cost in $)</w:t>
            </w:r>
          </w:p>
        </w:tc>
        <w:tc>
          <w:tcPr>
            <w:tcW w:w="4455" w:type="dxa"/>
            <w:tcBorders>
              <w:bottom w:val="single" w:sz="4" w:space="0" w:color="auto"/>
            </w:tcBorders>
          </w:tcPr>
          <w:p w14:paraId="3163468D" w14:textId="77777777" w:rsidR="00E61562" w:rsidRPr="0030308C" w:rsidRDefault="00E61562" w:rsidP="000E0C52">
            <w:pPr>
              <w:rPr>
                <w:rFonts w:ascii="Arial" w:hAnsi="Arial" w:cs="Arial"/>
                <w:color w:val="000000" w:themeColor="text1"/>
                <w:sz w:val="20"/>
                <w:szCs w:val="20"/>
              </w:rPr>
            </w:pPr>
            <w:r w:rsidRPr="0030308C">
              <w:rPr>
                <w:rFonts w:ascii="Arial" w:hAnsi="Arial" w:cs="Arial"/>
                <w:b/>
                <w:bCs/>
                <w:color w:val="000000" w:themeColor="text1"/>
                <w:sz w:val="20"/>
                <w:szCs w:val="20"/>
              </w:rPr>
              <w:t>Description</w:t>
            </w:r>
          </w:p>
        </w:tc>
        <w:tc>
          <w:tcPr>
            <w:tcW w:w="1172" w:type="dxa"/>
            <w:tcBorders>
              <w:bottom w:val="single" w:sz="4" w:space="0" w:color="auto"/>
            </w:tcBorders>
          </w:tcPr>
          <w:p w14:paraId="48964B64" w14:textId="77777777" w:rsidR="00E61562" w:rsidRPr="0030308C" w:rsidRDefault="00E61562" w:rsidP="000E0C52">
            <w:pPr>
              <w:rPr>
                <w:rFonts w:ascii="Arial" w:hAnsi="Arial" w:cs="Arial"/>
                <w:color w:val="000000" w:themeColor="text1"/>
                <w:sz w:val="20"/>
                <w:szCs w:val="20"/>
              </w:rPr>
            </w:pPr>
            <w:r w:rsidRPr="0030308C">
              <w:rPr>
                <w:rFonts w:ascii="Arial" w:hAnsi="Arial" w:cs="Arial"/>
                <w:b/>
                <w:bCs/>
                <w:color w:val="000000" w:themeColor="text1"/>
                <w:sz w:val="20"/>
                <w:szCs w:val="20"/>
              </w:rPr>
              <w:t>Value</w:t>
            </w:r>
          </w:p>
        </w:tc>
        <w:tc>
          <w:tcPr>
            <w:tcW w:w="1418" w:type="dxa"/>
            <w:tcBorders>
              <w:bottom w:val="single" w:sz="4" w:space="0" w:color="auto"/>
            </w:tcBorders>
          </w:tcPr>
          <w:p w14:paraId="48D70FB2" w14:textId="77777777" w:rsidR="00E61562" w:rsidRPr="0030308C" w:rsidRDefault="00E61562" w:rsidP="000E0C52">
            <w:pPr>
              <w:rPr>
                <w:rFonts w:ascii="Arial" w:hAnsi="Arial" w:cs="Arial"/>
                <w:color w:val="000000" w:themeColor="text1"/>
                <w:sz w:val="20"/>
                <w:szCs w:val="20"/>
                <w:vertAlign w:val="superscript"/>
              </w:rPr>
            </w:pPr>
            <w:r w:rsidRPr="0030308C">
              <w:rPr>
                <w:rFonts w:ascii="Arial" w:hAnsi="Arial" w:cs="Arial"/>
                <w:b/>
                <w:bCs/>
                <w:color w:val="000000" w:themeColor="text1"/>
                <w:sz w:val="20"/>
                <w:szCs w:val="20"/>
              </w:rPr>
              <w:t xml:space="preserve">Standard </w:t>
            </w:r>
            <w:proofErr w:type="spellStart"/>
            <w:proofErr w:type="gramStart"/>
            <w:r w:rsidRPr="0030308C">
              <w:rPr>
                <w:rFonts w:ascii="Arial" w:hAnsi="Arial" w:cs="Arial"/>
                <w:b/>
                <w:bCs/>
                <w:color w:val="000000" w:themeColor="text1"/>
                <w:sz w:val="20"/>
                <w:szCs w:val="20"/>
              </w:rPr>
              <w:t>error</w:t>
            </w:r>
            <w:r w:rsidRPr="0030308C">
              <w:rPr>
                <w:rFonts w:ascii="Arial" w:hAnsi="Arial" w:cs="Arial"/>
                <w:b/>
                <w:bCs/>
                <w:color w:val="000000" w:themeColor="text1"/>
                <w:sz w:val="20"/>
                <w:szCs w:val="20"/>
                <w:vertAlign w:val="superscript"/>
              </w:rPr>
              <w:t>a,b</w:t>
            </w:r>
            <w:proofErr w:type="spellEnd"/>
            <w:proofErr w:type="gramEnd"/>
          </w:p>
        </w:tc>
        <w:tc>
          <w:tcPr>
            <w:tcW w:w="1339" w:type="dxa"/>
            <w:tcBorders>
              <w:bottom w:val="single" w:sz="4" w:space="0" w:color="auto"/>
            </w:tcBorders>
          </w:tcPr>
          <w:p w14:paraId="7D820DBB" w14:textId="77777777" w:rsidR="00E61562" w:rsidRPr="0030308C" w:rsidRDefault="00E61562" w:rsidP="000E0C52">
            <w:pPr>
              <w:rPr>
                <w:rFonts w:ascii="Arial" w:hAnsi="Arial" w:cs="Arial"/>
                <w:color w:val="000000" w:themeColor="text1"/>
                <w:sz w:val="20"/>
                <w:szCs w:val="20"/>
              </w:rPr>
            </w:pPr>
            <w:r w:rsidRPr="0030308C">
              <w:rPr>
                <w:rFonts w:ascii="Arial" w:hAnsi="Arial" w:cs="Arial"/>
                <w:b/>
                <w:bCs/>
                <w:color w:val="000000" w:themeColor="text1"/>
                <w:sz w:val="20"/>
                <w:szCs w:val="20"/>
              </w:rPr>
              <w:t>Distribution</w:t>
            </w:r>
          </w:p>
        </w:tc>
        <w:tc>
          <w:tcPr>
            <w:tcW w:w="2637" w:type="dxa"/>
            <w:tcBorders>
              <w:bottom w:val="single" w:sz="4" w:space="0" w:color="auto"/>
            </w:tcBorders>
          </w:tcPr>
          <w:p w14:paraId="0155B89F" w14:textId="77777777" w:rsidR="00E61562" w:rsidRPr="0030308C" w:rsidRDefault="00E61562" w:rsidP="000E0C52">
            <w:pPr>
              <w:rPr>
                <w:rFonts w:ascii="Arial" w:hAnsi="Arial" w:cs="Arial"/>
                <w:color w:val="000000" w:themeColor="text1"/>
                <w:sz w:val="20"/>
                <w:szCs w:val="20"/>
              </w:rPr>
            </w:pPr>
            <w:r w:rsidRPr="0030308C">
              <w:rPr>
                <w:rFonts w:ascii="Arial" w:hAnsi="Arial" w:cs="Arial"/>
                <w:b/>
                <w:bCs/>
                <w:color w:val="000000" w:themeColor="text1"/>
                <w:sz w:val="20"/>
                <w:szCs w:val="20"/>
              </w:rPr>
              <w:t>Source</w:t>
            </w:r>
          </w:p>
        </w:tc>
      </w:tr>
      <w:tr w:rsidR="00E61562" w:rsidRPr="0030308C" w14:paraId="449054BC" w14:textId="77777777" w:rsidTr="000E0C52">
        <w:trPr>
          <w:jc w:val="center"/>
        </w:trPr>
        <w:tc>
          <w:tcPr>
            <w:tcW w:w="4573" w:type="dxa"/>
            <w:tcBorders>
              <w:top w:val="single" w:sz="4" w:space="0" w:color="auto"/>
              <w:bottom w:val="single" w:sz="4" w:space="0" w:color="auto"/>
            </w:tcBorders>
          </w:tcPr>
          <w:p w14:paraId="007379DF" w14:textId="77777777" w:rsidR="00E61562" w:rsidRPr="00C318B9" w:rsidRDefault="00E61562" w:rsidP="000E0C52">
            <w:pPr>
              <w:rPr>
                <w:rFonts w:ascii="Arial" w:hAnsi="Arial" w:cs="Arial"/>
                <w:b/>
                <w:bCs/>
                <w:color w:val="000000" w:themeColor="text1"/>
                <w:sz w:val="20"/>
                <w:szCs w:val="20"/>
              </w:rPr>
            </w:pPr>
            <w:r w:rsidRPr="00C318B9">
              <w:rPr>
                <w:rFonts w:ascii="Arial" w:hAnsi="Arial" w:cs="Arial"/>
                <w:b/>
                <w:bCs/>
                <w:color w:val="000000" w:themeColor="text1"/>
                <w:sz w:val="20"/>
                <w:szCs w:val="20"/>
              </w:rPr>
              <w:t>Cost ophthalmologist visit</w:t>
            </w:r>
          </w:p>
        </w:tc>
        <w:tc>
          <w:tcPr>
            <w:tcW w:w="4455" w:type="dxa"/>
            <w:tcBorders>
              <w:top w:val="single" w:sz="4" w:space="0" w:color="auto"/>
              <w:bottom w:val="single" w:sz="4" w:space="0" w:color="auto"/>
            </w:tcBorders>
          </w:tcPr>
          <w:p w14:paraId="6917191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DRG 902O with a DRG weight of 0.029.</w:t>
            </w:r>
          </w:p>
        </w:tc>
        <w:tc>
          <w:tcPr>
            <w:tcW w:w="1172" w:type="dxa"/>
            <w:tcBorders>
              <w:top w:val="single" w:sz="4" w:space="0" w:color="auto"/>
              <w:bottom w:val="single" w:sz="4" w:space="0" w:color="auto"/>
            </w:tcBorders>
          </w:tcPr>
          <w:p w14:paraId="362B0A6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142</w:t>
            </w:r>
          </w:p>
        </w:tc>
        <w:tc>
          <w:tcPr>
            <w:tcW w:w="1418" w:type="dxa"/>
            <w:tcBorders>
              <w:top w:val="single" w:sz="4" w:space="0" w:color="auto"/>
              <w:bottom w:val="single" w:sz="4" w:space="0" w:color="auto"/>
            </w:tcBorders>
          </w:tcPr>
          <w:p w14:paraId="2C3A3449"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 </w:t>
            </w:r>
          </w:p>
        </w:tc>
        <w:tc>
          <w:tcPr>
            <w:tcW w:w="1339" w:type="dxa"/>
            <w:tcBorders>
              <w:top w:val="single" w:sz="4" w:space="0" w:color="auto"/>
              <w:bottom w:val="single" w:sz="4" w:space="0" w:color="auto"/>
            </w:tcBorders>
          </w:tcPr>
          <w:p w14:paraId="4FF49076" w14:textId="77777777" w:rsidR="00E61562" w:rsidRPr="0030308C" w:rsidRDefault="00E61562" w:rsidP="000E0C52">
            <w:pPr>
              <w:rPr>
                <w:rFonts w:ascii="Arial" w:hAnsi="Arial" w:cs="Arial"/>
                <w:color w:val="000000" w:themeColor="text1"/>
                <w:sz w:val="20"/>
                <w:szCs w:val="20"/>
              </w:rPr>
            </w:pPr>
          </w:p>
        </w:tc>
        <w:tc>
          <w:tcPr>
            <w:tcW w:w="2637" w:type="dxa"/>
            <w:tcBorders>
              <w:top w:val="single" w:sz="4" w:space="0" w:color="auto"/>
              <w:bottom w:val="single" w:sz="4" w:space="0" w:color="auto"/>
            </w:tcBorders>
          </w:tcPr>
          <w:p w14:paraId="7456E4B1"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{"citationID":"V2QOH6VZ","properties":{"formattedCitation":"(10)","plainCitation":"(10)","noteIndex":0},"citationItems":[{"id":1216,"uris":["http://zotero.org/users/local/qnIpXHeo/items/5SCRLPR4"],"itemData":{"id":1216,"type":"dataset","title":"ISF-regelverk 2024: DRG masterliste and Innsatsstyrt finansiering 2024","author":[{"family":"Helsedirektoratet","given":""}],"issued":{"date-parts":[["2023",12]]}}}],"schema":"https://github.com/citation-style-language/schema/raw/master/csl-citation.json"}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(10)</w:t>
            </w:r>
            <w:r w:rsidRPr="0030308C">
              <w:rPr>
                <w:rFonts w:ascii="Arial" w:hAnsi="Arial" w:cs="Arial"/>
                <w:color w:val="000000" w:themeColor="text1"/>
                <w:sz w:val="20"/>
                <w:szCs w:val="20"/>
              </w:rPr>
              <w:fldChar w:fldCharType="end"/>
            </w:r>
          </w:p>
        </w:tc>
      </w:tr>
      <w:tr w:rsidR="00E61562" w:rsidRPr="0030308C" w14:paraId="5B7E65E8" w14:textId="77777777" w:rsidTr="000E0C52">
        <w:trPr>
          <w:trHeight w:val="733"/>
          <w:jc w:val="center"/>
        </w:trPr>
        <w:tc>
          <w:tcPr>
            <w:tcW w:w="4573" w:type="dxa"/>
            <w:tcBorders>
              <w:top w:val="single" w:sz="4" w:space="0" w:color="auto"/>
            </w:tcBorders>
          </w:tcPr>
          <w:p w14:paraId="700F827E" w14:textId="77777777" w:rsidR="00E61562" w:rsidRPr="0030308C" w:rsidRDefault="00E61562" w:rsidP="000E0C52">
            <w:pPr>
              <w:rPr>
                <w:rFonts w:ascii="Arial" w:hAnsi="Arial" w:cs="Arial"/>
                <w:b/>
                <w:bCs/>
                <w:color w:val="000000" w:themeColor="text1"/>
                <w:sz w:val="20"/>
                <w:szCs w:val="20"/>
              </w:rPr>
            </w:pPr>
            <w:r w:rsidRPr="0030308C">
              <w:rPr>
                <w:rFonts w:ascii="Arial" w:hAnsi="Arial" w:cs="Arial"/>
                <w:b/>
                <w:bCs/>
                <w:color w:val="000000" w:themeColor="text1"/>
                <w:sz w:val="20"/>
                <w:szCs w:val="20"/>
              </w:rPr>
              <w:t>Conjunctival bleb or conjunctival filtering bleb leak</w:t>
            </w:r>
          </w:p>
        </w:tc>
        <w:tc>
          <w:tcPr>
            <w:tcW w:w="4455" w:type="dxa"/>
            <w:tcBorders>
              <w:top w:val="single" w:sz="4" w:space="0" w:color="auto"/>
            </w:tcBorders>
          </w:tcPr>
          <w:p w14:paraId="1E0DFF95" w14:textId="77777777" w:rsidR="00E61562" w:rsidRPr="0030308C" w:rsidRDefault="00E61562" w:rsidP="000E0C52">
            <w:pPr>
              <w:rPr>
                <w:rFonts w:ascii="Arial" w:hAnsi="Arial" w:cs="Arial"/>
                <w:color w:val="000000" w:themeColor="text1"/>
                <w:sz w:val="20"/>
                <w:szCs w:val="20"/>
              </w:rPr>
            </w:pPr>
          </w:p>
        </w:tc>
        <w:tc>
          <w:tcPr>
            <w:tcW w:w="1172" w:type="dxa"/>
            <w:tcBorders>
              <w:top w:val="single" w:sz="4" w:space="0" w:color="auto"/>
            </w:tcBorders>
          </w:tcPr>
          <w:p w14:paraId="1A12A882" w14:textId="77777777" w:rsidR="00E61562" w:rsidRPr="0030308C" w:rsidRDefault="00E61562" w:rsidP="000E0C52">
            <w:pPr>
              <w:rPr>
                <w:rFonts w:ascii="Arial" w:hAnsi="Arial" w:cs="Arial"/>
                <w:color w:val="000000" w:themeColor="text1"/>
                <w:sz w:val="20"/>
                <w:szCs w:val="20"/>
              </w:rPr>
            </w:pPr>
          </w:p>
        </w:tc>
        <w:tc>
          <w:tcPr>
            <w:tcW w:w="1418" w:type="dxa"/>
            <w:tcBorders>
              <w:top w:val="single" w:sz="4" w:space="0" w:color="auto"/>
            </w:tcBorders>
          </w:tcPr>
          <w:p w14:paraId="58D7519A" w14:textId="77777777" w:rsidR="00E61562" w:rsidRPr="0030308C" w:rsidRDefault="00E61562" w:rsidP="000E0C52">
            <w:pPr>
              <w:rPr>
                <w:rFonts w:ascii="Arial" w:hAnsi="Arial" w:cs="Arial"/>
                <w:color w:val="000000" w:themeColor="text1"/>
                <w:sz w:val="20"/>
                <w:szCs w:val="20"/>
              </w:rPr>
            </w:pPr>
          </w:p>
        </w:tc>
        <w:tc>
          <w:tcPr>
            <w:tcW w:w="1339" w:type="dxa"/>
            <w:tcBorders>
              <w:top w:val="single" w:sz="4" w:space="0" w:color="auto"/>
            </w:tcBorders>
          </w:tcPr>
          <w:p w14:paraId="57625AA2" w14:textId="77777777" w:rsidR="00E61562" w:rsidRPr="0030308C" w:rsidRDefault="00E61562" w:rsidP="000E0C52">
            <w:pPr>
              <w:rPr>
                <w:rFonts w:ascii="Arial" w:hAnsi="Arial" w:cs="Arial"/>
                <w:color w:val="000000" w:themeColor="text1"/>
                <w:sz w:val="20"/>
                <w:szCs w:val="20"/>
              </w:rPr>
            </w:pPr>
          </w:p>
        </w:tc>
        <w:tc>
          <w:tcPr>
            <w:tcW w:w="2637" w:type="dxa"/>
            <w:tcBorders>
              <w:top w:val="single" w:sz="4" w:space="0" w:color="auto"/>
            </w:tcBorders>
          </w:tcPr>
          <w:p w14:paraId="733BE2F2" w14:textId="77777777" w:rsidR="00E61562" w:rsidRPr="0030308C" w:rsidRDefault="00E61562" w:rsidP="000E0C52">
            <w:pPr>
              <w:rPr>
                <w:rFonts w:ascii="Arial" w:hAnsi="Arial" w:cs="Arial"/>
                <w:color w:val="000000" w:themeColor="text1"/>
                <w:sz w:val="20"/>
                <w:szCs w:val="20"/>
              </w:rPr>
            </w:pPr>
          </w:p>
        </w:tc>
      </w:tr>
      <w:tr w:rsidR="00E61562" w:rsidRPr="0030308C" w14:paraId="30CC3F07" w14:textId="77777777" w:rsidTr="000E0C52">
        <w:trPr>
          <w:jc w:val="center"/>
        </w:trPr>
        <w:tc>
          <w:tcPr>
            <w:tcW w:w="4573" w:type="dxa"/>
            <w:tcBorders>
              <w:bottom w:val="single" w:sz="4" w:space="0" w:color="auto"/>
            </w:tcBorders>
          </w:tcPr>
          <w:p w14:paraId="1B186933"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ophthalmologist visits</w:t>
            </w:r>
          </w:p>
        </w:tc>
        <w:tc>
          <w:tcPr>
            <w:tcW w:w="4455" w:type="dxa"/>
            <w:tcBorders>
              <w:bottom w:val="single" w:sz="4" w:space="0" w:color="auto"/>
            </w:tcBorders>
          </w:tcPr>
          <w:p w14:paraId="12887CEE" w14:textId="77777777" w:rsidR="00E61562" w:rsidRPr="0030308C" w:rsidRDefault="00E61562" w:rsidP="000E0C52">
            <w:pPr>
              <w:rPr>
                <w:rFonts w:ascii="Arial" w:hAnsi="Arial" w:cs="Arial"/>
                <w:color w:val="000000" w:themeColor="text1"/>
                <w:sz w:val="20"/>
                <w:szCs w:val="20"/>
              </w:rPr>
            </w:pPr>
          </w:p>
        </w:tc>
        <w:tc>
          <w:tcPr>
            <w:tcW w:w="1172" w:type="dxa"/>
            <w:tcBorders>
              <w:bottom w:val="single" w:sz="4" w:space="0" w:color="auto"/>
            </w:tcBorders>
          </w:tcPr>
          <w:p w14:paraId="192D812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2</w:t>
            </w:r>
          </w:p>
        </w:tc>
        <w:tc>
          <w:tcPr>
            <w:tcW w:w="1418" w:type="dxa"/>
            <w:tcBorders>
              <w:bottom w:val="single" w:sz="4" w:space="0" w:color="auto"/>
            </w:tcBorders>
          </w:tcPr>
          <w:p w14:paraId="01C105C6"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0.2</w:t>
            </w:r>
          </w:p>
        </w:tc>
        <w:tc>
          <w:tcPr>
            <w:tcW w:w="1339" w:type="dxa"/>
            <w:tcBorders>
              <w:bottom w:val="single" w:sz="4" w:space="0" w:color="auto"/>
            </w:tcBorders>
          </w:tcPr>
          <w:p w14:paraId="6507246A"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2637" w:type="dxa"/>
            <w:tcBorders>
              <w:bottom w:val="single" w:sz="4" w:space="0" w:color="auto"/>
            </w:tcBorders>
          </w:tcPr>
          <w:p w14:paraId="5E0CEC2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Expert opinion</w:t>
            </w:r>
          </w:p>
        </w:tc>
      </w:tr>
      <w:tr w:rsidR="00E61562" w:rsidRPr="0030308C" w14:paraId="6C462AA7" w14:textId="77777777" w:rsidTr="000E0C52">
        <w:trPr>
          <w:jc w:val="center"/>
        </w:trPr>
        <w:tc>
          <w:tcPr>
            <w:tcW w:w="4573" w:type="dxa"/>
            <w:tcBorders>
              <w:top w:val="single" w:sz="4" w:space="0" w:color="auto"/>
            </w:tcBorders>
          </w:tcPr>
          <w:p w14:paraId="269AC57D" w14:textId="77777777" w:rsidR="00E61562" w:rsidRPr="0030308C" w:rsidRDefault="00E61562" w:rsidP="000E0C52">
            <w:pPr>
              <w:rPr>
                <w:rFonts w:ascii="Arial" w:hAnsi="Arial" w:cs="Arial"/>
                <w:b/>
                <w:bCs/>
                <w:color w:val="000000" w:themeColor="text1"/>
                <w:sz w:val="20"/>
                <w:szCs w:val="20"/>
              </w:rPr>
            </w:pPr>
            <w:r w:rsidRPr="0030308C">
              <w:rPr>
                <w:rFonts w:ascii="Arial" w:hAnsi="Arial" w:cs="Arial"/>
                <w:b/>
                <w:bCs/>
                <w:color w:val="000000" w:themeColor="text1"/>
                <w:sz w:val="20"/>
                <w:szCs w:val="20"/>
              </w:rPr>
              <w:t>Vitreous hemorrhage, any grade</w:t>
            </w:r>
          </w:p>
        </w:tc>
        <w:tc>
          <w:tcPr>
            <w:tcW w:w="4455" w:type="dxa"/>
            <w:tcBorders>
              <w:top w:val="single" w:sz="4" w:space="0" w:color="auto"/>
            </w:tcBorders>
          </w:tcPr>
          <w:p w14:paraId="1A970D00" w14:textId="77777777" w:rsidR="00E61562" w:rsidRPr="0030308C" w:rsidRDefault="00E61562" w:rsidP="000E0C52">
            <w:pPr>
              <w:rPr>
                <w:rFonts w:ascii="Arial" w:hAnsi="Arial" w:cs="Arial"/>
                <w:color w:val="000000" w:themeColor="text1"/>
                <w:sz w:val="20"/>
                <w:szCs w:val="20"/>
              </w:rPr>
            </w:pPr>
          </w:p>
        </w:tc>
        <w:tc>
          <w:tcPr>
            <w:tcW w:w="1172" w:type="dxa"/>
            <w:tcBorders>
              <w:top w:val="single" w:sz="4" w:space="0" w:color="auto"/>
            </w:tcBorders>
          </w:tcPr>
          <w:p w14:paraId="2FDA8282" w14:textId="77777777" w:rsidR="00E61562" w:rsidRPr="0030308C" w:rsidRDefault="00E61562" w:rsidP="000E0C52">
            <w:pPr>
              <w:rPr>
                <w:rFonts w:ascii="Arial" w:hAnsi="Arial" w:cs="Arial"/>
                <w:color w:val="000000" w:themeColor="text1"/>
                <w:sz w:val="20"/>
                <w:szCs w:val="20"/>
              </w:rPr>
            </w:pPr>
          </w:p>
        </w:tc>
        <w:tc>
          <w:tcPr>
            <w:tcW w:w="1418" w:type="dxa"/>
            <w:tcBorders>
              <w:top w:val="single" w:sz="4" w:space="0" w:color="auto"/>
            </w:tcBorders>
          </w:tcPr>
          <w:p w14:paraId="6CCD6FF8" w14:textId="77777777" w:rsidR="00E61562" w:rsidRPr="0030308C" w:rsidRDefault="00E61562" w:rsidP="000E0C52">
            <w:pPr>
              <w:rPr>
                <w:rFonts w:ascii="Arial" w:hAnsi="Arial" w:cs="Arial"/>
                <w:color w:val="000000" w:themeColor="text1"/>
                <w:sz w:val="20"/>
                <w:szCs w:val="20"/>
              </w:rPr>
            </w:pPr>
          </w:p>
        </w:tc>
        <w:tc>
          <w:tcPr>
            <w:tcW w:w="1339" w:type="dxa"/>
            <w:tcBorders>
              <w:top w:val="single" w:sz="4" w:space="0" w:color="auto"/>
            </w:tcBorders>
          </w:tcPr>
          <w:p w14:paraId="204D668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2637" w:type="dxa"/>
            <w:tcBorders>
              <w:top w:val="single" w:sz="4" w:space="0" w:color="auto"/>
            </w:tcBorders>
          </w:tcPr>
          <w:p w14:paraId="5462C5AC" w14:textId="77777777" w:rsidR="00E61562" w:rsidRPr="0030308C" w:rsidRDefault="00E61562" w:rsidP="000E0C52">
            <w:pPr>
              <w:rPr>
                <w:rFonts w:ascii="Arial" w:hAnsi="Arial" w:cs="Arial"/>
                <w:color w:val="000000" w:themeColor="text1"/>
                <w:sz w:val="20"/>
                <w:szCs w:val="20"/>
              </w:rPr>
            </w:pPr>
          </w:p>
        </w:tc>
      </w:tr>
      <w:tr w:rsidR="00E61562" w:rsidRPr="0030308C" w14:paraId="095DFAF8" w14:textId="77777777" w:rsidTr="000E0C52">
        <w:trPr>
          <w:jc w:val="center"/>
        </w:trPr>
        <w:tc>
          <w:tcPr>
            <w:tcW w:w="4573" w:type="dxa"/>
          </w:tcPr>
          <w:p w14:paraId="5ADF3A5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treatment visits</w:t>
            </w:r>
          </w:p>
        </w:tc>
        <w:tc>
          <w:tcPr>
            <w:tcW w:w="4455" w:type="dxa"/>
          </w:tcPr>
          <w:p w14:paraId="40CDBDD9" w14:textId="77777777" w:rsidR="00E61562" w:rsidRPr="0030308C" w:rsidRDefault="00E61562" w:rsidP="000E0C52">
            <w:pPr>
              <w:rPr>
                <w:rFonts w:ascii="Arial" w:hAnsi="Arial" w:cs="Arial"/>
                <w:color w:val="000000" w:themeColor="text1"/>
                <w:sz w:val="20"/>
                <w:szCs w:val="20"/>
              </w:rPr>
            </w:pPr>
          </w:p>
        </w:tc>
        <w:tc>
          <w:tcPr>
            <w:tcW w:w="1172" w:type="dxa"/>
          </w:tcPr>
          <w:p w14:paraId="2FF9080C"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w:t>
            </w:r>
          </w:p>
        </w:tc>
        <w:tc>
          <w:tcPr>
            <w:tcW w:w="1418" w:type="dxa"/>
          </w:tcPr>
          <w:p w14:paraId="7FB6828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0.1</w:t>
            </w:r>
          </w:p>
        </w:tc>
        <w:tc>
          <w:tcPr>
            <w:tcW w:w="1339" w:type="dxa"/>
          </w:tcPr>
          <w:p w14:paraId="17B9A060" w14:textId="77777777" w:rsidR="00E61562" w:rsidRPr="0030308C" w:rsidRDefault="00E61562" w:rsidP="000E0C52">
            <w:pPr>
              <w:rPr>
                <w:rFonts w:ascii="Arial" w:hAnsi="Arial" w:cs="Arial"/>
                <w:color w:val="000000" w:themeColor="text1"/>
                <w:sz w:val="20"/>
                <w:szCs w:val="20"/>
              </w:rPr>
            </w:pPr>
          </w:p>
        </w:tc>
        <w:tc>
          <w:tcPr>
            <w:tcW w:w="2637" w:type="dxa"/>
          </w:tcPr>
          <w:p w14:paraId="474A52F9"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Expert opinion</w:t>
            </w:r>
          </w:p>
        </w:tc>
      </w:tr>
      <w:tr w:rsidR="00E61562" w:rsidRPr="0030308C" w14:paraId="077BC9CD" w14:textId="77777777" w:rsidTr="000E0C52">
        <w:trPr>
          <w:jc w:val="center"/>
        </w:trPr>
        <w:tc>
          <w:tcPr>
            <w:tcW w:w="4573" w:type="dxa"/>
          </w:tcPr>
          <w:p w14:paraId="7571ADC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Costs of treatment</w:t>
            </w:r>
          </w:p>
        </w:tc>
        <w:tc>
          <w:tcPr>
            <w:tcW w:w="4455" w:type="dxa"/>
          </w:tcPr>
          <w:p w14:paraId="252448D1"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DRG 46 with a DRG weight of 0.871.</w:t>
            </w:r>
          </w:p>
        </w:tc>
        <w:tc>
          <w:tcPr>
            <w:tcW w:w="1172" w:type="dxa"/>
          </w:tcPr>
          <w:p w14:paraId="7C0A4321"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4</w:t>
            </w:r>
            <w:r>
              <w:rPr>
                <w:rFonts w:ascii="Arial" w:hAnsi="Arial" w:cs="Arial"/>
                <w:color w:val="000000" w:themeColor="text1"/>
                <w:sz w:val="20"/>
                <w:szCs w:val="20"/>
              </w:rPr>
              <w:t xml:space="preserve"> </w:t>
            </w:r>
            <w:r w:rsidRPr="0030308C">
              <w:rPr>
                <w:rFonts w:ascii="Arial" w:hAnsi="Arial" w:cs="Arial"/>
                <w:color w:val="000000" w:themeColor="text1"/>
                <w:sz w:val="20"/>
                <w:szCs w:val="20"/>
              </w:rPr>
              <w:t>27</w:t>
            </w:r>
            <w:r>
              <w:rPr>
                <w:rFonts w:ascii="Arial" w:hAnsi="Arial" w:cs="Arial"/>
                <w:color w:val="000000" w:themeColor="text1"/>
                <w:sz w:val="20"/>
                <w:szCs w:val="20"/>
              </w:rPr>
              <w:t>5</w:t>
            </w:r>
          </w:p>
        </w:tc>
        <w:tc>
          <w:tcPr>
            <w:tcW w:w="1418" w:type="dxa"/>
          </w:tcPr>
          <w:p w14:paraId="30BE3496" w14:textId="77777777" w:rsidR="00E61562" w:rsidRPr="0030308C" w:rsidRDefault="00E61562" w:rsidP="000E0C52">
            <w:pPr>
              <w:rPr>
                <w:rFonts w:ascii="Arial" w:hAnsi="Arial" w:cs="Arial"/>
                <w:color w:val="000000" w:themeColor="text1"/>
                <w:sz w:val="20"/>
                <w:szCs w:val="20"/>
              </w:rPr>
            </w:pPr>
          </w:p>
        </w:tc>
        <w:tc>
          <w:tcPr>
            <w:tcW w:w="1339" w:type="dxa"/>
          </w:tcPr>
          <w:p w14:paraId="0BF4320A" w14:textId="77777777" w:rsidR="00E61562" w:rsidRPr="0030308C" w:rsidRDefault="00E61562" w:rsidP="000E0C52">
            <w:pPr>
              <w:rPr>
                <w:rFonts w:ascii="Arial" w:hAnsi="Arial" w:cs="Arial"/>
                <w:color w:val="000000" w:themeColor="text1"/>
                <w:sz w:val="20"/>
                <w:szCs w:val="20"/>
              </w:rPr>
            </w:pPr>
          </w:p>
        </w:tc>
        <w:tc>
          <w:tcPr>
            <w:tcW w:w="2637" w:type="dxa"/>
          </w:tcPr>
          <w:p w14:paraId="3230716A"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{"citationID":"Hj2DJxPA","properties":{"formattedCitation":"(10)","plainCitation":"(10)","noteIndex":0},"citationItems":[{"id":1216,"uris":["http://zotero.org/users/local/qnIpXHeo/items/5SCRLPR4"],"itemData":{"id":1216,"type":"dataset","title":"ISF-regelverk 2024: DRG masterliste and Innsatsstyrt finansiering 2024","author":[{"family":"Helsedirektoratet","given":""}],"issued":{"date-parts":[["2023",12]]}}}],"schema":"https://github.com/citation-style-language/schema/raw/master/csl-citation.json"}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(10)</w:t>
            </w:r>
            <w:r w:rsidRPr="0030308C">
              <w:rPr>
                <w:rFonts w:ascii="Arial" w:hAnsi="Arial" w:cs="Arial"/>
                <w:color w:val="000000" w:themeColor="text1"/>
                <w:sz w:val="20"/>
                <w:szCs w:val="20"/>
              </w:rPr>
              <w:fldChar w:fldCharType="end"/>
            </w:r>
          </w:p>
        </w:tc>
      </w:tr>
      <w:tr w:rsidR="00E61562" w:rsidRPr="0030308C" w14:paraId="5A18363E" w14:textId="77777777" w:rsidTr="000E0C52">
        <w:trPr>
          <w:trHeight w:hRule="exact" w:val="255"/>
          <w:jc w:val="center"/>
        </w:trPr>
        <w:tc>
          <w:tcPr>
            <w:tcW w:w="4573" w:type="dxa"/>
            <w:tcBorders>
              <w:bottom w:val="single" w:sz="4" w:space="0" w:color="auto"/>
            </w:tcBorders>
          </w:tcPr>
          <w:p w14:paraId="32F96C3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ophthalmologist visits</w:t>
            </w:r>
          </w:p>
        </w:tc>
        <w:tc>
          <w:tcPr>
            <w:tcW w:w="4455" w:type="dxa"/>
            <w:tcBorders>
              <w:bottom w:val="single" w:sz="4" w:space="0" w:color="auto"/>
            </w:tcBorders>
          </w:tcPr>
          <w:p w14:paraId="25B9D419"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 xml:space="preserve">Monitoring visits. </w:t>
            </w:r>
          </w:p>
        </w:tc>
        <w:tc>
          <w:tcPr>
            <w:tcW w:w="1172" w:type="dxa"/>
            <w:tcBorders>
              <w:bottom w:val="single" w:sz="4" w:space="0" w:color="auto"/>
            </w:tcBorders>
          </w:tcPr>
          <w:p w14:paraId="650A938E"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5</w:t>
            </w:r>
          </w:p>
        </w:tc>
        <w:tc>
          <w:tcPr>
            <w:tcW w:w="1418" w:type="dxa"/>
            <w:tcBorders>
              <w:bottom w:val="single" w:sz="4" w:space="0" w:color="auto"/>
            </w:tcBorders>
          </w:tcPr>
          <w:p w14:paraId="61CB8B9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0.5</w:t>
            </w:r>
          </w:p>
        </w:tc>
        <w:tc>
          <w:tcPr>
            <w:tcW w:w="1339" w:type="dxa"/>
            <w:tcBorders>
              <w:bottom w:val="single" w:sz="4" w:space="0" w:color="auto"/>
            </w:tcBorders>
          </w:tcPr>
          <w:p w14:paraId="58B649D6"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2637" w:type="dxa"/>
            <w:tcBorders>
              <w:bottom w:val="single" w:sz="4" w:space="0" w:color="auto"/>
            </w:tcBorders>
          </w:tcPr>
          <w:p w14:paraId="643B82DD"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Expert opinion</w:t>
            </w:r>
          </w:p>
        </w:tc>
      </w:tr>
      <w:tr w:rsidR="00E61562" w:rsidRPr="0030308C" w14:paraId="05C250CE" w14:textId="77777777" w:rsidTr="000E0C52">
        <w:trPr>
          <w:jc w:val="center"/>
        </w:trPr>
        <w:tc>
          <w:tcPr>
            <w:tcW w:w="4573" w:type="dxa"/>
            <w:tcBorders>
              <w:top w:val="single" w:sz="4" w:space="0" w:color="auto"/>
            </w:tcBorders>
          </w:tcPr>
          <w:p w14:paraId="6DE5E02E" w14:textId="77777777" w:rsidR="00E61562" w:rsidRPr="0030308C" w:rsidRDefault="00E61562" w:rsidP="000E0C52">
            <w:pPr>
              <w:rPr>
                <w:rFonts w:ascii="Arial" w:hAnsi="Arial" w:cs="Arial"/>
                <w:b/>
                <w:bCs/>
                <w:color w:val="000000" w:themeColor="text1"/>
                <w:sz w:val="20"/>
                <w:szCs w:val="20"/>
              </w:rPr>
            </w:pPr>
            <w:r w:rsidRPr="0030308C">
              <w:rPr>
                <w:rFonts w:ascii="Arial" w:hAnsi="Arial" w:cs="Arial"/>
                <w:b/>
                <w:bCs/>
                <w:color w:val="000000" w:themeColor="text1"/>
                <w:sz w:val="20"/>
                <w:szCs w:val="20"/>
              </w:rPr>
              <w:t>Cataract</w:t>
            </w:r>
          </w:p>
        </w:tc>
        <w:tc>
          <w:tcPr>
            <w:tcW w:w="4455" w:type="dxa"/>
            <w:tcBorders>
              <w:top w:val="single" w:sz="4" w:space="0" w:color="auto"/>
            </w:tcBorders>
          </w:tcPr>
          <w:p w14:paraId="26D647FD" w14:textId="77777777" w:rsidR="00E61562" w:rsidRPr="0030308C" w:rsidRDefault="00E61562" w:rsidP="000E0C52">
            <w:pPr>
              <w:rPr>
                <w:rFonts w:ascii="Arial" w:hAnsi="Arial" w:cs="Arial"/>
                <w:color w:val="000000" w:themeColor="text1"/>
                <w:sz w:val="20"/>
                <w:szCs w:val="20"/>
              </w:rPr>
            </w:pPr>
          </w:p>
        </w:tc>
        <w:tc>
          <w:tcPr>
            <w:tcW w:w="1172" w:type="dxa"/>
            <w:tcBorders>
              <w:top w:val="single" w:sz="4" w:space="0" w:color="auto"/>
            </w:tcBorders>
          </w:tcPr>
          <w:p w14:paraId="05947162" w14:textId="77777777" w:rsidR="00E61562" w:rsidRPr="0030308C" w:rsidRDefault="00E61562" w:rsidP="000E0C52">
            <w:pPr>
              <w:rPr>
                <w:rFonts w:ascii="Arial" w:hAnsi="Arial" w:cs="Arial"/>
                <w:color w:val="000000" w:themeColor="text1"/>
                <w:sz w:val="20"/>
                <w:szCs w:val="20"/>
              </w:rPr>
            </w:pPr>
          </w:p>
        </w:tc>
        <w:tc>
          <w:tcPr>
            <w:tcW w:w="1418" w:type="dxa"/>
            <w:tcBorders>
              <w:top w:val="single" w:sz="4" w:space="0" w:color="auto"/>
            </w:tcBorders>
          </w:tcPr>
          <w:p w14:paraId="2ACE601F" w14:textId="77777777" w:rsidR="00E61562" w:rsidRPr="0030308C" w:rsidRDefault="00E61562" w:rsidP="000E0C52">
            <w:pPr>
              <w:rPr>
                <w:rFonts w:ascii="Arial" w:hAnsi="Arial" w:cs="Arial"/>
                <w:color w:val="000000" w:themeColor="text1"/>
                <w:sz w:val="20"/>
                <w:szCs w:val="20"/>
              </w:rPr>
            </w:pPr>
          </w:p>
        </w:tc>
        <w:tc>
          <w:tcPr>
            <w:tcW w:w="1339" w:type="dxa"/>
            <w:tcBorders>
              <w:top w:val="single" w:sz="4" w:space="0" w:color="auto"/>
            </w:tcBorders>
          </w:tcPr>
          <w:p w14:paraId="4A4A3C7C" w14:textId="77777777" w:rsidR="00E61562" w:rsidRPr="0030308C" w:rsidRDefault="00E61562" w:rsidP="000E0C52">
            <w:pPr>
              <w:rPr>
                <w:rFonts w:ascii="Arial" w:hAnsi="Arial" w:cs="Arial"/>
                <w:color w:val="000000" w:themeColor="text1"/>
                <w:sz w:val="20"/>
                <w:szCs w:val="20"/>
              </w:rPr>
            </w:pPr>
          </w:p>
        </w:tc>
        <w:tc>
          <w:tcPr>
            <w:tcW w:w="2637" w:type="dxa"/>
            <w:tcBorders>
              <w:top w:val="single" w:sz="4" w:space="0" w:color="auto"/>
            </w:tcBorders>
          </w:tcPr>
          <w:p w14:paraId="1CFF35DE" w14:textId="77777777" w:rsidR="00E61562" w:rsidRPr="0030308C" w:rsidRDefault="00E61562" w:rsidP="000E0C52">
            <w:pPr>
              <w:rPr>
                <w:rFonts w:ascii="Arial" w:hAnsi="Arial" w:cs="Arial"/>
                <w:color w:val="000000" w:themeColor="text1"/>
                <w:sz w:val="20"/>
                <w:szCs w:val="20"/>
              </w:rPr>
            </w:pPr>
          </w:p>
        </w:tc>
      </w:tr>
      <w:tr w:rsidR="00E61562" w:rsidRPr="0030308C" w14:paraId="19D930BC" w14:textId="77777777" w:rsidTr="000E0C52">
        <w:trPr>
          <w:jc w:val="center"/>
        </w:trPr>
        <w:tc>
          <w:tcPr>
            <w:tcW w:w="4573" w:type="dxa"/>
          </w:tcPr>
          <w:p w14:paraId="0AA2A96F"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treatment visits</w:t>
            </w:r>
          </w:p>
        </w:tc>
        <w:tc>
          <w:tcPr>
            <w:tcW w:w="4455" w:type="dxa"/>
          </w:tcPr>
          <w:p w14:paraId="1D4ABC73" w14:textId="77777777" w:rsidR="00E61562" w:rsidRPr="0030308C" w:rsidRDefault="00E61562" w:rsidP="000E0C52">
            <w:pPr>
              <w:rPr>
                <w:rFonts w:ascii="Arial" w:hAnsi="Arial" w:cs="Arial"/>
                <w:color w:val="000000" w:themeColor="text1"/>
                <w:sz w:val="20"/>
                <w:szCs w:val="20"/>
              </w:rPr>
            </w:pPr>
          </w:p>
        </w:tc>
        <w:tc>
          <w:tcPr>
            <w:tcW w:w="1172" w:type="dxa"/>
          </w:tcPr>
          <w:p w14:paraId="572C594C"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w:t>
            </w:r>
          </w:p>
        </w:tc>
        <w:tc>
          <w:tcPr>
            <w:tcW w:w="1418" w:type="dxa"/>
          </w:tcPr>
          <w:p w14:paraId="5B6AAA6D"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0.1</w:t>
            </w:r>
          </w:p>
        </w:tc>
        <w:tc>
          <w:tcPr>
            <w:tcW w:w="1339" w:type="dxa"/>
          </w:tcPr>
          <w:p w14:paraId="2618EE11"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2637" w:type="dxa"/>
          </w:tcPr>
          <w:p w14:paraId="2571CD2E"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Expert opinion</w:t>
            </w:r>
          </w:p>
        </w:tc>
      </w:tr>
      <w:tr w:rsidR="00E61562" w:rsidRPr="0030308C" w14:paraId="3120172D" w14:textId="77777777" w:rsidTr="000E0C52">
        <w:trPr>
          <w:jc w:val="center"/>
        </w:trPr>
        <w:tc>
          <w:tcPr>
            <w:tcW w:w="4573" w:type="dxa"/>
          </w:tcPr>
          <w:p w14:paraId="3C2F59AA"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Costs of treatment</w:t>
            </w:r>
          </w:p>
        </w:tc>
        <w:tc>
          <w:tcPr>
            <w:tcW w:w="4455" w:type="dxa"/>
          </w:tcPr>
          <w:p w14:paraId="7F8F9F87"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DRG 39Q with a DRG weight of 0.241.</w:t>
            </w:r>
          </w:p>
        </w:tc>
        <w:tc>
          <w:tcPr>
            <w:tcW w:w="1172" w:type="dxa"/>
          </w:tcPr>
          <w:p w14:paraId="43E7F6E7"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w:t>
            </w:r>
            <w:r>
              <w:rPr>
                <w:rFonts w:ascii="Arial" w:hAnsi="Arial" w:cs="Arial"/>
                <w:color w:val="000000" w:themeColor="text1"/>
                <w:sz w:val="20"/>
                <w:szCs w:val="20"/>
              </w:rPr>
              <w:t xml:space="preserve"> </w:t>
            </w:r>
            <w:r w:rsidRPr="0030308C">
              <w:rPr>
                <w:rFonts w:ascii="Arial" w:hAnsi="Arial" w:cs="Arial"/>
                <w:color w:val="000000" w:themeColor="text1"/>
                <w:sz w:val="20"/>
                <w:szCs w:val="20"/>
              </w:rPr>
              <w:t>18</w:t>
            </w:r>
            <w:r>
              <w:rPr>
                <w:rFonts w:ascii="Arial" w:hAnsi="Arial" w:cs="Arial"/>
                <w:color w:val="000000" w:themeColor="text1"/>
                <w:sz w:val="20"/>
                <w:szCs w:val="20"/>
              </w:rPr>
              <w:t>3</w:t>
            </w:r>
          </w:p>
        </w:tc>
        <w:tc>
          <w:tcPr>
            <w:tcW w:w="1418" w:type="dxa"/>
          </w:tcPr>
          <w:p w14:paraId="34F7D54F" w14:textId="77777777" w:rsidR="00E61562" w:rsidRPr="0030308C" w:rsidRDefault="00E61562" w:rsidP="000E0C52">
            <w:pPr>
              <w:rPr>
                <w:rFonts w:ascii="Arial" w:hAnsi="Arial" w:cs="Arial"/>
                <w:color w:val="000000" w:themeColor="text1"/>
                <w:sz w:val="20"/>
                <w:szCs w:val="20"/>
              </w:rPr>
            </w:pPr>
          </w:p>
        </w:tc>
        <w:tc>
          <w:tcPr>
            <w:tcW w:w="1339" w:type="dxa"/>
          </w:tcPr>
          <w:p w14:paraId="22BF05ED" w14:textId="77777777" w:rsidR="00E61562" w:rsidRPr="0030308C" w:rsidRDefault="00E61562" w:rsidP="000E0C52">
            <w:pPr>
              <w:rPr>
                <w:rFonts w:ascii="Arial" w:hAnsi="Arial" w:cs="Arial"/>
                <w:color w:val="000000" w:themeColor="text1"/>
                <w:sz w:val="20"/>
                <w:szCs w:val="20"/>
              </w:rPr>
            </w:pPr>
          </w:p>
        </w:tc>
        <w:tc>
          <w:tcPr>
            <w:tcW w:w="2637" w:type="dxa"/>
          </w:tcPr>
          <w:p w14:paraId="155320DA"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{"citationID":"POCjgxOW","properties":{"formattedCitation":"(10)","plainCitation":"(10)","noteIndex":0},"citationItems":[{"id":1216,"uris":["http://zotero.org/users/local/qnIpXHeo/items/5SCRLPR4"],"itemData":{"id":1216,"type":"dataset","title":"ISF-regelverk 2024: DRG masterliste and Innsatsstyrt finansiering 2024","author":[{"family":"Helsedirektoratet","given":""}],"issued":{"date-parts":[["2023",12]]}}}],"schema":"https://github.com/citation-style-language/schema/raw/master/csl-citation.json"}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(10)</w:t>
            </w:r>
            <w:r w:rsidRPr="0030308C">
              <w:rPr>
                <w:rFonts w:ascii="Arial" w:hAnsi="Arial" w:cs="Arial"/>
                <w:color w:val="000000" w:themeColor="text1"/>
                <w:sz w:val="20"/>
                <w:szCs w:val="20"/>
              </w:rPr>
              <w:fldChar w:fldCharType="end"/>
            </w:r>
          </w:p>
        </w:tc>
      </w:tr>
      <w:tr w:rsidR="00E61562" w:rsidRPr="0030308C" w14:paraId="042D0760" w14:textId="77777777" w:rsidTr="000E0C52">
        <w:trPr>
          <w:jc w:val="center"/>
        </w:trPr>
        <w:tc>
          <w:tcPr>
            <w:tcW w:w="4573" w:type="dxa"/>
            <w:tcBorders>
              <w:bottom w:val="single" w:sz="4" w:space="0" w:color="auto"/>
            </w:tcBorders>
          </w:tcPr>
          <w:p w14:paraId="3725D3DE"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ophthalmologist visits</w:t>
            </w:r>
          </w:p>
        </w:tc>
        <w:tc>
          <w:tcPr>
            <w:tcW w:w="4455" w:type="dxa"/>
            <w:tcBorders>
              <w:bottom w:val="single" w:sz="4" w:space="0" w:color="auto"/>
            </w:tcBorders>
          </w:tcPr>
          <w:p w14:paraId="413DC02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Monitoring visits.</w:t>
            </w:r>
          </w:p>
        </w:tc>
        <w:tc>
          <w:tcPr>
            <w:tcW w:w="1172" w:type="dxa"/>
            <w:tcBorders>
              <w:bottom w:val="single" w:sz="4" w:space="0" w:color="auto"/>
            </w:tcBorders>
          </w:tcPr>
          <w:p w14:paraId="79020743"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2</w:t>
            </w:r>
          </w:p>
        </w:tc>
        <w:tc>
          <w:tcPr>
            <w:tcW w:w="1418" w:type="dxa"/>
            <w:tcBorders>
              <w:bottom w:val="single" w:sz="4" w:space="0" w:color="auto"/>
            </w:tcBorders>
          </w:tcPr>
          <w:p w14:paraId="5DDD86C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0.2</w:t>
            </w:r>
          </w:p>
        </w:tc>
        <w:tc>
          <w:tcPr>
            <w:tcW w:w="1339" w:type="dxa"/>
            <w:tcBorders>
              <w:bottom w:val="single" w:sz="4" w:space="0" w:color="auto"/>
            </w:tcBorders>
          </w:tcPr>
          <w:p w14:paraId="168880A6"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2637" w:type="dxa"/>
            <w:tcBorders>
              <w:bottom w:val="single" w:sz="4" w:space="0" w:color="auto"/>
            </w:tcBorders>
          </w:tcPr>
          <w:p w14:paraId="0DBC198E"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Expert opinion</w:t>
            </w:r>
          </w:p>
        </w:tc>
      </w:tr>
      <w:tr w:rsidR="00E61562" w:rsidRPr="0030308C" w14:paraId="2E7D13B7" w14:textId="77777777" w:rsidTr="000E0C52">
        <w:trPr>
          <w:jc w:val="center"/>
        </w:trPr>
        <w:tc>
          <w:tcPr>
            <w:tcW w:w="4573" w:type="dxa"/>
            <w:tcBorders>
              <w:top w:val="single" w:sz="4" w:space="0" w:color="auto"/>
            </w:tcBorders>
          </w:tcPr>
          <w:p w14:paraId="4E80967C" w14:textId="77777777" w:rsidR="00E61562" w:rsidRPr="0030308C" w:rsidRDefault="00E61562" w:rsidP="000E0C52">
            <w:pPr>
              <w:rPr>
                <w:rFonts w:ascii="Arial" w:hAnsi="Arial" w:cs="Arial"/>
                <w:b/>
                <w:bCs/>
                <w:color w:val="000000" w:themeColor="text1"/>
                <w:sz w:val="20"/>
                <w:szCs w:val="20"/>
              </w:rPr>
            </w:pPr>
            <w:r w:rsidRPr="0030308C">
              <w:rPr>
                <w:rFonts w:ascii="Arial" w:hAnsi="Arial" w:cs="Arial"/>
                <w:b/>
                <w:bCs/>
                <w:color w:val="000000" w:themeColor="text1"/>
                <w:sz w:val="20"/>
                <w:szCs w:val="20"/>
              </w:rPr>
              <w:t>Conjunctival erosion</w:t>
            </w:r>
          </w:p>
        </w:tc>
        <w:tc>
          <w:tcPr>
            <w:tcW w:w="4455" w:type="dxa"/>
            <w:tcBorders>
              <w:top w:val="single" w:sz="4" w:space="0" w:color="auto"/>
            </w:tcBorders>
          </w:tcPr>
          <w:p w14:paraId="3619FE1F" w14:textId="77777777" w:rsidR="00E61562" w:rsidRPr="0030308C" w:rsidRDefault="00E61562" w:rsidP="000E0C52">
            <w:pPr>
              <w:rPr>
                <w:rFonts w:ascii="Arial" w:hAnsi="Arial" w:cs="Arial"/>
                <w:color w:val="000000" w:themeColor="text1"/>
                <w:sz w:val="20"/>
                <w:szCs w:val="20"/>
              </w:rPr>
            </w:pPr>
          </w:p>
        </w:tc>
        <w:tc>
          <w:tcPr>
            <w:tcW w:w="1172" w:type="dxa"/>
            <w:tcBorders>
              <w:top w:val="single" w:sz="4" w:space="0" w:color="auto"/>
            </w:tcBorders>
          </w:tcPr>
          <w:p w14:paraId="1E36B465" w14:textId="77777777" w:rsidR="00E61562" w:rsidRPr="0030308C" w:rsidRDefault="00E61562" w:rsidP="000E0C52">
            <w:pPr>
              <w:rPr>
                <w:rFonts w:ascii="Arial" w:hAnsi="Arial" w:cs="Arial"/>
                <w:color w:val="000000" w:themeColor="text1"/>
                <w:sz w:val="20"/>
                <w:szCs w:val="20"/>
              </w:rPr>
            </w:pPr>
          </w:p>
        </w:tc>
        <w:tc>
          <w:tcPr>
            <w:tcW w:w="1418" w:type="dxa"/>
            <w:tcBorders>
              <w:top w:val="single" w:sz="4" w:space="0" w:color="auto"/>
            </w:tcBorders>
          </w:tcPr>
          <w:p w14:paraId="33B344F5" w14:textId="77777777" w:rsidR="00E61562" w:rsidRPr="0030308C" w:rsidRDefault="00E61562" w:rsidP="000E0C52">
            <w:pPr>
              <w:rPr>
                <w:rFonts w:ascii="Arial" w:hAnsi="Arial" w:cs="Arial"/>
                <w:color w:val="000000" w:themeColor="text1"/>
                <w:sz w:val="20"/>
                <w:szCs w:val="20"/>
              </w:rPr>
            </w:pPr>
          </w:p>
        </w:tc>
        <w:tc>
          <w:tcPr>
            <w:tcW w:w="1339" w:type="dxa"/>
            <w:tcBorders>
              <w:top w:val="single" w:sz="4" w:space="0" w:color="auto"/>
            </w:tcBorders>
          </w:tcPr>
          <w:p w14:paraId="7F6942AB" w14:textId="77777777" w:rsidR="00E61562" w:rsidRPr="0030308C" w:rsidRDefault="00E61562" w:rsidP="000E0C52">
            <w:pPr>
              <w:rPr>
                <w:rFonts w:ascii="Arial" w:hAnsi="Arial" w:cs="Arial"/>
                <w:color w:val="000000" w:themeColor="text1"/>
                <w:sz w:val="20"/>
                <w:szCs w:val="20"/>
              </w:rPr>
            </w:pPr>
          </w:p>
        </w:tc>
        <w:tc>
          <w:tcPr>
            <w:tcW w:w="2637" w:type="dxa"/>
            <w:tcBorders>
              <w:top w:val="single" w:sz="4" w:space="0" w:color="auto"/>
            </w:tcBorders>
          </w:tcPr>
          <w:p w14:paraId="042F87E5" w14:textId="77777777" w:rsidR="00E61562" w:rsidRPr="0030308C" w:rsidRDefault="00E61562" w:rsidP="000E0C52">
            <w:pPr>
              <w:rPr>
                <w:rFonts w:ascii="Arial" w:hAnsi="Arial" w:cs="Arial"/>
                <w:color w:val="000000" w:themeColor="text1"/>
                <w:sz w:val="20"/>
                <w:szCs w:val="20"/>
              </w:rPr>
            </w:pPr>
          </w:p>
        </w:tc>
      </w:tr>
      <w:tr w:rsidR="00E61562" w:rsidRPr="0030308C" w14:paraId="4FD6B548" w14:textId="77777777" w:rsidTr="000E0C52">
        <w:trPr>
          <w:jc w:val="center"/>
        </w:trPr>
        <w:tc>
          <w:tcPr>
            <w:tcW w:w="4573" w:type="dxa"/>
            <w:tcBorders>
              <w:bottom w:val="single" w:sz="4" w:space="0" w:color="auto"/>
            </w:tcBorders>
          </w:tcPr>
          <w:p w14:paraId="0F6A1DD0"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ophthalmologist visits</w:t>
            </w:r>
          </w:p>
        </w:tc>
        <w:tc>
          <w:tcPr>
            <w:tcW w:w="4455" w:type="dxa"/>
            <w:tcBorders>
              <w:bottom w:val="single" w:sz="4" w:space="0" w:color="auto"/>
            </w:tcBorders>
          </w:tcPr>
          <w:p w14:paraId="75066F3A" w14:textId="77777777" w:rsidR="00E61562" w:rsidRPr="0030308C" w:rsidRDefault="00E61562" w:rsidP="000E0C52">
            <w:pPr>
              <w:rPr>
                <w:rFonts w:ascii="Arial" w:hAnsi="Arial" w:cs="Arial"/>
                <w:color w:val="000000" w:themeColor="text1"/>
                <w:sz w:val="20"/>
                <w:szCs w:val="20"/>
              </w:rPr>
            </w:pPr>
          </w:p>
        </w:tc>
        <w:tc>
          <w:tcPr>
            <w:tcW w:w="1172" w:type="dxa"/>
            <w:tcBorders>
              <w:bottom w:val="single" w:sz="4" w:space="0" w:color="auto"/>
            </w:tcBorders>
          </w:tcPr>
          <w:p w14:paraId="12E60CE4"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2</w:t>
            </w:r>
          </w:p>
        </w:tc>
        <w:tc>
          <w:tcPr>
            <w:tcW w:w="1418" w:type="dxa"/>
            <w:tcBorders>
              <w:bottom w:val="single" w:sz="4" w:space="0" w:color="auto"/>
            </w:tcBorders>
          </w:tcPr>
          <w:p w14:paraId="1E89543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0.2</w:t>
            </w:r>
          </w:p>
        </w:tc>
        <w:tc>
          <w:tcPr>
            <w:tcW w:w="1339" w:type="dxa"/>
            <w:tcBorders>
              <w:bottom w:val="single" w:sz="4" w:space="0" w:color="auto"/>
            </w:tcBorders>
          </w:tcPr>
          <w:p w14:paraId="15712744"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2637" w:type="dxa"/>
            <w:tcBorders>
              <w:bottom w:val="single" w:sz="4" w:space="0" w:color="auto"/>
            </w:tcBorders>
          </w:tcPr>
          <w:p w14:paraId="30FC0849"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{"citationID":"FKr1ytCR","properties":{"formattedCitation":"(10)","plainCitation":"(10)","noteIndex":0},"citationItems":[{"id":1216,"uris":["http://zotero.org/users/local/qnIpXHeo/items/5SCRLPR4"],"itemData":{"id":1216,"type":"dataset","title":"ISF-regelverk 2024: DRG masterliste and Innsatsstyrt finansiering 2024","author":[{"family":"Helsedirektoratet","given":""}],"issued":{"date-parts":[["2023",12]]}}}],"schema":"https://github.com/citation-style-language/schema/raw/master/csl-citation.json"}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(10)</w:t>
            </w:r>
            <w:r w:rsidRPr="0030308C">
              <w:rPr>
                <w:rFonts w:ascii="Arial" w:hAnsi="Arial" w:cs="Arial"/>
                <w:color w:val="000000" w:themeColor="text1"/>
                <w:sz w:val="20"/>
                <w:szCs w:val="20"/>
              </w:rPr>
              <w:fldChar w:fldCharType="end"/>
            </w:r>
          </w:p>
        </w:tc>
      </w:tr>
      <w:tr w:rsidR="00E61562" w:rsidRPr="0030308C" w14:paraId="00FA8AF5" w14:textId="77777777" w:rsidTr="000E0C52">
        <w:trPr>
          <w:jc w:val="center"/>
        </w:trPr>
        <w:tc>
          <w:tcPr>
            <w:tcW w:w="4573" w:type="dxa"/>
            <w:tcBorders>
              <w:top w:val="single" w:sz="4" w:space="0" w:color="auto"/>
            </w:tcBorders>
          </w:tcPr>
          <w:p w14:paraId="7AF5600C" w14:textId="77777777" w:rsidR="00E61562" w:rsidRPr="0030308C" w:rsidRDefault="00E61562" w:rsidP="000E0C52">
            <w:pPr>
              <w:rPr>
                <w:rFonts w:ascii="Arial" w:hAnsi="Arial" w:cs="Arial"/>
                <w:b/>
                <w:bCs/>
                <w:color w:val="000000" w:themeColor="text1"/>
                <w:sz w:val="20"/>
                <w:szCs w:val="20"/>
              </w:rPr>
            </w:pPr>
            <w:r w:rsidRPr="0030308C">
              <w:rPr>
                <w:rFonts w:ascii="Arial" w:hAnsi="Arial" w:cs="Arial"/>
                <w:b/>
                <w:bCs/>
                <w:color w:val="000000" w:themeColor="text1"/>
                <w:sz w:val="20"/>
                <w:szCs w:val="20"/>
              </w:rPr>
              <w:t>Conjunctival retraction</w:t>
            </w:r>
          </w:p>
        </w:tc>
        <w:tc>
          <w:tcPr>
            <w:tcW w:w="4455" w:type="dxa"/>
            <w:tcBorders>
              <w:top w:val="single" w:sz="4" w:space="0" w:color="auto"/>
            </w:tcBorders>
          </w:tcPr>
          <w:p w14:paraId="3272A4D8" w14:textId="77777777" w:rsidR="00E61562" w:rsidRPr="0030308C" w:rsidRDefault="00E61562" w:rsidP="000E0C52">
            <w:pPr>
              <w:rPr>
                <w:rFonts w:ascii="Arial" w:hAnsi="Arial" w:cs="Arial"/>
                <w:color w:val="000000" w:themeColor="text1"/>
                <w:sz w:val="20"/>
                <w:szCs w:val="20"/>
              </w:rPr>
            </w:pPr>
          </w:p>
        </w:tc>
        <w:tc>
          <w:tcPr>
            <w:tcW w:w="1172" w:type="dxa"/>
            <w:tcBorders>
              <w:top w:val="single" w:sz="4" w:space="0" w:color="auto"/>
            </w:tcBorders>
          </w:tcPr>
          <w:p w14:paraId="732ACF4D" w14:textId="77777777" w:rsidR="00E61562" w:rsidRPr="0030308C" w:rsidRDefault="00E61562" w:rsidP="000E0C52">
            <w:pPr>
              <w:rPr>
                <w:rFonts w:ascii="Arial" w:hAnsi="Arial" w:cs="Arial"/>
                <w:color w:val="000000" w:themeColor="text1"/>
                <w:sz w:val="20"/>
                <w:szCs w:val="20"/>
              </w:rPr>
            </w:pPr>
          </w:p>
        </w:tc>
        <w:tc>
          <w:tcPr>
            <w:tcW w:w="1418" w:type="dxa"/>
            <w:tcBorders>
              <w:top w:val="single" w:sz="4" w:space="0" w:color="auto"/>
            </w:tcBorders>
          </w:tcPr>
          <w:p w14:paraId="4C5FBF33" w14:textId="77777777" w:rsidR="00E61562" w:rsidRPr="0030308C" w:rsidRDefault="00E61562" w:rsidP="000E0C52">
            <w:pPr>
              <w:rPr>
                <w:rFonts w:ascii="Arial" w:hAnsi="Arial" w:cs="Arial"/>
                <w:color w:val="000000" w:themeColor="text1"/>
                <w:sz w:val="20"/>
                <w:szCs w:val="20"/>
              </w:rPr>
            </w:pPr>
          </w:p>
        </w:tc>
        <w:tc>
          <w:tcPr>
            <w:tcW w:w="1339" w:type="dxa"/>
            <w:tcBorders>
              <w:top w:val="single" w:sz="4" w:space="0" w:color="auto"/>
            </w:tcBorders>
          </w:tcPr>
          <w:p w14:paraId="1036D588" w14:textId="77777777" w:rsidR="00E61562" w:rsidRPr="0030308C" w:rsidRDefault="00E61562" w:rsidP="000E0C52">
            <w:pPr>
              <w:rPr>
                <w:rFonts w:ascii="Arial" w:hAnsi="Arial" w:cs="Arial"/>
                <w:color w:val="000000" w:themeColor="text1"/>
                <w:sz w:val="20"/>
                <w:szCs w:val="20"/>
              </w:rPr>
            </w:pPr>
          </w:p>
        </w:tc>
        <w:tc>
          <w:tcPr>
            <w:tcW w:w="2637" w:type="dxa"/>
            <w:tcBorders>
              <w:top w:val="single" w:sz="4" w:space="0" w:color="auto"/>
            </w:tcBorders>
          </w:tcPr>
          <w:p w14:paraId="22AA7942" w14:textId="77777777" w:rsidR="00E61562" w:rsidRPr="0030308C" w:rsidRDefault="00E61562" w:rsidP="000E0C52">
            <w:pPr>
              <w:rPr>
                <w:rFonts w:ascii="Arial" w:hAnsi="Arial" w:cs="Arial"/>
                <w:color w:val="000000" w:themeColor="text1"/>
                <w:sz w:val="20"/>
                <w:szCs w:val="20"/>
              </w:rPr>
            </w:pPr>
          </w:p>
        </w:tc>
      </w:tr>
      <w:tr w:rsidR="00E61562" w:rsidRPr="0030308C" w14:paraId="2A0E8F8A" w14:textId="77777777" w:rsidTr="000E0C52">
        <w:trPr>
          <w:jc w:val="center"/>
        </w:trPr>
        <w:tc>
          <w:tcPr>
            <w:tcW w:w="4573" w:type="dxa"/>
          </w:tcPr>
          <w:p w14:paraId="26B19267"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treatment visits</w:t>
            </w:r>
          </w:p>
        </w:tc>
        <w:tc>
          <w:tcPr>
            <w:tcW w:w="4455" w:type="dxa"/>
          </w:tcPr>
          <w:p w14:paraId="054A3225" w14:textId="77777777" w:rsidR="00E61562" w:rsidRPr="0030308C" w:rsidRDefault="00E61562" w:rsidP="000E0C52">
            <w:pPr>
              <w:rPr>
                <w:rFonts w:ascii="Arial" w:hAnsi="Arial" w:cs="Arial"/>
                <w:color w:val="000000" w:themeColor="text1"/>
                <w:sz w:val="20"/>
                <w:szCs w:val="20"/>
              </w:rPr>
            </w:pPr>
          </w:p>
        </w:tc>
        <w:tc>
          <w:tcPr>
            <w:tcW w:w="1172" w:type="dxa"/>
          </w:tcPr>
          <w:p w14:paraId="0A726151"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2</w:t>
            </w:r>
          </w:p>
        </w:tc>
        <w:tc>
          <w:tcPr>
            <w:tcW w:w="1418" w:type="dxa"/>
          </w:tcPr>
          <w:p w14:paraId="610C0E2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0.2</w:t>
            </w:r>
          </w:p>
        </w:tc>
        <w:tc>
          <w:tcPr>
            <w:tcW w:w="1339" w:type="dxa"/>
          </w:tcPr>
          <w:p w14:paraId="2688707C"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2637" w:type="dxa"/>
          </w:tcPr>
          <w:p w14:paraId="5B5013A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Expert opinion</w:t>
            </w:r>
          </w:p>
        </w:tc>
      </w:tr>
      <w:tr w:rsidR="00E61562" w:rsidRPr="0030308C" w14:paraId="68FCF362" w14:textId="77777777" w:rsidTr="000E0C52">
        <w:trPr>
          <w:jc w:val="center"/>
        </w:trPr>
        <w:tc>
          <w:tcPr>
            <w:tcW w:w="4573" w:type="dxa"/>
          </w:tcPr>
          <w:p w14:paraId="0BA5588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Cost of treatment</w:t>
            </w:r>
          </w:p>
        </w:tc>
        <w:tc>
          <w:tcPr>
            <w:tcW w:w="4455" w:type="dxa"/>
          </w:tcPr>
          <w:p w14:paraId="61412F9E"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DRG 42O with a DRG weight of 0.297.</w:t>
            </w:r>
          </w:p>
        </w:tc>
        <w:tc>
          <w:tcPr>
            <w:tcW w:w="1172" w:type="dxa"/>
          </w:tcPr>
          <w:p w14:paraId="1CCCA9AD"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w:t>
            </w:r>
            <w:r>
              <w:rPr>
                <w:rFonts w:ascii="Arial" w:hAnsi="Arial" w:cs="Arial"/>
                <w:color w:val="000000" w:themeColor="text1"/>
                <w:sz w:val="20"/>
                <w:szCs w:val="20"/>
              </w:rPr>
              <w:t xml:space="preserve"> </w:t>
            </w:r>
            <w:r w:rsidRPr="0030308C">
              <w:rPr>
                <w:rFonts w:ascii="Arial" w:hAnsi="Arial" w:cs="Arial"/>
                <w:color w:val="000000" w:themeColor="text1"/>
                <w:sz w:val="20"/>
                <w:szCs w:val="20"/>
              </w:rPr>
              <w:t>45</w:t>
            </w:r>
            <w:r>
              <w:rPr>
                <w:rFonts w:ascii="Arial" w:hAnsi="Arial" w:cs="Arial"/>
                <w:color w:val="000000" w:themeColor="text1"/>
                <w:sz w:val="20"/>
                <w:szCs w:val="20"/>
              </w:rPr>
              <w:t>8</w:t>
            </w:r>
          </w:p>
        </w:tc>
        <w:tc>
          <w:tcPr>
            <w:tcW w:w="1418" w:type="dxa"/>
          </w:tcPr>
          <w:p w14:paraId="72960D30" w14:textId="77777777" w:rsidR="00E61562" w:rsidRPr="0030308C" w:rsidRDefault="00E61562" w:rsidP="000E0C52">
            <w:pPr>
              <w:rPr>
                <w:rFonts w:ascii="Arial" w:hAnsi="Arial" w:cs="Arial"/>
                <w:color w:val="000000" w:themeColor="text1"/>
                <w:sz w:val="20"/>
                <w:szCs w:val="20"/>
              </w:rPr>
            </w:pPr>
          </w:p>
        </w:tc>
        <w:tc>
          <w:tcPr>
            <w:tcW w:w="1339" w:type="dxa"/>
          </w:tcPr>
          <w:p w14:paraId="0184E540" w14:textId="77777777" w:rsidR="00E61562" w:rsidRPr="0030308C" w:rsidRDefault="00E61562" w:rsidP="000E0C52">
            <w:pPr>
              <w:rPr>
                <w:rFonts w:ascii="Arial" w:hAnsi="Arial" w:cs="Arial"/>
                <w:color w:val="000000" w:themeColor="text1"/>
                <w:sz w:val="20"/>
                <w:szCs w:val="20"/>
              </w:rPr>
            </w:pPr>
          </w:p>
        </w:tc>
        <w:tc>
          <w:tcPr>
            <w:tcW w:w="2637" w:type="dxa"/>
          </w:tcPr>
          <w:p w14:paraId="625B70A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{"citationID":"LzpuMytk","properties":{"formattedCitation":"(10)","plainCitation":"(10)","noteIndex":0},"citationItems":[{"id":1216,"uris":["http://zotero.org/users/local/qnIpXHeo/items/5SCRLPR4"],"itemData":{"id":1216,"type":"dataset","title":"ISF-regelverk 2024: DRG masterliste and Innsatsstyrt finansiering 2024","author":[{"family":"Helsedirektoratet","given":""}],"issued":{"date-parts":[["2023",12]]}}}],"schema":"https://github.com/citation-style-language/schema/raw/master/csl-citation.json"}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(10)</w:t>
            </w:r>
            <w:r w:rsidRPr="0030308C">
              <w:rPr>
                <w:rFonts w:ascii="Arial" w:hAnsi="Arial" w:cs="Arial"/>
                <w:color w:val="000000" w:themeColor="text1"/>
                <w:sz w:val="20"/>
                <w:szCs w:val="20"/>
              </w:rPr>
              <w:fldChar w:fldCharType="end"/>
            </w:r>
          </w:p>
        </w:tc>
      </w:tr>
      <w:tr w:rsidR="00E61562" w:rsidRPr="0030308C" w14:paraId="7D5481F3" w14:textId="77777777" w:rsidTr="000E0C52">
        <w:trPr>
          <w:jc w:val="center"/>
        </w:trPr>
        <w:tc>
          <w:tcPr>
            <w:tcW w:w="4573" w:type="dxa"/>
            <w:tcBorders>
              <w:bottom w:val="single" w:sz="4" w:space="0" w:color="auto"/>
            </w:tcBorders>
          </w:tcPr>
          <w:p w14:paraId="4B11D78F"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ophthalmologist visits</w:t>
            </w:r>
          </w:p>
        </w:tc>
        <w:tc>
          <w:tcPr>
            <w:tcW w:w="4455" w:type="dxa"/>
            <w:tcBorders>
              <w:bottom w:val="single" w:sz="4" w:space="0" w:color="auto"/>
            </w:tcBorders>
          </w:tcPr>
          <w:p w14:paraId="06876471"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Monitoring visits.</w:t>
            </w:r>
          </w:p>
        </w:tc>
        <w:tc>
          <w:tcPr>
            <w:tcW w:w="1172" w:type="dxa"/>
            <w:tcBorders>
              <w:bottom w:val="single" w:sz="4" w:space="0" w:color="auto"/>
            </w:tcBorders>
          </w:tcPr>
          <w:p w14:paraId="1324EE36"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2</w:t>
            </w:r>
          </w:p>
        </w:tc>
        <w:tc>
          <w:tcPr>
            <w:tcW w:w="1418" w:type="dxa"/>
            <w:tcBorders>
              <w:bottom w:val="single" w:sz="4" w:space="0" w:color="auto"/>
            </w:tcBorders>
          </w:tcPr>
          <w:p w14:paraId="0AD35913"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0.2</w:t>
            </w:r>
          </w:p>
        </w:tc>
        <w:tc>
          <w:tcPr>
            <w:tcW w:w="1339" w:type="dxa"/>
            <w:tcBorders>
              <w:bottom w:val="single" w:sz="4" w:space="0" w:color="auto"/>
            </w:tcBorders>
          </w:tcPr>
          <w:p w14:paraId="690CDE01"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2637" w:type="dxa"/>
            <w:tcBorders>
              <w:bottom w:val="single" w:sz="4" w:space="0" w:color="auto"/>
            </w:tcBorders>
          </w:tcPr>
          <w:p w14:paraId="2DADBDB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Expert opinion</w:t>
            </w:r>
          </w:p>
        </w:tc>
      </w:tr>
      <w:tr w:rsidR="00E61562" w:rsidRPr="0030308C" w14:paraId="6AE84AA0" w14:textId="77777777" w:rsidTr="000E0C52">
        <w:trPr>
          <w:jc w:val="center"/>
        </w:trPr>
        <w:tc>
          <w:tcPr>
            <w:tcW w:w="4573" w:type="dxa"/>
            <w:tcBorders>
              <w:top w:val="single" w:sz="4" w:space="0" w:color="auto"/>
            </w:tcBorders>
          </w:tcPr>
          <w:p w14:paraId="2E0A515F" w14:textId="77777777" w:rsidR="00E61562" w:rsidRPr="0030308C" w:rsidRDefault="00E61562" w:rsidP="000E0C52">
            <w:pPr>
              <w:rPr>
                <w:rFonts w:ascii="Arial" w:hAnsi="Arial" w:cs="Arial"/>
                <w:b/>
                <w:bCs/>
                <w:color w:val="000000" w:themeColor="text1"/>
                <w:sz w:val="20"/>
                <w:szCs w:val="20"/>
              </w:rPr>
            </w:pPr>
            <w:r w:rsidRPr="0030308C">
              <w:rPr>
                <w:rFonts w:ascii="Arial" w:hAnsi="Arial" w:cs="Arial"/>
                <w:b/>
                <w:bCs/>
                <w:color w:val="000000" w:themeColor="text1"/>
                <w:sz w:val="20"/>
                <w:szCs w:val="20"/>
              </w:rPr>
              <w:t>Endophthalmitis</w:t>
            </w:r>
          </w:p>
        </w:tc>
        <w:tc>
          <w:tcPr>
            <w:tcW w:w="4455" w:type="dxa"/>
            <w:tcBorders>
              <w:top w:val="single" w:sz="4" w:space="0" w:color="auto"/>
            </w:tcBorders>
          </w:tcPr>
          <w:p w14:paraId="5CE07A5C" w14:textId="77777777" w:rsidR="00E61562" w:rsidRPr="0030308C" w:rsidRDefault="00E61562" w:rsidP="000E0C52">
            <w:pPr>
              <w:rPr>
                <w:rFonts w:ascii="Arial" w:hAnsi="Arial" w:cs="Arial"/>
                <w:color w:val="000000" w:themeColor="text1"/>
                <w:sz w:val="20"/>
                <w:szCs w:val="20"/>
              </w:rPr>
            </w:pPr>
          </w:p>
        </w:tc>
        <w:tc>
          <w:tcPr>
            <w:tcW w:w="1172" w:type="dxa"/>
            <w:tcBorders>
              <w:top w:val="single" w:sz="4" w:space="0" w:color="auto"/>
            </w:tcBorders>
          </w:tcPr>
          <w:p w14:paraId="2AC2F4E3" w14:textId="77777777" w:rsidR="00E61562" w:rsidRPr="0030308C" w:rsidRDefault="00E61562" w:rsidP="000E0C52">
            <w:pPr>
              <w:rPr>
                <w:rFonts w:ascii="Arial" w:hAnsi="Arial" w:cs="Arial"/>
                <w:color w:val="000000" w:themeColor="text1"/>
                <w:sz w:val="20"/>
                <w:szCs w:val="20"/>
              </w:rPr>
            </w:pPr>
          </w:p>
        </w:tc>
        <w:tc>
          <w:tcPr>
            <w:tcW w:w="1418" w:type="dxa"/>
            <w:tcBorders>
              <w:top w:val="single" w:sz="4" w:space="0" w:color="auto"/>
            </w:tcBorders>
          </w:tcPr>
          <w:p w14:paraId="14397DA9" w14:textId="77777777" w:rsidR="00E61562" w:rsidRPr="0030308C" w:rsidRDefault="00E61562" w:rsidP="000E0C52">
            <w:pPr>
              <w:rPr>
                <w:rFonts w:ascii="Arial" w:hAnsi="Arial" w:cs="Arial"/>
                <w:color w:val="000000" w:themeColor="text1"/>
                <w:sz w:val="20"/>
                <w:szCs w:val="20"/>
              </w:rPr>
            </w:pPr>
          </w:p>
        </w:tc>
        <w:tc>
          <w:tcPr>
            <w:tcW w:w="1339" w:type="dxa"/>
            <w:tcBorders>
              <w:top w:val="single" w:sz="4" w:space="0" w:color="auto"/>
            </w:tcBorders>
          </w:tcPr>
          <w:p w14:paraId="7C968406" w14:textId="77777777" w:rsidR="00E61562" w:rsidRPr="0030308C" w:rsidRDefault="00E61562" w:rsidP="000E0C52">
            <w:pPr>
              <w:rPr>
                <w:rFonts w:ascii="Arial" w:hAnsi="Arial" w:cs="Arial"/>
                <w:color w:val="000000" w:themeColor="text1"/>
                <w:sz w:val="20"/>
                <w:szCs w:val="20"/>
              </w:rPr>
            </w:pPr>
          </w:p>
        </w:tc>
        <w:tc>
          <w:tcPr>
            <w:tcW w:w="2637" w:type="dxa"/>
            <w:tcBorders>
              <w:top w:val="single" w:sz="4" w:space="0" w:color="auto"/>
            </w:tcBorders>
          </w:tcPr>
          <w:p w14:paraId="3553CCE5" w14:textId="77777777" w:rsidR="00E61562" w:rsidRPr="0030308C" w:rsidRDefault="00E61562" w:rsidP="000E0C52">
            <w:pPr>
              <w:rPr>
                <w:rFonts w:ascii="Arial" w:hAnsi="Arial" w:cs="Arial"/>
                <w:color w:val="000000" w:themeColor="text1"/>
                <w:sz w:val="20"/>
                <w:szCs w:val="20"/>
              </w:rPr>
            </w:pPr>
          </w:p>
        </w:tc>
      </w:tr>
      <w:tr w:rsidR="00E61562" w:rsidRPr="0030308C" w14:paraId="327ABCBE" w14:textId="77777777" w:rsidTr="000E0C52">
        <w:trPr>
          <w:jc w:val="center"/>
        </w:trPr>
        <w:tc>
          <w:tcPr>
            <w:tcW w:w="4573" w:type="dxa"/>
          </w:tcPr>
          <w:p w14:paraId="6C83C95E"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pars plana vitrectomy surgeries</w:t>
            </w:r>
          </w:p>
        </w:tc>
        <w:tc>
          <w:tcPr>
            <w:tcW w:w="4455" w:type="dxa"/>
          </w:tcPr>
          <w:p w14:paraId="16D114E9" w14:textId="77777777" w:rsidR="00E61562" w:rsidRPr="0030308C" w:rsidRDefault="00E61562" w:rsidP="000E0C52">
            <w:pPr>
              <w:rPr>
                <w:rFonts w:ascii="Arial" w:hAnsi="Arial" w:cs="Arial"/>
                <w:color w:val="000000" w:themeColor="text1"/>
                <w:sz w:val="20"/>
                <w:szCs w:val="20"/>
              </w:rPr>
            </w:pPr>
          </w:p>
        </w:tc>
        <w:tc>
          <w:tcPr>
            <w:tcW w:w="1172" w:type="dxa"/>
          </w:tcPr>
          <w:p w14:paraId="6E1BE890"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w:t>
            </w:r>
          </w:p>
        </w:tc>
        <w:tc>
          <w:tcPr>
            <w:tcW w:w="1418" w:type="dxa"/>
          </w:tcPr>
          <w:p w14:paraId="3FB5C5D0"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0.1</w:t>
            </w:r>
          </w:p>
        </w:tc>
        <w:tc>
          <w:tcPr>
            <w:tcW w:w="1339" w:type="dxa"/>
          </w:tcPr>
          <w:p w14:paraId="3B728CD0"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2637" w:type="dxa"/>
          </w:tcPr>
          <w:p w14:paraId="3490CFA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Expert opinion</w:t>
            </w:r>
          </w:p>
        </w:tc>
      </w:tr>
      <w:tr w:rsidR="00E61562" w:rsidRPr="0030308C" w14:paraId="0325B01F" w14:textId="77777777" w:rsidTr="000E0C52">
        <w:trPr>
          <w:jc w:val="center"/>
        </w:trPr>
        <w:tc>
          <w:tcPr>
            <w:tcW w:w="4573" w:type="dxa"/>
          </w:tcPr>
          <w:p w14:paraId="29A789A9"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Cost of pars plana vitrectomy surgery</w:t>
            </w:r>
          </w:p>
        </w:tc>
        <w:tc>
          <w:tcPr>
            <w:tcW w:w="4455" w:type="dxa"/>
          </w:tcPr>
          <w:p w14:paraId="1B58DA8F"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DRG 44 with a DRG weight of 1.297.</w:t>
            </w:r>
          </w:p>
        </w:tc>
        <w:tc>
          <w:tcPr>
            <w:tcW w:w="1172" w:type="dxa"/>
          </w:tcPr>
          <w:p w14:paraId="3AC56256"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6</w:t>
            </w:r>
            <w:r>
              <w:rPr>
                <w:rFonts w:ascii="Arial" w:hAnsi="Arial" w:cs="Arial"/>
                <w:color w:val="000000" w:themeColor="text1"/>
                <w:sz w:val="20"/>
                <w:szCs w:val="20"/>
              </w:rPr>
              <w:t xml:space="preserve"> </w:t>
            </w:r>
            <w:r w:rsidRPr="0030308C">
              <w:rPr>
                <w:rFonts w:ascii="Arial" w:hAnsi="Arial" w:cs="Arial"/>
                <w:color w:val="000000" w:themeColor="text1"/>
                <w:sz w:val="20"/>
                <w:szCs w:val="20"/>
              </w:rPr>
              <w:t>36</w:t>
            </w:r>
            <w:r>
              <w:rPr>
                <w:rFonts w:ascii="Arial" w:hAnsi="Arial" w:cs="Arial"/>
                <w:color w:val="000000" w:themeColor="text1"/>
                <w:sz w:val="20"/>
                <w:szCs w:val="20"/>
              </w:rPr>
              <w:t>6</w:t>
            </w:r>
          </w:p>
        </w:tc>
        <w:tc>
          <w:tcPr>
            <w:tcW w:w="1418" w:type="dxa"/>
          </w:tcPr>
          <w:p w14:paraId="415A5489" w14:textId="77777777" w:rsidR="00E61562" w:rsidRPr="0030308C" w:rsidRDefault="00E61562" w:rsidP="000E0C52">
            <w:pPr>
              <w:rPr>
                <w:rFonts w:ascii="Arial" w:hAnsi="Arial" w:cs="Arial"/>
                <w:color w:val="000000" w:themeColor="text1"/>
                <w:sz w:val="20"/>
                <w:szCs w:val="20"/>
              </w:rPr>
            </w:pPr>
          </w:p>
        </w:tc>
        <w:tc>
          <w:tcPr>
            <w:tcW w:w="1339" w:type="dxa"/>
          </w:tcPr>
          <w:p w14:paraId="4169D6B3" w14:textId="77777777" w:rsidR="00E61562" w:rsidRPr="0030308C" w:rsidRDefault="00E61562" w:rsidP="000E0C52">
            <w:pPr>
              <w:rPr>
                <w:rFonts w:ascii="Arial" w:hAnsi="Arial" w:cs="Arial"/>
                <w:color w:val="000000" w:themeColor="text1"/>
                <w:sz w:val="20"/>
                <w:szCs w:val="20"/>
              </w:rPr>
            </w:pPr>
          </w:p>
        </w:tc>
        <w:tc>
          <w:tcPr>
            <w:tcW w:w="2637" w:type="dxa"/>
          </w:tcPr>
          <w:p w14:paraId="145E5D1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{"citationID":"bKRlnkkU","properties":{"formattedCitation":"(10)","plainCitation":"(10)","noteIndex":0},"citationItems":[{"id":1216,"uris":["http://zotero.org/users/local/qnIpXHeo/items/5SCRLPR4"],"itemData":{"id":1216,"type":"dataset","title":"ISF-regelverk 2024: DRG masterliste and Innsatsstyrt finansiering 2024","author":[{"family":"Helsedirektoratet","given":""}],"issued":{"date-parts":[["2023",12]]}}}],"schema":"https://github.com/citation-style-language/schema/raw/master/csl-citation.json"}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(10)</w:t>
            </w:r>
            <w:r w:rsidRPr="0030308C">
              <w:rPr>
                <w:rFonts w:ascii="Arial" w:hAnsi="Arial" w:cs="Arial"/>
                <w:color w:val="000000" w:themeColor="text1"/>
                <w:sz w:val="20"/>
                <w:szCs w:val="20"/>
              </w:rPr>
              <w:fldChar w:fldCharType="end"/>
            </w:r>
          </w:p>
        </w:tc>
      </w:tr>
      <w:tr w:rsidR="00E61562" w:rsidRPr="0030308C" w14:paraId="60E26585" w14:textId="77777777" w:rsidTr="000E0C52">
        <w:trPr>
          <w:jc w:val="center"/>
        </w:trPr>
        <w:tc>
          <w:tcPr>
            <w:tcW w:w="4573" w:type="dxa"/>
          </w:tcPr>
          <w:p w14:paraId="57E23F4C"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Cost of vancomycin</w:t>
            </w:r>
          </w:p>
        </w:tc>
        <w:tc>
          <w:tcPr>
            <w:tcW w:w="4455" w:type="dxa"/>
          </w:tcPr>
          <w:p w14:paraId="1DA31CA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Cost of vancomycin is 82.66 $ divided by 10 due to vial splitting.</w:t>
            </w:r>
          </w:p>
        </w:tc>
        <w:tc>
          <w:tcPr>
            <w:tcW w:w="1172" w:type="dxa"/>
          </w:tcPr>
          <w:p w14:paraId="158E2B0D"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8</w:t>
            </w:r>
          </w:p>
        </w:tc>
        <w:tc>
          <w:tcPr>
            <w:tcW w:w="1418" w:type="dxa"/>
          </w:tcPr>
          <w:p w14:paraId="0A164E0B" w14:textId="77777777" w:rsidR="00E61562" w:rsidRPr="0030308C" w:rsidRDefault="00E61562" w:rsidP="000E0C52">
            <w:pPr>
              <w:rPr>
                <w:rFonts w:ascii="Arial" w:hAnsi="Arial" w:cs="Arial"/>
                <w:color w:val="000000" w:themeColor="text1"/>
                <w:sz w:val="20"/>
                <w:szCs w:val="20"/>
              </w:rPr>
            </w:pPr>
          </w:p>
        </w:tc>
        <w:tc>
          <w:tcPr>
            <w:tcW w:w="1339" w:type="dxa"/>
          </w:tcPr>
          <w:p w14:paraId="14BCB7F1" w14:textId="77777777" w:rsidR="00E61562" w:rsidRPr="0030308C" w:rsidRDefault="00E61562" w:rsidP="000E0C52">
            <w:pPr>
              <w:rPr>
                <w:rFonts w:ascii="Arial" w:hAnsi="Arial" w:cs="Arial"/>
                <w:color w:val="000000" w:themeColor="text1"/>
                <w:sz w:val="20"/>
                <w:szCs w:val="20"/>
              </w:rPr>
            </w:pPr>
          </w:p>
        </w:tc>
        <w:tc>
          <w:tcPr>
            <w:tcW w:w="2637" w:type="dxa"/>
          </w:tcPr>
          <w:p w14:paraId="26E95804"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 xml:space="preserve">Expert opinion and </w:t>
            </w: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{"citationID":"a18ijnv0uff","properties":{"formattedCitation":"(11)","plainCitation":"(11)","noteIndex":0},"citationItems":[{"id":1214,"uris":["http://zotero.org/users/local/qnIpXHeo/items/IJQZRIQP"],"itemData":{"id":1214,"type":"dataset","number":"Directoratet for Medisinske Producter","title":"Legemidelpriser","URL":"https://www.legemiddelsok.no","author":[{"family":"Norwegian Medical Product Agency","given":""}]}}],"schema":"https://github.com/citation-style-language/schema/raw/master/csl-citation.json"}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(11)</w:t>
            </w:r>
            <w:r w:rsidRPr="0030308C">
              <w:rPr>
                <w:rFonts w:ascii="Arial" w:hAnsi="Arial" w:cs="Arial"/>
                <w:color w:val="000000" w:themeColor="text1"/>
                <w:sz w:val="20"/>
                <w:szCs w:val="20"/>
              </w:rPr>
              <w:fldChar w:fldCharType="end"/>
            </w:r>
          </w:p>
        </w:tc>
      </w:tr>
      <w:tr w:rsidR="00E61562" w:rsidRPr="0030308C" w14:paraId="406AFC5A" w14:textId="77777777" w:rsidTr="000E0C52">
        <w:trPr>
          <w:jc w:val="center"/>
        </w:trPr>
        <w:tc>
          <w:tcPr>
            <w:tcW w:w="4573" w:type="dxa"/>
          </w:tcPr>
          <w:p w14:paraId="685D97E0"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 xml:space="preserve">Cost of </w:t>
            </w:r>
            <w:proofErr w:type="spellStart"/>
            <w:r w:rsidRPr="0030308C">
              <w:rPr>
                <w:rFonts w:ascii="Arial" w:hAnsi="Arial" w:cs="Arial"/>
                <w:color w:val="000000" w:themeColor="text1"/>
                <w:sz w:val="20"/>
                <w:szCs w:val="20"/>
              </w:rPr>
              <w:t>ceftazidim</w:t>
            </w:r>
            <w:proofErr w:type="spellEnd"/>
          </w:p>
        </w:tc>
        <w:tc>
          <w:tcPr>
            <w:tcW w:w="4455" w:type="dxa"/>
          </w:tcPr>
          <w:p w14:paraId="6998502D"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 xml:space="preserve">Cost of </w:t>
            </w:r>
            <w:proofErr w:type="spellStart"/>
            <w:r w:rsidRPr="0030308C">
              <w:rPr>
                <w:rFonts w:ascii="Arial" w:hAnsi="Arial" w:cs="Arial"/>
                <w:color w:val="000000" w:themeColor="text1"/>
                <w:sz w:val="20"/>
                <w:szCs w:val="20"/>
              </w:rPr>
              <w:t>ceftazidim</w:t>
            </w:r>
            <w:proofErr w:type="spellEnd"/>
            <w:r w:rsidRPr="0030308C">
              <w:rPr>
                <w:rFonts w:ascii="Arial" w:hAnsi="Arial" w:cs="Arial"/>
                <w:color w:val="000000" w:themeColor="text1"/>
                <w:sz w:val="20"/>
                <w:szCs w:val="20"/>
              </w:rPr>
              <w:t xml:space="preserve"> is 27.95 $ divided by 10 due to vial splitting.</w:t>
            </w:r>
          </w:p>
        </w:tc>
        <w:tc>
          <w:tcPr>
            <w:tcW w:w="1172" w:type="dxa"/>
          </w:tcPr>
          <w:p w14:paraId="1348CC74" w14:textId="77777777" w:rsidR="00E61562" w:rsidRPr="0030308C" w:rsidRDefault="00E61562" w:rsidP="000E0C52">
            <w:pPr>
              <w:rPr>
                <w:rFonts w:ascii="Arial" w:hAnsi="Arial" w:cs="Arial"/>
                <w:color w:val="000000" w:themeColor="text1"/>
                <w:sz w:val="20"/>
                <w:szCs w:val="20"/>
              </w:rPr>
            </w:pPr>
            <w:r>
              <w:rPr>
                <w:rFonts w:ascii="Arial" w:hAnsi="Arial" w:cs="Arial"/>
                <w:color w:val="000000" w:themeColor="text1"/>
                <w:sz w:val="20"/>
                <w:szCs w:val="20"/>
              </w:rPr>
              <w:t>3</w:t>
            </w:r>
          </w:p>
        </w:tc>
        <w:tc>
          <w:tcPr>
            <w:tcW w:w="1418" w:type="dxa"/>
          </w:tcPr>
          <w:p w14:paraId="6AD84C83" w14:textId="77777777" w:rsidR="00E61562" w:rsidRPr="0030308C" w:rsidRDefault="00E61562" w:rsidP="000E0C52">
            <w:pPr>
              <w:rPr>
                <w:rFonts w:ascii="Arial" w:hAnsi="Arial" w:cs="Arial"/>
                <w:color w:val="000000" w:themeColor="text1"/>
                <w:sz w:val="20"/>
                <w:szCs w:val="20"/>
              </w:rPr>
            </w:pPr>
          </w:p>
        </w:tc>
        <w:tc>
          <w:tcPr>
            <w:tcW w:w="1339" w:type="dxa"/>
          </w:tcPr>
          <w:p w14:paraId="06FC3DA5" w14:textId="77777777" w:rsidR="00E61562" w:rsidRPr="0030308C" w:rsidRDefault="00E61562" w:rsidP="000E0C52">
            <w:pPr>
              <w:rPr>
                <w:rFonts w:ascii="Arial" w:hAnsi="Arial" w:cs="Arial"/>
                <w:color w:val="000000" w:themeColor="text1"/>
                <w:sz w:val="20"/>
                <w:szCs w:val="20"/>
              </w:rPr>
            </w:pPr>
          </w:p>
        </w:tc>
        <w:tc>
          <w:tcPr>
            <w:tcW w:w="2637" w:type="dxa"/>
          </w:tcPr>
          <w:p w14:paraId="15D5A6C1"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 xml:space="preserve">Expert opinion and </w:t>
            </w: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{"citationID":"a1jeoaognvh","properties":{"formattedCitation":"(11)","plainCitation":"(11)","noteIndex":0},"citationItems":[{"id":1214,"uris":["http://zotero.org/users/local/qnIpXHeo/items/IJQZRIQP"],"itemData":{"id":1214,"type":"dataset","number":"Directoratet for Medisinske Producter","title":"Legemidelpriser","URL":"https://www.legemiddelsok.no","author":[{"family":"Norwegian Medical Product Agency","given":""}]}}],"schema":"https://github.com/citation-style-language/schema/raw/master/csl-citation.json"}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(11)</w:t>
            </w:r>
            <w:r w:rsidRPr="0030308C">
              <w:rPr>
                <w:rFonts w:ascii="Arial" w:hAnsi="Arial" w:cs="Arial"/>
                <w:color w:val="000000" w:themeColor="text1"/>
                <w:sz w:val="20"/>
                <w:szCs w:val="20"/>
              </w:rPr>
              <w:fldChar w:fldCharType="end"/>
            </w:r>
          </w:p>
        </w:tc>
      </w:tr>
      <w:tr w:rsidR="00E61562" w:rsidRPr="0030308C" w14:paraId="62E3A5D8" w14:textId="77777777" w:rsidTr="000E0C52">
        <w:trPr>
          <w:jc w:val="center"/>
        </w:trPr>
        <w:tc>
          <w:tcPr>
            <w:tcW w:w="4573" w:type="dxa"/>
          </w:tcPr>
          <w:p w14:paraId="635FD20C"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Cost of intravitreal injections (IVI) with antibiotics</w:t>
            </w:r>
          </w:p>
        </w:tc>
        <w:tc>
          <w:tcPr>
            <w:tcW w:w="4455" w:type="dxa"/>
          </w:tcPr>
          <w:p w14:paraId="6E0A0FE4"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Cost of doing intravitreal injections (IVI) with the antibiotics. DRG 802U with a DRG weight of 0.068.</w:t>
            </w:r>
          </w:p>
        </w:tc>
        <w:tc>
          <w:tcPr>
            <w:tcW w:w="1172" w:type="dxa"/>
          </w:tcPr>
          <w:p w14:paraId="13108F7F"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33</w:t>
            </w:r>
            <w:r>
              <w:rPr>
                <w:rFonts w:ascii="Arial" w:hAnsi="Arial" w:cs="Arial"/>
                <w:color w:val="000000" w:themeColor="text1"/>
                <w:sz w:val="20"/>
                <w:szCs w:val="20"/>
              </w:rPr>
              <w:t>4</w:t>
            </w:r>
          </w:p>
        </w:tc>
        <w:tc>
          <w:tcPr>
            <w:tcW w:w="1418" w:type="dxa"/>
          </w:tcPr>
          <w:p w14:paraId="7D5DC3BD" w14:textId="77777777" w:rsidR="00E61562" w:rsidRPr="0030308C" w:rsidRDefault="00E61562" w:rsidP="000E0C52">
            <w:pPr>
              <w:rPr>
                <w:rFonts w:ascii="Arial" w:hAnsi="Arial" w:cs="Arial"/>
                <w:color w:val="000000" w:themeColor="text1"/>
                <w:sz w:val="20"/>
                <w:szCs w:val="20"/>
              </w:rPr>
            </w:pPr>
          </w:p>
        </w:tc>
        <w:tc>
          <w:tcPr>
            <w:tcW w:w="1339" w:type="dxa"/>
          </w:tcPr>
          <w:p w14:paraId="112B2A3E" w14:textId="77777777" w:rsidR="00E61562" w:rsidRPr="0030308C" w:rsidRDefault="00E61562" w:rsidP="000E0C52">
            <w:pPr>
              <w:rPr>
                <w:rFonts w:ascii="Arial" w:hAnsi="Arial" w:cs="Arial"/>
                <w:color w:val="000000" w:themeColor="text1"/>
                <w:sz w:val="20"/>
                <w:szCs w:val="20"/>
              </w:rPr>
            </w:pPr>
          </w:p>
        </w:tc>
        <w:tc>
          <w:tcPr>
            <w:tcW w:w="2637" w:type="dxa"/>
          </w:tcPr>
          <w:p w14:paraId="40003450"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{"citationID":"AYBRlMj0","properties":{"formattedCitation":"(10)","plainCitation":"(10)","noteIndex":0},"citationItems":[{"id":1216,"uris":["http://zotero.org/users/local/qnIpXHeo/items/5SCRLPR4"],"itemData":{"id":1216,"type":"dataset","title":"ISF-regelverk 2024: DRG masterliste and Innsatsstyrt finansiering 2024","author":[{"family":"Helsedirektoratet","given":""}],"issued":{"date-parts":[["2023",12]]}}}],"schema":"https://github.com/citation-style-language/schema/raw/master/csl-citation.json"}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(10)</w:t>
            </w:r>
            <w:r w:rsidRPr="0030308C">
              <w:rPr>
                <w:rFonts w:ascii="Arial" w:hAnsi="Arial" w:cs="Arial"/>
                <w:color w:val="000000" w:themeColor="text1"/>
                <w:sz w:val="20"/>
                <w:szCs w:val="20"/>
              </w:rPr>
              <w:fldChar w:fldCharType="end"/>
            </w:r>
          </w:p>
        </w:tc>
      </w:tr>
      <w:tr w:rsidR="00E61562" w:rsidRPr="0030308C" w14:paraId="4B96FBF6" w14:textId="77777777" w:rsidTr="000E0C52">
        <w:trPr>
          <w:jc w:val="center"/>
        </w:trPr>
        <w:tc>
          <w:tcPr>
            <w:tcW w:w="4573" w:type="dxa"/>
            <w:tcBorders>
              <w:bottom w:val="single" w:sz="4" w:space="0" w:color="auto"/>
            </w:tcBorders>
          </w:tcPr>
          <w:p w14:paraId="525E45EE"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ophthalmologist visits</w:t>
            </w:r>
          </w:p>
        </w:tc>
        <w:tc>
          <w:tcPr>
            <w:tcW w:w="4455" w:type="dxa"/>
            <w:tcBorders>
              <w:bottom w:val="single" w:sz="4" w:space="0" w:color="auto"/>
            </w:tcBorders>
          </w:tcPr>
          <w:p w14:paraId="05AD9BF9"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Monitoring visits.</w:t>
            </w:r>
          </w:p>
        </w:tc>
        <w:tc>
          <w:tcPr>
            <w:tcW w:w="1172" w:type="dxa"/>
            <w:tcBorders>
              <w:bottom w:val="single" w:sz="4" w:space="0" w:color="auto"/>
            </w:tcBorders>
          </w:tcPr>
          <w:p w14:paraId="7045512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5</w:t>
            </w:r>
          </w:p>
        </w:tc>
        <w:tc>
          <w:tcPr>
            <w:tcW w:w="1418" w:type="dxa"/>
            <w:tcBorders>
              <w:bottom w:val="single" w:sz="4" w:space="0" w:color="auto"/>
            </w:tcBorders>
          </w:tcPr>
          <w:p w14:paraId="2E466F9A"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0.5</w:t>
            </w:r>
          </w:p>
        </w:tc>
        <w:tc>
          <w:tcPr>
            <w:tcW w:w="1339" w:type="dxa"/>
            <w:tcBorders>
              <w:bottom w:val="single" w:sz="4" w:space="0" w:color="auto"/>
            </w:tcBorders>
          </w:tcPr>
          <w:p w14:paraId="5F343026"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2637" w:type="dxa"/>
            <w:tcBorders>
              <w:bottom w:val="single" w:sz="4" w:space="0" w:color="auto"/>
            </w:tcBorders>
          </w:tcPr>
          <w:p w14:paraId="70280D66"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Expert opinion.</w:t>
            </w:r>
          </w:p>
        </w:tc>
      </w:tr>
      <w:tr w:rsidR="00E61562" w:rsidRPr="0030308C" w14:paraId="37420DA3" w14:textId="77777777" w:rsidTr="000E0C52">
        <w:trPr>
          <w:jc w:val="center"/>
        </w:trPr>
        <w:tc>
          <w:tcPr>
            <w:tcW w:w="4573" w:type="dxa"/>
            <w:tcBorders>
              <w:top w:val="single" w:sz="4" w:space="0" w:color="auto"/>
            </w:tcBorders>
          </w:tcPr>
          <w:p w14:paraId="7A4CFA95" w14:textId="77777777" w:rsidR="00E61562" w:rsidRPr="0030308C" w:rsidRDefault="00E61562" w:rsidP="000E0C52">
            <w:pPr>
              <w:rPr>
                <w:rFonts w:ascii="Arial" w:hAnsi="Arial" w:cs="Arial"/>
                <w:b/>
                <w:bCs/>
                <w:color w:val="000000" w:themeColor="text1"/>
                <w:sz w:val="20"/>
                <w:szCs w:val="20"/>
              </w:rPr>
            </w:pPr>
            <w:r w:rsidRPr="0030308C">
              <w:rPr>
                <w:rFonts w:ascii="Arial" w:hAnsi="Arial" w:cs="Arial"/>
                <w:b/>
                <w:bCs/>
                <w:color w:val="000000" w:themeColor="text1"/>
                <w:sz w:val="20"/>
                <w:szCs w:val="20"/>
              </w:rPr>
              <w:t>Retinal detachment (Rhegmatogenous)</w:t>
            </w:r>
          </w:p>
        </w:tc>
        <w:tc>
          <w:tcPr>
            <w:tcW w:w="4455" w:type="dxa"/>
            <w:tcBorders>
              <w:top w:val="single" w:sz="4" w:space="0" w:color="auto"/>
            </w:tcBorders>
          </w:tcPr>
          <w:p w14:paraId="76362DBF" w14:textId="77777777" w:rsidR="00E61562" w:rsidRPr="0030308C" w:rsidRDefault="00E61562" w:rsidP="000E0C52">
            <w:pPr>
              <w:rPr>
                <w:rFonts w:ascii="Arial" w:hAnsi="Arial" w:cs="Arial"/>
                <w:color w:val="000000" w:themeColor="text1"/>
                <w:sz w:val="20"/>
                <w:szCs w:val="20"/>
              </w:rPr>
            </w:pPr>
          </w:p>
        </w:tc>
        <w:tc>
          <w:tcPr>
            <w:tcW w:w="1172" w:type="dxa"/>
            <w:tcBorders>
              <w:top w:val="single" w:sz="4" w:space="0" w:color="auto"/>
            </w:tcBorders>
          </w:tcPr>
          <w:p w14:paraId="1785EFC0" w14:textId="77777777" w:rsidR="00E61562" w:rsidRPr="0030308C" w:rsidRDefault="00E61562" w:rsidP="000E0C52">
            <w:pPr>
              <w:rPr>
                <w:rFonts w:ascii="Arial" w:hAnsi="Arial" w:cs="Arial"/>
                <w:color w:val="000000" w:themeColor="text1"/>
                <w:sz w:val="20"/>
                <w:szCs w:val="20"/>
              </w:rPr>
            </w:pPr>
          </w:p>
        </w:tc>
        <w:tc>
          <w:tcPr>
            <w:tcW w:w="1418" w:type="dxa"/>
            <w:tcBorders>
              <w:top w:val="single" w:sz="4" w:space="0" w:color="auto"/>
            </w:tcBorders>
          </w:tcPr>
          <w:p w14:paraId="084B59DE" w14:textId="77777777" w:rsidR="00E61562" w:rsidRPr="0030308C" w:rsidRDefault="00E61562" w:rsidP="000E0C52">
            <w:pPr>
              <w:rPr>
                <w:rFonts w:ascii="Arial" w:hAnsi="Arial" w:cs="Arial"/>
                <w:color w:val="000000" w:themeColor="text1"/>
                <w:sz w:val="20"/>
                <w:szCs w:val="20"/>
              </w:rPr>
            </w:pPr>
          </w:p>
        </w:tc>
        <w:tc>
          <w:tcPr>
            <w:tcW w:w="1339" w:type="dxa"/>
            <w:tcBorders>
              <w:top w:val="single" w:sz="4" w:space="0" w:color="auto"/>
            </w:tcBorders>
          </w:tcPr>
          <w:p w14:paraId="4DC34734" w14:textId="77777777" w:rsidR="00E61562" w:rsidRPr="0030308C" w:rsidRDefault="00E61562" w:rsidP="000E0C52">
            <w:pPr>
              <w:rPr>
                <w:rFonts w:ascii="Arial" w:hAnsi="Arial" w:cs="Arial"/>
                <w:color w:val="000000" w:themeColor="text1"/>
                <w:sz w:val="20"/>
                <w:szCs w:val="20"/>
              </w:rPr>
            </w:pPr>
          </w:p>
        </w:tc>
        <w:tc>
          <w:tcPr>
            <w:tcW w:w="2637" w:type="dxa"/>
            <w:tcBorders>
              <w:top w:val="single" w:sz="4" w:space="0" w:color="auto"/>
            </w:tcBorders>
          </w:tcPr>
          <w:p w14:paraId="578F8083" w14:textId="77777777" w:rsidR="00E61562" w:rsidRPr="0030308C" w:rsidRDefault="00E61562" w:rsidP="000E0C52">
            <w:pPr>
              <w:rPr>
                <w:rFonts w:ascii="Arial" w:hAnsi="Arial" w:cs="Arial"/>
                <w:color w:val="000000" w:themeColor="text1"/>
                <w:sz w:val="20"/>
                <w:szCs w:val="20"/>
              </w:rPr>
            </w:pPr>
          </w:p>
        </w:tc>
      </w:tr>
      <w:tr w:rsidR="00E61562" w:rsidRPr="0030308C" w14:paraId="53D1E3BE" w14:textId="77777777" w:rsidTr="000E0C52">
        <w:trPr>
          <w:jc w:val="center"/>
        </w:trPr>
        <w:tc>
          <w:tcPr>
            <w:tcW w:w="4573" w:type="dxa"/>
          </w:tcPr>
          <w:p w14:paraId="7C11FD34"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surgeries</w:t>
            </w:r>
          </w:p>
        </w:tc>
        <w:tc>
          <w:tcPr>
            <w:tcW w:w="4455" w:type="dxa"/>
          </w:tcPr>
          <w:p w14:paraId="592BAFAC" w14:textId="77777777" w:rsidR="00E61562" w:rsidRPr="0030308C" w:rsidRDefault="00E61562" w:rsidP="000E0C52">
            <w:pPr>
              <w:rPr>
                <w:rFonts w:ascii="Arial" w:hAnsi="Arial" w:cs="Arial"/>
                <w:color w:val="000000" w:themeColor="text1"/>
                <w:sz w:val="20"/>
                <w:szCs w:val="20"/>
              </w:rPr>
            </w:pPr>
          </w:p>
        </w:tc>
        <w:tc>
          <w:tcPr>
            <w:tcW w:w="1172" w:type="dxa"/>
          </w:tcPr>
          <w:p w14:paraId="7BFF3604"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w:t>
            </w:r>
          </w:p>
        </w:tc>
        <w:tc>
          <w:tcPr>
            <w:tcW w:w="1418" w:type="dxa"/>
          </w:tcPr>
          <w:p w14:paraId="08C8442C"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0.10</w:t>
            </w:r>
          </w:p>
        </w:tc>
        <w:tc>
          <w:tcPr>
            <w:tcW w:w="1339" w:type="dxa"/>
          </w:tcPr>
          <w:p w14:paraId="05EC041C" w14:textId="77777777" w:rsidR="00E61562" w:rsidRPr="0030308C" w:rsidRDefault="00E61562" w:rsidP="000E0C52">
            <w:pPr>
              <w:rPr>
                <w:rFonts w:ascii="Arial" w:hAnsi="Arial" w:cs="Arial"/>
                <w:color w:val="000000" w:themeColor="text1"/>
                <w:sz w:val="20"/>
                <w:szCs w:val="20"/>
              </w:rPr>
            </w:pPr>
          </w:p>
        </w:tc>
        <w:tc>
          <w:tcPr>
            <w:tcW w:w="2637" w:type="dxa"/>
          </w:tcPr>
          <w:p w14:paraId="4A665B8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Expert opinion.</w:t>
            </w:r>
          </w:p>
        </w:tc>
      </w:tr>
      <w:tr w:rsidR="00E61562" w:rsidRPr="0030308C" w14:paraId="39D5A6D8" w14:textId="77777777" w:rsidTr="000E0C52">
        <w:trPr>
          <w:jc w:val="center"/>
        </w:trPr>
        <w:tc>
          <w:tcPr>
            <w:tcW w:w="4573" w:type="dxa"/>
          </w:tcPr>
          <w:p w14:paraId="361AD57A"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Cost of surgery</w:t>
            </w:r>
          </w:p>
        </w:tc>
        <w:tc>
          <w:tcPr>
            <w:tcW w:w="4455" w:type="dxa"/>
          </w:tcPr>
          <w:p w14:paraId="3E7C80E9"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DRG 36O with a DRG weight of 0.535.</w:t>
            </w:r>
          </w:p>
        </w:tc>
        <w:tc>
          <w:tcPr>
            <w:tcW w:w="1172" w:type="dxa"/>
          </w:tcPr>
          <w:p w14:paraId="496A517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27</w:t>
            </w:r>
            <w:r>
              <w:rPr>
                <w:rFonts w:ascii="Arial" w:hAnsi="Arial" w:cs="Arial"/>
                <w:color w:val="000000" w:themeColor="text1"/>
                <w:sz w:val="20"/>
                <w:szCs w:val="20"/>
              </w:rPr>
              <w:t xml:space="preserve"> </w:t>
            </w:r>
            <w:r w:rsidRPr="0030308C">
              <w:rPr>
                <w:rFonts w:ascii="Arial" w:hAnsi="Arial" w:cs="Arial"/>
                <w:color w:val="000000" w:themeColor="text1"/>
                <w:sz w:val="20"/>
                <w:szCs w:val="20"/>
              </w:rPr>
              <w:t>95</w:t>
            </w:r>
            <w:r>
              <w:rPr>
                <w:rFonts w:ascii="Arial" w:hAnsi="Arial" w:cs="Arial"/>
                <w:color w:val="000000" w:themeColor="text1"/>
                <w:sz w:val="20"/>
                <w:szCs w:val="20"/>
              </w:rPr>
              <w:t>3</w:t>
            </w:r>
          </w:p>
        </w:tc>
        <w:tc>
          <w:tcPr>
            <w:tcW w:w="1418" w:type="dxa"/>
          </w:tcPr>
          <w:p w14:paraId="0EC36459" w14:textId="77777777" w:rsidR="00E61562" w:rsidRPr="0030308C" w:rsidRDefault="00E61562" w:rsidP="000E0C52">
            <w:pPr>
              <w:rPr>
                <w:rFonts w:ascii="Arial" w:hAnsi="Arial" w:cs="Arial"/>
                <w:color w:val="000000" w:themeColor="text1"/>
                <w:sz w:val="20"/>
                <w:szCs w:val="20"/>
              </w:rPr>
            </w:pPr>
          </w:p>
        </w:tc>
        <w:tc>
          <w:tcPr>
            <w:tcW w:w="1339" w:type="dxa"/>
          </w:tcPr>
          <w:p w14:paraId="78ED6D51" w14:textId="77777777" w:rsidR="00E61562" w:rsidRPr="0030308C" w:rsidRDefault="00E61562" w:rsidP="000E0C52">
            <w:pPr>
              <w:rPr>
                <w:rFonts w:ascii="Arial" w:hAnsi="Arial" w:cs="Arial"/>
                <w:color w:val="000000" w:themeColor="text1"/>
                <w:sz w:val="20"/>
                <w:szCs w:val="20"/>
              </w:rPr>
            </w:pPr>
          </w:p>
        </w:tc>
        <w:tc>
          <w:tcPr>
            <w:tcW w:w="2637" w:type="dxa"/>
          </w:tcPr>
          <w:p w14:paraId="4787A51A"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{"citationID":"ENBqBY3i","properties":{"formattedCitation":"(10)","plainCitation":"(10)","noteIndex":0},"citationItems":[{"id":1216,"uris":["http://zotero.org/users/local/qnIpXHeo/items/5SCRLPR4"],"itemData":{"id":1216,"type":"dataset","title":"ISF-regelverk 2024: DRG masterliste and Innsatsstyrt finansiering 2024","author":[{"family":"Helsedirektoratet","given":""}],"issued":{"date-parts":[["2023",12]]}}}],"schema":"https://github.com/citation-style-language/schema/raw/master/csl-citation.json"}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(10)</w:t>
            </w:r>
            <w:r w:rsidRPr="0030308C">
              <w:rPr>
                <w:rFonts w:ascii="Arial" w:hAnsi="Arial" w:cs="Arial"/>
                <w:color w:val="000000" w:themeColor="text1"/>
                <w:sz w:val="20"/>
                <w:szCs w:val="20"/>
              </w:rPr>
              <w:fldChar w:fldCharType="end"/>
            </w:r>
          </w:p>
        </w:tc>
      </w:tr>
      <w:tr w:rsidR="00E61562" w:rsidRPr="0030308C" w14:paraId="71198661" w14:textId="77777777" w:rsidTr="000E0C52">
        <w:trPr>
          <w:jc w:val="center"/>
        </w:trPr>
        <w:tc>
          <w:tcPr>
            <w:tcW w:w="4573" w:type="dxa"/>
          </w:tcPr>
          <w:p w14:paraId="546E827C"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ophthalmologist visits</w:t>
            </w:r>
          </w:p>
        </w:tc>
        <w:tc>
          <w:tcPr>
            <w:tcW w:w="4455" w:type="dxa"/>
          </w:tcPr>
          <w:p w14:paraId="2E90BCF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Monitoring visits.</w:t>
            </w:r>
          </w:p>
        </w:tc>
        <w:tc>
          <w:tcPr>
            <w:tcW w:w="1172" w:type="dxa"/>
          </w:tcPr>
          <w:p w14:paraId="01AE3B7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2</w:t>
            </w:r>
          </w:p>
        </w:tc>
        <w:tc>
          <w:tcPr>
            <w:tcW w:w="1418" w:type="dxa"/>
          </w:tcPr>
          <w:p w14:paraId="142C98CE"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0.20</w:t>
            </w:r>
          </w:p>
        </w:tc>
        <w:tc>
          <w:tcPr>
            <w:tcW w:w="1339" w:type="dxa"/>
          </w:tcPr>
          <w:p w14:paraId="0DEED661"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2637" w:type="dxa"/>
          </w:tcPr>
          <w:p w14:paraId="1EA312E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Expert opinion.</w:t>
            </w:r>
          </w:p>
        </w:tc>
      </w:tr>
      <w:tr w:rsidR="00E61562" w:rsidRPr="0030308C" w14:paraId="6D925B5C" w14:textId="77777777" w:rsidTr="000E0C52">
        <w:trPr>
          <w:jc w:val="center"/>
        </w:trPr>
        <w:tc>
          <w:tcPr>
            <w:tcW w:w="15594" w:type="dxa"/>
            <w:gridSpan w:val="6"/>
          </w:tcPr>
          <w:p w14:paraId="7B451C3D" w14:textId="77777777" w:rsidR="00E61562" w:rsidRPr="0030308C" w:rsidRDefault="00E61562" w:rsidP="000E0C52">
            <w:pPr>
              <w:pStyle w:val="Caption"/>
              <w:keepNext/>
              <w:jc w:val="both"/>
              <w:rPr>
                <w:rFonts w:ascii="Arial" w:hAnsi="Arial" w:cs="Arial"/>
                <w:b/>
                <w:bCs/>
                <w:i w:val="0"/>
                <w:iCs w:val="0"/>
                <w:color w:val="000000" w:themeColor="text1"/>
                <w:sz w:val="24"/>
                <w:szCs w:val="24"/>
              </w:rPr>
            </w:pPr>
            <w:r>
              <w:rPr>
                <w:rFonts w:ascii="Arial" w:hAnsi="Arial" w:cs="Arial"/>
                <w:b/>
                <w:bCs/>
                <w:i w:val="0"/>
                <w:iCs w:val="0"/>
                <w:color w:val="000000" w:themeColor="text1"/>
                <w:sz w:val="24"/>
                <w:szCs w:val="24"/>
              </w:rPr>
              <w:lastRenderedPageBreak/>
              <w:t>eTable10</w:t>
            </w:r>
            <w:r w:rsidRPr="0030308C">
              <w:rPr>
                <w:rFonts w:ascii="Arial" w:hAnsi="Arial" w:cs="Arial"/>
                <w:b/>
                <w:bCs/>
                <w:i w:val="0"/>
                <w:iCs w:val="0"/>
                <w:color w:val="000000" w:themeColor="text1"/>
                <w:sz w:val="24"/>
                <w:szCs w:val="24"/>
              </w:rPr>
              <w:t>. Input values for adverse event-related costs including probabilistic analysis distributions. (continued)</w:t>
            </w:r>
          </w:p>
          <w:p w14:paraId="25594AAB" w14:textId="77777777" w:rsidR="00E61562" w:rsidRPr="0030308C" w:rsidRDefault="00E61562" w:rsidP="000E0C52">
            <w:pPr>
              <w:rPr>
                <w:rFonts w:ascii="Arial" w:hAnsi="Arial" w:cs="Arial"/>
                <w:b/>
                <w:bCs/>
                <w:color w:val="000000" w:themeColor="text1"/>
                <w:sz w:val="20"/>
                <w:szCs w:val="20"/>
              </w:rPr>
            </w:pPr>
          </w:p>
        </w:tc>
      </w:tr>
      <w:tr w:rsidR="00E61562" w:rsidRPr="0030308C" w14:paraId="09D53B47" w14:textId="77777777" w:rsidTr="000E0C52">
        <w:trPr>
          <w:jc w:val="center"/>
        </w:trPr>
        <w:tc>
          <w:tcPr>
            <w:tcW w:w="4573" w:type="dxa"/>
            <w:tcBorders>
              <w:top w:val="single" w:sz="4" w:space="0" w:color="auto"/>
            </w:tcBorders>
          </w:tcPr>
          <w:p w14:paraId="22C7BF13" w14:textId="77777777" w:rsidR="00E61562" w:rsidRPr="0030308C" w:rsidRDefault="00E61562" w:rsidP="000E0C52">
            <w:pPr>
              <w:rPr>
                <w:rFonts w:ascii="Arial" w:hAnsi="Arial" w:cs="Arial"/>
                <w:b/>
                <w:bCs/>
                <w:color w:val="000000" w:themeColor="text1"/>
                <w:sz w:val="20"/>
                <w:szCs w:val="20"/>
              </w:rPr>
            </w:pPr>
            <w:r w:rsidRPr="0030308C">
              <w:rPr>
                <w:rFonts w:ascii="Arial" w:hAnsi="Arial" w:cs="Arial"/>
                <w:b/>
                <w:bCs/>
                <w:color w:val="000000" w:themeColor="text1"/>
                <w:sz w:val="20"/>
                <w:szCs w:val="20"/>
              </w:rPr>
              <w:t>Type of adverse event</w:t>
            </w:r>
            <w:r>
              <w:rPr>
                <w:rFonts w:ascii="Arial" w:hAnsi="Arial" w:cs="Arial"/>
                <w:b/>
                <w:bCs/>
                <w:color w:val="000000" w:themeColor="text1"/>
                <w:sz w:val="20"/>
                <w:szCs w:val="20"/>
              </w:rPr>
              <w:t>-</w:t>
            </w:r>
            <w:r w:rsidRPr="0030308C">
              <w:rPr>
                <w:rFonts w:ascii="Arial" w:hAnsi="Arial" w:cs="Arial"/>
                <w:b/>
                <w:bCs/>
                <w:color w:val="000000" w:themeColor="text1"/>
                <w:sz w:val="20"/>
                <w:szCs w:val="20"/>
              </w:rPr>
              <w:t>related cost (cost in $)</w:t>
            </w:r>
          </w:p>
        </w:tc>
        <w:tc>
          <w:tcPr>
            <w:tcW w:w="4455" w:type="dxa"/>
            <w:tcBorders>
              <w:top w:val="single" w:sz="4" w:space="0" w:color="auto"/>
            </w:tcBorders>
          </w:tcPr>
          <w:p w14:paraId="63FA0FE5" w14:textId="77777777" w:rsidR="00E61562" w:rsidRPr="0030308C" w:rsidRDefault="00E61562" w:rsidP="000E0C52">
            <w:pPr>
              <w:rPr>
                <w:rFonts w:ascii="Arial" w:hAnsi="Arial" w:cs="Arial"/>
                <w:color w:val="000000" w:themeColor="text1"/>
                <w:sz w:val="20"/>
                <w:szCs w:val="20"/>
              </w:rPr>
            </w:pPr>
            <w:r w:rsidRPr="0030308C">
              <w:rPr>
                <w:rFonts w:ascii="Arial" w:hAnsi="Arial" w:cs="Arial"/>
                <w:b/>
                <w:bCs/>
                <w:color w:val="000000" w:themeColor="text1"/>
                <w:sz w:val="20"/>
                <w:szCs w:val="20"/>
              </w:rPr>
              <w:t>Description</w:t>
            </w:r>
          </w:p>
        </w:tc>
        <w:tc>
          <w:tcPr>
            <w:tcW w:w="1172" w:type="dxa"/>
            <w:tcBorders>
              <w:top w:val="single" w:sz="4" w:space="0" w:color="auto"/>
            </w:tcBorders>
          </w:tcPr>
          <w:p w14:paraId="0B40B5C9" w14:textId="77777777" w:rsidR="00E61562" w:rsidRPr="0030308C" w:rsidRDefault="00E61562" w:rsidP="000E0C52">
            <w:pPr>
              <w:rPr>
                <w:rFonts w:ascii="Arial" w:hAnsi="Arial" w:cs="Arial"/>
                <w:color w:val="000000" w:themeColor="text1"/>
                <w:sz w:val="20"/>
                <w:szCs w:val="20"/>
              </w:rPr>
            </w:pPr>
            <w:r w:rsidRPr="0030308C">
              <w:rPr>
                <w:rFonts w:ascii="Arial" w:hAnsi="Arial" w:cs="Arial"/>
                <w:b/>
                <w:bCs/>
                <w:color w:val="000000" w:themeColor="text1"/>
                <w:sz w:val="20"/>
                <w:szCs w:val="20"/>
              </w:rPr>
              <w:t>Value</w:t>
            </w:r>
          </w:p>
        </w:tc>
        <w:tc>
          <w:tcPr>
            <w:tcW w:w="1418" w:type="dxa"/>
            <w:tcBorders>
              <w:top w:val="single" w:sz="4" w:space="0" w:color="auto"/>
            </w:tcBorders>
          </w:tcPr>
          <w:p w14:paraId="4C8AA195" w14:textId="77777777" w:rsidR="00E61562" w:rsidRPr="0030308C" w:rsidRDefault="00E61562" w:rsidP="000E0C52">
            <w:pPr>
              <w:rPr>
                <w:rFonts w:ascii="Arial" w:hAnsi="Arial" w:cs="Arial"/>
                <w:color w:val="000000" w:themeColor="text1"/>
                <w:sz w:val="20"/>
                <w:szCs w:val="20"/>
              </w:rPr>
            </w:pPr>
            <w:r w:rsidRPr="0030308C">
              <w:rPr>
                <w:rFonts w:ascii="Arial" w:hAnsi="Arial" w:cs="Arial"/>
                <w:b/>
                <w:bCs/>
                <w:color w:val="000000" w:themeColor="text1"/>
                <w:sz w:val="20"/>
                <w:szCs w:val="20"/>
              </w:rPr>
              <w:t xml:space="preserve">Standard </w:t>
            </w:r>
            <w:proofErr w:type="spellStart"/>
            <w:proofErr w:type="gramStart"/>
            <w:r w:rsidRPr="0030308C">
              <w:rPr>
                <w:rFonts w:ascii="Arial" w:hAnsi="Arial" w:cs="Arial"/>
                <w:b/>
                <w:bCs/>
                <w:color w:val="000000" w:themeColor="text1"/>
                <w:sz w:val="20"/>
                <w:szCs w:val="20"/>
              </w:rPr>
              <w:t>error</w:t>
            </w:r>
            <w:r w:rsidRPr="0030308C">
              <w:rPr>
                <w:rFonts w:ascii="Arial" w:hAnsi="Arial" w:cs="Arial"/>
                <w:b/>
                <w:bCs/>
                <w:color w:val="000000" w:themeColor="text1"/>
                <w:sz w:val="20"/>
                <w:szCs w:val="20"/>
                <w:vertAlign w:val="superscript"/>
              </w:rPr>
              <w:t>a,b</w:t>
            </w:r>
            <w:proofErr w:type="spellEnd"/>
            <w:proofErr w:type="gramEnd"/>
          </w:p>
        </w:tc>
        <w:tc>
          <w:tcPr>
            <w:tcW w:w="1339" w:type="dxa"/>
            <w:tcBorders>
              <w:top w:val="single" w:sz="4" w:space="0" w:color="auto"/>
            </w:tcBorders>
          </w:tcPr>
          <w:p w14:paraId="7D65A87E" w14:textId="77777777" w:rsidR="00E61562" w:rsidRPr="0030308C" w:rsidRDefault="00E61562" w:rsidP="000E0C52">
            <w:pPr>
              <w:rPr>
                <w:rFonts w:ascii="Arial" w:hAnsi="Arial" w:cs="Arial"/>
                <w:color w:val="000000" w:themeColor="text1"/>
                <w:sz w:val="20"/>
                <w:szCs w:val="20"/>
              </w:rPr>
            </w:pPr>
            <w:r w:rsidRPr="0030308C">
              <w:rPr>
                <w:rFonts w:ascii="Arial" w:hAnsi="Arial" w:cs="Arial"/>
                <w:b/>
                <w:bCs/>
                <w:color w:val="000000" w:themeColor="text1"/>
                <w:sz w:val="20"/>
                <w:szCs w:val="20"/>
              </w:rPr>
              <w:t>Distribution</w:t>
            </w:r>
          </w:p>
        </w:tc>
        <w:tc>
          <w:tcPr>
            <w:tcW w:w="2637" w:type="dxa"/>
            <w:tcBorders>
              <w:top w:val="single" w:sz="4" w:space="0" w:color="auto"/>
            </w:tcBorders>
          </w:tcPr>
          <w:p w14:paraId="3FFDE209" w14:textId="77777777" w:rsidR="00E61562" w:rsidRPr="0030308C" w:rsidRDefault="00E61562" w:rsidP="000E0C52">
            <w:pPr>
              <w:rPr>
                <w:rFonts w:ascii="Arial" w:hAnsi="Arial" w:cs="Arial"/>
                <w:color w:val="000000" w:themeColor="text1"/>
                <w:sz w:val="20"/>
                <w:szCs w:val="20"/>
              </w:rPr>
            </w:pPr>
            <w:r w:rsidRPr="0030308C">
              <w:rPr>
                <w:rFonts w:ascii="Arial" w:hAnsi="Arial" w:cs="Arial"/>
                <w:b/>
                <w:bCs/>
                <w:color w:val="000000" w:themeColor="text1"/>
                <w:sz w:val="20"/>
                <w:szCs w:val="20"/>
              </w:rPr>
              <w:t>Source</w:t>
            </w:r>
          </w:p>
        </w:tc>
      </w:tr>
      <w:tr w:rsidR="00E61562" w:rsidRPr="0030308C" w14:paraId="2AEECAE5" w14:textId="77777777" w:rsidTr="000E0C52">
        <w:trPr>
          <w:jc w:val="center"/>
        </w:trPr>
        <w:tc>
          <w:tcPr>
            <w:tcW w:w="4573" w:type="dxa"/>
            <w:tcBorders>
              <w:top w:val="single" w:sz="4" w:space="0" w:color="auto"/>
            </w:tcBorders>
          </w:tcPr>
          <w:p w14:paraId="544FDB9F" w14:textId="77777777" w:rsidR="00E61562" w:rsidRPr="0030308C" w:rsidRDefault="00E61562" w:rsidP="000E0C52">
            <w:pPr>
              <w:rPr>
                <w:rFonts w:ascii="Arial" w:hAnsi="Arial" w:cs="Arial"/>
                <w:b/>
                <w:bCs/>
                <w:color w:val="000000" w:themeColor="text1"/>
                <w:sz w:val="20"/>
                <w:szCs w:val="20"/>
              </w:rPr>
            </w:pPr>
            <w:proofErr w:type="spellStart"/>
            <w:r w:rsidRPr="0030308C">
              <w:rPr>
                <w:rFonts w:ascii="Arial" w:hAnsi="Arial" w:cs="Arial"/>
                <w:b/>
                <w:bCs/>
                <w:color w:val="000000" w:themeColor="text1"/>
                <w:sz w:val="20"/>
                <w:szCs w:val="20"/>
              </w:rPr>
              <w:t>Hyphema</w:t>
            </w:r>
            <w:proofErr w:type="spellEnd"/>
          </w:p>
        </w:tc>
        <w:tc>
          <w:tcPr>
            <w:tcW w:w="4455" w:type="dxa"/>
            <w:tcBorders>
              <w:top w:val="single" w:sz="4" w:space="0" w:color="auto"/>
            </w:tcBorders>
          </w:tcPr>
          <w:p w14:paraId="16A951E2" w14:textId="77777777" w:rsidR="00E61562" w:rsidRPr="0030308C" w:rsidRDefault="00E61562" w:rsidP="000E0C52">
            <w:pPr>
              <w:rPr>
                <w:rFonts w:ascii="Arial" w:hAnsi="Arial" w:cs="Arial"/>
                <w:color w:val="000000" w:themeColor="text1"/>
                <w:sz w:val="20"/>
                <w:szCs w:val="20"/>
              </w:rPr>
            </w:pPr>
          </w:p>
        </w:tc>
        <w:tc>
          <w:tcPr>
            <w:tcW w:w="1172" w:type="dxa"/>
            <w:tcBorders>
              <w:top w:val="single" w:sz="4" w:space="0" w:color="auto"/>
            </w:tcBorders>
          </w:tcPr>
          <w:p w14:paraId="78B70CE3" w14:textId="77777777" w:rsidR="00E61562" w:rsidRPr="0030308C" w:rsidRDefault="00E61562" w:rsidP="000E0C52">
            <w:pPr>
              <w:rPr>
                <w:rFonts w:ascii="Arial" w:hAnsi="Arial" w:cs="Arial"/>
                <w:color w:val="000000" w:themeColor="text1"/>
                <w:sz w:val="20"/>
                <w:szCs w:val="20"/>
              </w:rPr>
            </w:pPr>
          </w:p>
        </w:tc>
        <w:tc>
          <w:tcPr>
            <w:tcW w:w="1418" w:type="dxa"/>
            <w:tcBorders>
              <w:top w:val="single" w:sz="4" w:space="0" w:color="auto"/>
            </w:tcBorders>
          </w:tcPr>
          <w:p w14:paraId="21764CBD" w14:textId="77777777" w:rsidR="00E61562" w:rsidRPr="0030308C" w:rsidRDefault="00E61562" w:rsidP="000E0C52">
            <w:pPr>
              <w:rPr>
                <w:rFonts w:ascii="Arial" w:hAnsi="Arial" w:cs="Arial"/>
                <w:color w:val="000000" w:themeColor="text1"/>
                <w:sz w:val="20"/>
                <w:szCs w:val="20"/>
              </w:rPr>
            </w:pPr>
          </w:p>
        </w:tc>
        <w:tc>
          <w:tcPr>
            <w:tcW w:w="1339" w:type="dxa"/>
            <w:tcBorders>
              <w:top w:val="single" w:sz="4" w:space="0" w:color="auto"/>
            </w:tcBorders>
          </w:tcPr>
          <w:p w14:paraId="526AB445" w14:textId="77777777" w:rsidR="00E61562" w:rsidRPr="0030308C" w:rsidRDefault="00E61562" w:rsidP="000E0C52">
            <w:pPr>
              <w:rPr>
                <w:rFonts w:ascii="Arial" w:hAnsi="Arial" w:cs="Arial"/>
                <w:color w:val="000000" w:themeColor="text1"/>
                <w:sz w:val="20"/>
                <w:szCs w:val="20"/>
              </w:rPr>
            </w:pPr>
          </w:p>
        </w:tc>
        <w:tc>
          <w:tcPr>
            <w:tcW w:w="2637" w:type="dxa"/>
            <w:tcBorders>
              <w:top w:val="single" w:sz="4" w:space="0" w:color="auto"/>
            </w:tcBorders>
          </w:tcPr>
          <w:p w14:paraId="62928B17" w14:textId="77777777" w:rsidR="00E61562" w:rsidRPr="0030308C" w:rsidRDefault="00E61562" w:rsidP="000E0C52">
            <w:pPr>
              <w:rPr>
                <w:rFonts w:ascii="Arial" w:hAnsi="Arial" w:cs="Arial"/>
                <w:color w:val="000000" w:themeColor="text1"/>
                <w:sz w:val="20"/>
                <w:szCs w:val="20"/>
              </w:rPr>
            </w:pPr>
          </w:p>
        </w:tc>
      </w:tr>
      <w:tr w:rsidR="00E61562" w:rsidRPr="0030308C" w14:paraId="00B45F08" w14:textId="77777777" w:rsidTr="000E0C52">
        <w:trPr>
          <w:jc w:val="center"/>
        </w:trPr>
        <w:tc>
          <w:tcPr>
            <w:tcW w:w="4573" w:type="dxa"/>
          </w:tcPr>
          <w:p w14:paraId="25EA8F5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surgeries</w:t>
            </w:r>
          </w:p>
        </w:tc>
        <w:tc>
          <w:tcPr>
            <w:tcW w:w="4455" w:type="dxa"/>
          </w:tcPr>
          <w:p w14:paraId="328A5992" w14:textId="77777777" w:rsidR="00E61562" w:rsidRPr="0030308C" w:rsidRDefault="00E61562" w:rsidP="000E0C52">
            <w:pPr>
              <w:rPr>
                <w:rFonts w:ascii="Arial" w:hAnsi="Arial" w:cs="Arial"/>
                <w:color w:val="000000" w:themeColor="text1"/>
                <w:sz w:val="20"/>
                <w:szCs w:val="20"/>
              </w:rPr>
            </w:pPr>
          </w:p>
        </w:tc>
        <w:tc>
          <w:tcPr>
            <w:tcW w:w="1172" w:type="dxa"/>
          </w:tcPr>
          <w:p w14:paraId="009B02C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w:t>
            </w:r>
          </w:p>
        </w:tc>
        <w:tc>
          <w:tcPr>
            <w:tcW w:w="1418" w:type="dxa"/>
          </w:tcPr>
          <w:p w14:paraId="55C5F30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0.10</w:t>
            </w:r>
          </w:p>
        </w:tc>
        <w:tc>
          <w:tcPr>
            <w:tcW w:w="1339" w:type="dxa"/>
          </w:tcPr>
          <w:p w14:paraId="2609BEAC" w14:textId="77777777" w:rsidR="00E61562" w:rsidRPr="0030308C" w:rsidRDefault="00E61562" w:rsidP="000E0C52">
            <w:pPr>
              <w:rPr>
                <w:rFonts w:ascii="Arial" w:hAnsi="Arial" w:cs="Arial"/>
                <w:color w:val="000000" w:themeColor="text1"/>
                <w:sz w:val="20"/>
                <w:szCs w:val="20"/>
              </w:rPr>
            </w:pPr>
          </w:p>
        </w:tc>
        <w:tc>
          <w:tcPr>
            <w:tcW w:w="2637" w:type="dxa"/>
          </w:tcPr>
          <w:p w14:paraId="5EE48AF9"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Expert opinion.</w:t>
            </w:r>
          </w:p>
        </w:tc>
      </w:tr>
      <w:tr w:rsidR="00E61562" w:rsidRPr="0030308C" w14:paraId="5C291A80" w14:textId="77777777" w:rsidTr="000E0C52">
        <w:trPr>
          <w:jc w:val="center"/>
        </w:trPr>
        <w:tc>
          <w:tcPr>
            <w:tcW w:w="4573" w:type="dxa"/>
          </w:tcPr>
          <w:p w14:paraId="22AE70F4"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Cost of surgery</w:t>
            </w:r>
          </w:p>
        </w:tc>
        <w:tc>
          <w:tcPr>
            <w:tcW w:w="4455" w:type="dxa"/>
          </w:tcPr>
          <w:p w14:paraId="192FF937"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DRG 42O with a DRG weight of 0.297.</w:t>
            </w:r>
          </w:p>
        </w:tc>
        <w:tc>
          <w:tcPr>
            <w:tcW w:w="1172" w:type="dxa"/>
          </w:tcPr>
          <w:p w14:paraId="60787747"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15</w:t>
            </w:r>
            <w:r>
              <w:rPr>
                <w:rFonts w:ascii="Arial" w:hAnsi="Arial" w:cs="Arial"/>
                <w:color w:val="000000" w:themeColor="text1"/>
                <w:sz w:val="20"/>
                <w:szCs w:val="20"/>
              </w:rPr>
              <w:t xml:space="preserve"> </w:t>
            </w:r>
            <w:r w:rsidRPr="0030308C">
              <w:rPr>
                <w:rFonts w:ascii="Arial" w:hAnsi="Arial" w:cs="Arial"/>
                <w:color w:val="000000" w:themeColor="text1"/>
                <w:sz w:val="20"/>
                <w:szCs w:val="20"/>
              </w:rPr>
              <w:t>51</w:t>
            </w:r>
            <w:r>
              <w:rPr>
                <w:rFonts w:ascii="Arial" w:hAnsi="Arial" w:cs="Arial"/>
                <w:color w:val="000000" w:themeColor="text1"/>
                <w:sz w:val="20"/>
                <w:szCs w:val="20"/>
              </w:rPr>
              <w:t>8</w:t>
            </w:r>
          </w:p>
        </w:tc>
        <w:tc>
          <w:tcPr>
            <w:tcW w:w="1418" w:type="dxa"/>
          </w:tcPr>
          <w:p w14:paraId="0884BB25" w14:textId="77777777" w:rsidR="00E61562" w:rsidRPr="0030308C" w:rsidRDefault="00E61562" w:rsidP="000E0C52">
            <w:pPr>
              <w:rPr>
                <w:rFonts w:ascii="Arial" w:hAnsi="Arial" w:cs="Arial"/>
                <w:color w:val="000000" w:themeColor="text1"/>
                <w:sz w:val="20"/>
                <w:szCs w:val="20"/>
              </w:rPr>
            </w:pPr>
          </w:p>
        </w:tc>
        <w:tc>
          <w:tcPr>
            <w:tcW w:w="1339" w:type="dxa"/>
          </w:tcPr>
          <w:p w14:paraId="670C3C3A" w14:textId="77777777" w:rsidR="00E61562" w:rsidRPr="0030308C" w:rsidRDefault="00E61562" w:rsidP="000E0C52">
            <w:pPr>
              <w:rPr>
                <w:rFonts w:ascii="Arial" w:hAnsi="Arial" w:cs="Arial"/>
                <w:color w:val="000000" w:themeColor="text1"/>
                <w:sz w:val="20"/>
                <w:szCs w:val="20"/>
              </w:rPr>
            </w:pPr>
          </w:p>
        </w:tc>
        <w:tc>
          <w:tcPr>
            <w:tcW w:w="2637" w:type="dxa"/>
          </w:tcPr>
          <w:p w14:paraId="5B6F6957"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{"citationID":"eSO2a7fg","properties":{"formattedCitation":"(10)","plainCitation":"(10)","noteIndex":0},"citationItems":[{"id":1216,"uris":["http://zotero.org/users/local/qnIpXHeo/items/5SCRLPR4"],"itemData":{"id":1216,"type":"dataset","title":"ISF-regelverk 2024: DRG masterliste and Innsatsstyrt finansiering 2024","author":[{"family":"Helsedirektoratet","given":""}],"issued":{"date-parts":[["2023",12]]}}}],"schema":"https://github.com/citation-style-language/schema/raw/master/csl-citation.json"}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(10)</w:t>
            </w:r>
            <w:r w:rsidRPr="0030308C">
              <w:rPr>
                <w:rFonts w:ascii="Arial" w:hAnsi="Arial" w:cs="Arial"/>
                <w:color w:val="000000" w:themeColor="text1"/>
                <w:sz w:val="20"/>
                <w:szCs w:val="20"/>
              </w:rPr>
              <w:fldChar w:fldCharType="end"/>
            </w:r>
          </w:p>
        </w:tc>
      </w:tr>
      <w:tr w:rsidR="00E61562" w:rsidRPr="0030308C" w14:paraId="37AAD73A" w14:textId="77777777" w:rsidTr="000E0C52">
        <w:trPr>
          <w:jc w:val="center"/>
        </w:trPr>
        <w:tc>
          <w:tcPr>
            <w:tcW w:w="4573" w:type="dxa"/>
            <w:tcBorders>
              <w:bottom w:val="single" w:sz="4" w:space="0" w:color="auto"/>
            </w:tcBorders>
          </w:tcPr>
          <w:p w14:paraId="2FEA8FE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ophthalmologist visits</w:t>
            </w:r>
          </w:p>
        </w:tc>
        <w:tc>
          <w:tcPr>
            <w:tcW w:w="4455" w:type="dxa"/>
            <w:tcBorders>
              <w:bottom w:val="single" w:sz="4" w:space="0" w:color="auto"/>
            </w:tcBorders>
          </w:tcPr>
          <w:p w14:paraId="54A0080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Monitoring visits.</w:t>
            </w:r>
          </w:p>
        </w:tc>
        <w:tc>
          <w:tcPr>
            <w:tcW w:w="1172" w:type="dxa"/>
            <w:tcBorders>
              <w:bottom w:val="single" w:sz="4" w:space="0" w:color="auto"/>
            </w:tcBorders>
          </w:tcPr>
          <w:p w14:paraId="1A60F6B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2</w:t>
            </w:r>
          </w:p>
        </w:tc>
        <w:tc>
          <w:tcPr>
            <w:tcW w:w="1418" w:type="dxa"/>
            <w:tcBorders>
              <w:bottom w:val="single" w:sz="4" w:space="0" w:color="auto"/>
            </w:tcBorders>
          </w:tcPr>
          <w:p w14:paraId="14E4D1B3"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0.20</w:t>
            </w:r>
          </w:p>
        </w:tc>
        <w:tc>
          <w:tcPr>
            <w:tcW w:w="1339" w:type="dxa"/>
            <w:tcBorders>
              <w:bottom w:val="single" w:sz="4" w:space="0" w:color="auto"/>
            </w:tcBorders>
          </w:tcPr>
          <w:p w14:paraId="294D7AFF"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2637" w:type="dxa"/>
            <w:tcBorders>
              <w:bottom w:val="single" w:sz="4" w:space="0" w:color="auto"/>
            </w:tcBorders>
          </w:tcPr>
          <w:p w14:paraId="1C74609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Expert opinion.</w:t>
            </w:r>
          </w:p>
        </w:tc>
      </w:tr>
      <w:tr w:rsidR="00E61562" w:rsidRPr="0030308C" w14:paraId="27AB3235" w14:textId="77777777" w:rsidTr="000E0C52">
        <w:trPr>
          <w:jc w:val="center"/>
        </w:trPr>
        <w:tc>
          <w:tcPr>
            <w:tcW w:w="4573" w:type="dxa"/>
            <w:tcBorders>
              <w:top w:val="single" w:sz="4" w:space="0" w:color="auto"/>
            </w:tcBorders>
          </w:tcPr>
          <w:p w14:paraId="300F9966" w14:textId="77777777" w:rsidR="00E61562" w:rsidRPr="0030308C" w:rsidRDefault="00E61562" w:rsidP="000E0C52">
            <w:pPr>
              <w:rPr>
                <w:rFonts w:ascii="Arial" w:hAnsi="Arial" w:cs="Arial"/>
                <w:b/>
                <w:bCs/>
                <w:color w:val="000000" w:themeColor="text1"/>
                <w:sz w:val="20"/>
                <w:szCs w:val="20"/>
              </w:rPr>
            </w:pPr>
            <w:r w:rsidRPr="0030308C">
              <w:rPr>
                <w:rFonts w:ascii="Arial" w:hAnsi="Arial" w:cs="Arial"/>
                <w:b/>
                <w:bCs/>
                <w:color w:val="000000" w:themeColor="text1"/>
                <w:sz w:val="20"/>
                <w:szCs w:val="20"/>
              </w:rPr>
              <w:t>Implant dislocation</w:t>
            </w:r>
          </w:p>
        </w:tc>
        <w:tc>
          <w:tcPr>
            <w:tcW w:w="4455" w:type="dxa"/>
            <w:tcBorders>
              <w:top w:val="single" w:sz="4" w:space="0" w:color="auto"/>
            </w:tcBorders>
          </w:tcPr>
          <w:p w14:paraId="617CA2E9" w14:textId="77777777" w:rsidR="00E61562" w:rsidRPr="0030308C" w:rsidRDefault="00E61562" w:rsidP="000E0C52">
            <w:pPr>
              <w:rPr>
                <w:rFonts w:ascii="Arial" w:hAnsi="Arial" w:cs="Arial"/>
                <w:color w:val="000000" w:themeColor="text1"/>
                <w:sz w:val="20"/>
                <w:szCs w:val="20"/>
              </w:rPr>
            </w:pPr>
          </w:p>
        </w:tc>
        <w:tc>
          <w:tcPr>
            <w:tcW w:w="1172" w:type="dxa"/>
            <w:tcBorders>
              <w:top w:val="single" w:sz="4" w:space="0" w:color="auto"/>
            </w:tcBorders>
          </w:tcPr>
          <w:p w14:paraId="0582C214" w14:textId="77777777" w:rsidR="00E61562" w:rsidRPr="0030308C" w:rsidRDefault="00E61562" w:rsidP="000E0C52">
            <w:pPr>
              <w:rPr>
                <w:rFonts w:ascii="Arial" w:hAnsi="Arial" w:cs="Arial"/>
                <w:color w:val="000000" w:themeColor="text1"/>
                <w:sz w:val="20"/>
                <w:szCs w:val="20"/>
              </w:rPr>
            </w:pPr>
          </w:p>
        </w:tc>
        <w:tc>
          <w:tcPr>
            <w:tcW w:w="1418" w:type="dxa"/>
            <w:tcBorders>
              <w:top w:val="single" w:sz="4" w:space="0" w:color="auto"/>
            </w:tcBorders>
          </w:tcPr>
          <w:p w14:paraId="045C2F4B" w14:textId="77777777" w:rsidR="00E61562" w:rsidRPr="0030308C" w:rsidRDefault="00E61562" w:rsidP="000E0C52">
            <w:pPr>
              <w:rPr>
                <w:rFonts w:ascii="Arial" w:hAnsi="Arial" w:cs="Arial"/>
                <w:color w:val="000000" w:themeColor="text1"/>
                <w:sz w:val="20"/>
                <w:szCs w:val="20"/>
              </w:rPr>
            </w:pPr>
          </w:p>
        </w:tc>
        <w:tc>
          <w:tcPr>
            <w:tcW w:w="1339" w:type="dxa"/>
            <w:tcBorders>
              <w:top w:val="single" w:sz="4" w:space="0" w:color="auto"/>
            </w:tcBorders>
          </w:tcPr>
          <w:p w14:paraId="5F8F024C" w14:textId="77777777" w:rsidR="00E61562" w:rsidRPr="0030308C" w:rsidRDefault="00E61562" w:rsidP="000E0C52">
            <w:pPr>
              <w:rPr>
                <w:rFonts w:ascii="Arial" w:hAnsi="Arial" w:cs="Arial"/>
                <w:color w:val="000000" w:themeColor="text1"/>
                <w:sz w:val="20"/>
                <w:szCs w:val="20"/>
              </w:rPr>
            </w:pPr>
          </w:p>
        </w:tc>
        <w:tc>
          <w:tcPr>
            <w:tcW w:w="2637" w:type="dxa"/>
            <w:tcBorders>
              <w:top w:val="single" w:sz="4" w:space="0" w:color="auto"/>
            </w:tcBorders>
          </w:tcPr>
          <w:p w14:paraId="0C580457" w14:textId="77777777" w:rsidR="00E61562" w:rsidRPr="0030308C" w:rsidRDefault="00E61562" w:rsidP="000E0C52">
            <w:pPr>
              <w:rPr>
                <w:rFonts w:ascii="Arial" w:hAnsi="Arial" w:cs="Arial"/>
                <w:color w:val="000000" w:themeColor="text1"/>
                <w:sz w:val="20"/>
                <w:szCs w:val="20"/>
              </w:rPr>
            </w:pPr>
          </w:p>
        </w:tc>
      </w:tr>
      <w:tr w:rsidR="00E61562" w:rsidRPr="0030308C" w14:paraId="3C8EB0D9" w14:textId="77777777" w:rsidTr="000E0C52">
        <w:trPr>
          <w:jc w:val="center"/>
        </w:trPr>
        <w:tc>
          <w:tcPr>
            <w:tcW w:w="4573" w:type="dxa"/>
          </w:tcPr>
          <w:p w14:paraId="6DB1E25C"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surgeries</w:t>
            </w:r>
          </w:p>
        </w:tc>
        <w:tc>
          <w:tcPr>
            <w:tcW w:w="4455" w:type="dxa"/>
          </w:tcPr>
          <w:p w14:paraId="5C45CBB8" w14:textId="77777777" w:rsidR="00E61562" w:rsidRPr="0030308C" w:rsidRDefault="00E61562" w:rsidP="000E0C52">
            <w:pPr>
              <w:rPr>
                <w:rFonts w:ascii="Arial" w:hAnsi="Arial" w:cs="Arial"/>
                <w:color w:val="000000" w:themeColor="text1"/>
                <w:sz w:val="20"/>
                <w:szCs w:val="20"/>
              </w:rPr>
            </w:pPr>
          </w:p>
        </w:tc>
        <w:tc>
          <w:tcPr>
            <w:tcW w:w="1172" w:type="dxa"/>
          </w:tcPr>
          <w:p w14:paraId="7CA54C0C"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w:t>
            </w:r>
          </w:p>
        </w:tc>
        <w:tc>
          <w:tcPr>
            <w:tcW w:w="1418" w:type="dxa"/>
          </w:tcPr>
          <w:p w14:paraId="6C637260"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0.10</w:t>
            </w:r>
          </w:p>
        </w:tc>
        <w:tc>
          <w:tcPr>
            <w:tcW w:w="1339" w:type="dxa"/>
          </w:tcPr>
          <w:p w14:paraId="3E27BD0B" w14:textId="77777777" w:rsidR="00E61562" w:rsidRPr="0030308C" w:rsidRDefault="00E61562" w:rsidP="000E0C52">
            <w:pPr>
              <w:rPr>
                <w:rFonts w:ascii="Arial" w:hAnsi="Arial" w:cs="Arial"/>
                <w:color w:val="000000" w:themeColor="text1"/>
                <w:sz w:val="20"/>
                <w:szCs w:val="20"/>
              </w:rPr>
            </w:pPr>
          </w:p>
        </w:tc>
        <w:tc>
          <w:tcPr>
            <w:tcW w:w="2637" w:type="dxa"/>
          </w:tcPr>
          <w:p w14:paraId="158C25B1"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Expert opinion.</w:t>
            </w:r>
          </w:p>
        </w:tc>
      </w:tr>
      <w:tr w:rsidR="00E61562" w:rsidRPr="0030308C" w14:paraId="5AD02F5F" w14:textId="77777777" w:rsidTr="000E0C52">
        <w:trPr>
          <w:jc w:val="center"/>
        </w:trPr>
        <w:tc>
          <w:tcPr>
            <w:tcW w:w="4573" w:type="dxa"/>
          </w:tcPr>
          <w:p w14:paraId="49233B7D"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Cost of surgery</w:t>
            </w:r>
          </w:p>
        </w:tc>
        <w:tc>
          <w:tcPr>
            <w:tcW w:w="4455" w:type="dxa"/>
          </w:tcPr>
          <w:p w14:paraId="67AE0F43"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DRG 42O with a DRG weight of 0.297.</w:t>
            </w:r>
          </w:p>
        </w:tc>
        <w:tc>
          <w:tcPr>
            <w:tcW w:w="1172" w:type="dxa"/>
          </w:tcPr>
          <w:p w14:paraId="1B8C69EA"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15</w:t>
            </w:r>
            <w:r>
              <w:rPr>
                <w:rFonts w:ascii="Arial" w:hAnsi="Arial" w:cs="Arial"/>
                <w:color w:val="000000" w:themeColor="text1"/>
                <w:sz w:val="20"/>
                <w:szCs w:val="20"/>
              </w:rPr>
              <w:t xml:space="preserve"> </w:t>
            </w:r>
            <w:r w:rsidRPr="0030308C">
              <w:rPr>
                <w:rFonts w:ascii="Arial" w:hAnsi="Arial" w:cs="Arial"/>
                <w:color w:val="000000" w:themeColor="text1"/>
                <w:sz w:val="20"/>
                <w:szCs w:val="20"/>
              </w:rPr>
              <w:t>51</w:t>
            </w:r>
            <w:r>
              <w:rPr>
                <w:rFonts w:ascii="Arial" w:hAnsi="Arial" w:cs="Arial"/>
                <w:color w:val="000000" w:themeColor="text1"/>
                <w:sz w:val="20"/>
                <w:szCs w:val="20"/>
              </w:rPr>
              <w:t>8</w:t>
            </w:r>
          </w:p>
        </w:tc>
        <w:tc>
          <w:tcPr>
            <w:tcW w:w="1418" w:type="dxa"/>
          </w:tcPr>
          <w:p w14:paraId="74C7F10C" w14:textId="77777777" w:rsidR="00E61562" w:rsidRPr="0030308C" w:rsidRDefault="00E61562" w:rsidP="000E0C52">
            <w:pPr>
              <w:rPr>
                <w:rFonts w:ascii="Arial" w:hAnsi="Arial" w:cs="Arial"/>
                <w:color w:val="000000" w:themeColor="text1"/>
                <w:sz w:val="20"/>
                <w:szCs w:val="20"/>
              </w:rPr>
            </w:pPr>
          </w:p>
        </w:tc>
        <w:tc>
          <w:tcPr>
            <w:tcW w:w="1339" w:type="dxa"/>
          </w:tcPr>
          <w:p w14:paraId="35775EA8" w14:textId="77777777" w:rsidR="00E61562" w:rsidRPr="0030308C" w:rsidRDefault="00E61562" w:rsidP="000E0C52">
            <w:pPr>
              <w:rPr>
                <w:rFonts w:ascii="Arial" w:hAnsi="Arial" w:cs="Arial"/>
                <w:color w:val="000000" w:themeColor="text1"/>
                <w:sz w:val="20"/>
                <w:szCs w:val="20"/>
              </w:rPr>
            </w:pPr>
          </w:p>
        </w:tc>
        <w:tc>
          <w:tcPr>
            <w:tcW w:w="2637" w:type="dxa"/>
          </w:tcPr>
          <w:p w14:paraId="3F773244"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{"citationID":"PbA0Nlpd","properties":{"formattedCitation":"(10)","plainCitation":"(10)","noteIndex":0},"citationItems":[{"id":1216,"uris":["http://zotero.org/users/local/qnIpXHeo/items/5SCRLPR4"],"itemData":{"id":1216,"type":"dataset","title":"ISF-regelverk 2024: DRG masterliste and Innsatsstyrt finansiering 2024","author":[{"family":"Helsedirektoratet","given":""}],"issued":{"date-parts":[["2023",12]]}}}],"schema":"https://github.com/citation-style-language/schema/raw/master/csl-citation.json"}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(10)</w:t>
            </w:r>
            <w:r w:rsidRPr="0030308C">
              <w:rPr>
                <w:rFonts w:ascii="Arial" w:hAnsi="Arial" w:cs="Arial"/>
                <w:color w:val="000000" w:themeColor="text1"/>
                <w:sz w:val="20"/>
                <w:szCs w:val="20"/>
              </w:rPr>
              <w:fldChar w:fldCharType="end"/>
            </w:r>
          </w:p>
        </w:tc>
      </w:tr>
      <w:tr w:rsidR="00E61562" w:rsidRPr="0030308C" w14:paraId="5A81C61D" w14:textId="77777777" w:rsidTr="000E0C52">
        <w:trPr>
          <w:jc w:val="center"/>
        </w:trPr>
        <w:tc>
          <w:tcPr>
            <w:tcW w:w="4573" w:type="dxa"/>
            <w:tcBorders>
              <w:bottom w:val="single" w:sz="4" w:space="0" w:color="auto"/>
            </w:tcBorders>
          </w:tcPr>
          <w:p w14:paraId="7FB63316"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ophthalmologist visits</w:t>
            </w:r>
          </w:p>
        </w:tc>
        <w:tc>
          <w:tcPr>
            <w:tcW w:w="4455" w:type="dxa"/>
            <w:tcBorders>
              <w:bottom w:val="single" w:sz="4" w:space="0" w:color="auto"/>
            </w:tcBorders>
          </w:tcPr>
          <w:p w14:paraId="0BD2E28F"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Monitoring visits.</w:t>
            </w:r>
          </w:p>
        </w:tc>
        <w:tc>
          <w:tcPr>
            <w:tcW w:w="1172" w:type="dxa"/>
            <w:tcBorders>
              <w:bottom w:val="single" w:sz="4" w:space="0" w:color="auto"/>
            </w:tcBorders>
          </w:tcPr>
          <w:p w14:paraId="344A3C53"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2</w:t>
            </w:r>
          </w:p>
        </w:tc>
        <w:tc>
          <w:tcPr>
            <w:tcW w:w="1418" w:type="dxa"/>
            <w:tcBorders>
              <w:bottom w:val="single" w:sz="4" w:space="0" w:color="auto"/>
            </w:tcBorders>
          </w:tcPr>
          <w:p w14:paraId="1EF914B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0.20</w:t>
            </w:r>
          </w:p>
        </w:tc>
        <w:tc>
          <w:tcPr>
            <w:tcW w:w="1339" w:type="dxa"/>
            <w:tcBorders>
              <w:bottom w:val="single" w:sz="4" w:space="0" w:color="auto"/>
            </w:tcBorders>
          </w:tcPr>
          <w:p w14:paraId="549CA52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2637" w:type="dxa"/>
            <w:tcBorders>
              <w:bottom w:val="single" w:sz="4" w:space="0" w:color="auto"/>
            </w:tcBorders>
          </w:tcPr>
          <w:p w14:paraId="18784F2A"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Expert opinion.</w:t>
            </w:r>
          </w:p>
        </w:tc>
      </w:tr>
      <w:tr w:rsidR="00E61562" w:rsidRPr="0030308C" w14:paraId="071480EA" w14:textId="77777777" w:rsidTr="000E0C52">
        <w:trPr>
          <w:jc w:val="center"/>
        </w:trPr>
        <w:tc>
          <w:tcPr>
            <w:tcW w:w="4573" w:type="dxa"/>
            <w:tcBorders>
              <w:top w:val="single" w:sz="4" w:space="0" w:color="auto"/>
            </w:tcBorders>
          </w:tcPr>
          <w:p w14:paraId="3F9A27CB" w14:textId="77777777" w:rsidR="00E61562" w:rsidRPr="0030308C" w:rsidRDefault="00E61562" w:rsidP="000E0C52">
            <w:pPr>
              <w:rPr>
                <w:rFonts w:ascii="Arial" w:hAnsi="Arial" w:cs="Arial"/>
                <w:b/>
                <w:bCs/>
                <w:color w:val="000000" w:themeColor="text1"/>
                <w:sz w:val="20"/>
                <w:szCs w:val="20"/>
              </w:rPr>
            </w:pPr>
            <w:r w:rsidRPr="0030308C">
              <w:rPr>
                <w:rFonts w:ascii="Arial" w:hAnsi="Arial" w:cs="Arial"/>
                <w:b/>
                <w:bCs/>
                <w:color w:val="000000" w:themeColor="text1"/>
                <w:sz w:val="20"/>
                <w:szCs w:val="20"/>
              </w:rPr>
              <w:t>Retinal tear</w:t>
            </w:r>
          </w:p>
        </w:tc>
        <w:tc>
          <w:tcPr>
            <w:tcW w:w="4455" w:type="dxa"/>
            <w:tcBorders>
              <w:top w:val="single" w:sz="4" w:space="0" w:color="auto"/>
            </w:tcBorders>
          </w:tcPr>
          <w:p w14:paraId="17F567BF" w14:textId="77777777" w:rsidR="00E61562" w:rsidRPr="0030308C" w:rsidRDefault="00E61562" w:rsidP="000E0C52">
            <w:pPr>
              <w:rPr>
                <w:rFonts w:ascii="Arial" w:hAnsi="Arial" w:cs="Arial"/>
                <w:color w:val="000000" w:themeColor="text1"/>
                <w:sz w:val="20"/>
                <w:szCs w:val="20"/>
              </w:rPr>
            </w:pPr>
          </w:p>
        </w:tc>
        <w:tc>
          <w:tcPr>
            <w:tcW w:w="1172" w:type="dxa"/>
            <w:tcBorders>
              <w:top w:val="single" w:sz="4" w:space="0" w:color="auto"/>
            </w:tcBorders>
          </w:tcPr>
          <w:p w14:paraId="3C99CB6D" w14:textId="77777777" w:rsidR="00E61562" w:rsidRPr="0030308C" w:rsidRDefault="00E61562" w:rsidP="000E0C52">
            <w:pPr>
              <w:rPr>
                <w:rFonts w:ascii="Arial" w:hAnsi="Arial" w:cs="Arial"/>
                <w:color w:val="000000" w:themeColor="text1"/>
                <w:sz w:val="20"/>
                <w:szCs w:val="20"/>
              </w:rPr>
            </w:pPr>
          </w:p>
        </w:tc>
        <w:tc>
          <w:tcPr>
            <w:tcW w:w="1418" w:type="dxa"/>
            <w:tcBorders>
              <w:top w:val="single" w:sz="4" w:space="0" w:color="auto"/>
            </w:tcBorders>
          </w:tcPr>
          <w:p w14:paraId="731DE18C" w14:textId="77777777" w:rsidR="00E61562" w:rsidRPr="0030308C" w:rsidRDefault="00E61562" w:rsidP="000E0C52">
            <w:pPr>
              <w:rPr>
                <w:rFonts w:ascii="Arial" w:hAnsi="Arial" w:cs="Arial"/>
                <w:color w:val="000000" w:themeColor="text1"/>
                <w:sz w:val="20"/>
                <w:szCs w:val="20"/>
              </w:rPr>
            </w:pPr>
          </w:p>
        </w:tc>
        <w:tc>
          <w:tcPr>
            <w:tcW w:w="1339" w:type="dxa"/>
            <w:tcBorders>
              <w:top w:val="single" w:sz="4" w:space="0" w:color="auto"/>
            </w:tcBorders>
          </w:tcPr>
          <w:p w14:paraId="5C62A69A" w14:textId="77777777" w:rsidR="00E61562" w:rsidRPr="0030308C" w:rsidRDefault="00E61562" w:rsidP="000E0C52">
            <w:pPr>
              <w:rPr>
                <w:rFonts w:ascii="Arial" w:hAnsi="Arial" w:cs="Arial"/>
                <w:color w:val="000000" w:themeColor="text1"/>
                <w:sz w:val="20"/>
                <w:szCs w:val="20"/>
              </w:rPr>
            </w:pPr>
          </w:p>
        </w:tc>
        <w:tc>
          <w:tcPr>
            <w:tcW w:w="2637" w:type="dxa"/>
            <w:tcBorders>
              <w:top w:val="single" w:sz="4" w:space="0" w:color="auto"/>
            </w:tcBorders>
          </w:tcPr>
          <w:p w14:paraId="4F9E4D9E" w14:textId="77777777" w:rsidR="00E61562" w:rsidRPr="0030308C" w:rsidRDefault="00E61562" w:rsidP="000E0C52">
            <w:pPr>
              <w:rPr>
                <w:rFonts w:ascii="Arial" w:hAnsi="Arial" w:cs="Arial"/>
                <w:color w:val="000000" w:themeColor="text1"/>
                <w:sz w:val="20"/>
                <w:szCs w:val="20"/>
              </w:rPr>
            </w:pPr>
          </w:p>
        </w:tc>
      </w:tr>
      <w:tr w:rsidR="00E61562" w:rsidRPr="0030308C" w14:paraId="493E99B8" w14:textId="77777777" w:rsidTr="000E0C52">
        <w:trPr>
          <w:jc w:val="center"/>
        </w:trPr>
        <w:tc>
          <w:tcPr>
            <w:tcW w:w="4573" w:type="dxa"/>
          </w:tcPr>
          <w:p w14:paraId="38A254AB"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surgeries</w:t>
            </w:r>
          </w:p>
        </w:tc>
        <w:tc>
          <w:tcPr>
            <w:tcW w:w="4455" w:type="dxa"/>
          </w:tcPr>
          <w:p w14:paraId="4696FEC9" w14:textId="77777777" w:rsidR="00E61562" w:rsidRPr="0030308C" w:rsidRDefault="00E61562" w:rsidP="000E0C52">
            <w:pPr>
              <w:rPr>
                <w:rFonts w:ascii="Arial" w:hAnsi="Arial" w:cs="Arial"/>
                <w:color w:val="000000" w:themeColor="text1"/>
                <w:sz w:val="20"/>
                <w:szCs w:val="20"/>
              </w:rPr>
            </w:pPr>
          </w:p>
        </w:tc>
        <w:tc>
          <w:tcPr>
            <w:tcW w:w="1172" w:type="dxa"/>
          </w:tcPr>
          <w:p w14:paraId="29B9369E"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1</w:t>
            </w:r>
          </w:p>
        </w:tc>
        <w:tc>
          <w:tcPr>
            <w:tcW w:w="1418" w:type="dxa"/>
          </w:tcPr>
          <w:p w14:paraId="41711DD2"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0.10</w:t>
            </w:r>
          </w:p>
        </w:tc>
        <w:tc>
          <w:tcPr>
            <w:tcW w:w="1339" w:type="dxa"/>
          </w:tcPr>
          <w:p w14:paraId="2B91D3A3" w14:textId="77777777" w:rsidR="00E61562" w:rsidRPr="0030308C" w:rsidRDefault="00E61562" w:rsidP="000E0C52">
            <w:pPr>
              <w:rPr>
                <w:rFonts w:ascii="Arial" w:hAnsi="Arial" w:cs="Arial"/>
                <w:color w:val="000000" w:themeColor="text1"/>
                <w:sz w:val="20"/>
                <w:szCs w:val="20"/>
              </w:rPr>
            </w:pPr>
          </w:p>
        </w:tc>
        <w:tc>
          <w:tcPr>
            <w:tcW w:w="2637" w:type="dxa"/>
          </w:tcPr>
          <w:p w14:paraId="1470DF98"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Expert opinion.</w:t>
            </w:r>
          </w:p>
        </w:tc>
      </w:tr>
      <w:tr w:rsidR="00E61562" w:rsidRPr="0030308C" w14:paraId="215FDB38" w14:textId="77777777" w:rsidTr="000E0C52">
        <w:trPr>
          <w:jc w:val="center"/>
        </w:trPr>
        <w:tc>
          <w:tcPr>
            <w:tcW w:w="4573" w:type="dxa"/>
          </w:tcPr>
          <w:p w14:paraId="019BF6F9"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Cost of surgery</w:t>
            </w:r>
          </w:p>
        </w:tc>
        <w:tc>
          <w:tcPr>
            <w:tcW w:w="4455" w:type="dxa"/>
          </w:tcPr>
          <w:p w14:paraId="575E5ABD"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DRG 36O with a DRG weight of 0.535.</w:t>
            </w:r>
          </w:p>
        </w:tc>
        <w:tc>
          <w:tcPr>
            <w:tcW w:w="1172" w:type="dxa"/>
          </w:tcPr>
          <w:p w14:paraId="59CBEBE9"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27</w:t>
            </w:r>
            <w:r>
              <w:rPr>
                <w:rFonts w:ascii="Arial" w:hAnsi="Arial" w:cs="Arial"/>
                <w:color w:val="000000" w:themeColor="text1"/>
                <w:sz w:val="20"/>
                <w:szCs w:val="20"/>
              </w:rPr>
              <w:t xml:space="preserve"> </w:t>
            </w:r>
            <w:r w:rsidRPr="0030308C">
              <w:rPr>
                <w:rFonts w:ascii="Arial" w:hAnsi="Arial" w:cs="Arial"/>
                <w:color w:val="000000" w:themeColor="text1"/>
                <w:sz w:val="20"/>
                <w:szCs w:val="20"/>
              </w:rPr>
              <w:t>95</w:t>
            </w:r>
            <w:r>
              <w:rPr>
                <w:rFonts w:ascii="Arial" w:hAnsi="Arial" w:cs="Arial"/>
                <w:color w:val="000000" w:themeColor="text1"/>
                <w:sz w:val="20"/>
                <w:szCs w:val="20"/>
              </w:rPr>
              <w:t>3</w:t>
            </w:r>
          </w:p>
        </w:tc>
        <w:tc>
          <w:tcPr>
            <w:tcW w:w="1418" w:type="dxa"/>
          </w:tcPr>
          <w:p w14:paraId="7F263A7C" w14:textId="77777777" w:rsidR="00E61562" w:rsidRPr="0030308C" w:rsidRDefault="00E61562" w:rsidP="000E0C52">
            <w:pPr>
              <w:rPr>
                <w:rFonts w:ascii="Arial" w:hAnsi="Arial" w:cs="Arial"/>
                <w:color w:val="000000" w:themeColor="text1"/>
                <w:sz w:val="20"/>
                <w:szCs w:val="20"/>
              </w:rPr>
            </w:pPr>
          </w:p>
        </w:tc>
        <w:tc>
          <w:tcPr>
            <w:tcW w:w="1339" w:type="dxa"/>
          </w:tcPr>
          <w:p w14:paraId="789E9603" w14:textId="77777777" w:rsidR="00E61562" w:rsidRPr="0030308C" w:rsidRDefault="00E61562" w:rsidP="000E0C52">
            <w:pPr>
              <w:rPr>
                <w:rFonts w:ascii="Arial" w:hAnsi="Arial" w:cs="Arial"/>
                <w:color w:val="000000" w:themeColor="text1"/>
                <w:sz w:val="20"/>
                <w:szCs w:val="20"/>
              </w:rPr>
            </w:pPr>
          </w:p>
        </w:tc>
        <w:tc>
          <w:tcPr>
            <w:tcW w:w="2637" w:type="dxa"/>
          </w:tcPr>
          <w:p w14:paraId="76EDF1BD"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fldChar w:fldCharType="begin"/>
            </w:r>
            <w:r>
              <w:rPr>
                <w:rFonts w:ascii="Arial" w:hAnsi="Arial" w:cs="Arial"/>
                <w:color w:val="000000" w:themeColor="text1"/>
                <w:sz w:val="20"/>
                <w:szCs w:val="20"/>
              </w:rPr>
              <w:instrText xml:space="preserve"> ADDIN ZOTERO_ITEM CSL_CITATION {"citationID":"rKn0ty6Y","properties":{"formattedCitation":"(10)","plainCitation":"(10)","noteIndex":0},"citationItems":[{"id":1216,"uris":["http://zotero.org/users/local/qnIpXHeo/items/5SCRLPR4"],"itemData":{"id":1216,"type":"dataset","title":"ISF-regelverk 2024: DRG masterliste and Innsatsstyrt finansiering 2024","author":[{"family":"Helsedirektoratet","given":""}],"issued":{"date-parts":[["2023",12]]}}}],"schema":"https://github.com/citation-style-language/schema/raw/master/csl-citation.json"} </w:instrText>
            </w:r>
            <w:r w:rsidRPr="0030308C">
              <w:rPr>
                <w:rFonts w:ascii="Arial" w:hAnsi="Arial" w:cs="Arial"/>
                <w:color w:val="000000" w:themeColor="text1"/>
                <w:sz w:val="20"/>
                <w:szCs w:val="20"/>
              </w:rPr>
              <w:fldChar w:fldCharType="separate"/>
            </w:r>
            <w:r>
              <w:rPr>
                <w:rFonts w:ascii="Arial" w:hAnsi="Arial" w:cs="Arial"/>
                <w:color w:val="000000" w:themeColor="text1"/>
                <w:sz w:val="20"/>
                <w:lang w:val="en-GB"/>
              </w:rPr>
              <w:t>(10)</w:t>
            </w:r>
            <w:r w:rsidRPr="0030308C">
              <w:rPr>
                <w:rFonts w:ascii="Arial" w:hAnsi="Arial" w:cs="Arial"/>
                <w:color w:val="000000" w:themeColor="text1"/>
                <w:sz w:val="20"/>
                <w:szCs w:val="20"/>
              </w:rPr>
              <w:fldChar w:fldCharType="end"/>
            </w:r>
          </w:p>
        </w:tc>
      </w:tr>
      <w:tr w:rsidR="00E61562" w:rsidRPr="0030308C" w14:paraId="50F7ECBC" w14:textId="77777777" w:rsidTr="000E0C52">
        <w:trPr>
          <w:jc w:val="center"/>
        </w:trPr>
        <w:tc>
          <w:tcPr>
            <w:tcW w:w="4573" w:type="dxa"/>
          </w:tcPr>
          <w:p w14:paraId="7569BB0C"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Number of ophthalmologist visits</w:t>
            </w:r>
          </w:p>
        </w:tc>
        <w:tc>
          <w:tcPr>
            <w:tcW w:w="4455" w:type="dxa"/>
          </w:tcPr>
          <w:p w14:paraId="7439B50A"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Monitoring visits.</w:t>
            </w:r>
          </w:p>
        </w:tc>
        <w:tc>
          <w:tcPr>
            <w:tcW w:w="1172" w:type="dxa"/>
          </w:tcPr>
          <w:p w14:paraId="64E3403C"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2</w:t>
            </w:r>
          </w:p>
        </w:tc>
        <w:tc>
          <w:tcPr>
            <w:tcW w:w="1418" w:type="dxa"/>
          </w:tcPr>
          <w:p w14:paraId="7D242485"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0.20</w:t>
            </w:r>
          </w:p>
        </w:tc>
        <w:tc>
          <w:tcPr>
            <w:tcW w:w="1339" w:type="dxa"/>
          </w:tcPr>
          <w:p w14:paraId="6E9A03A4"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Gamma</w:t>
            </w:r>
          </w:p>
        </w:tc>
        <w:tc>
          <w:tcPr>
            <w:tcW w:w="2637" w:type="dxa"/>
          </w:tcPr>
          <w:p w14:paraId="258A980D" w14:textId="77777777" w:rsidR="00E61562" w:rsidRPr="0030308C" w:rsidRDefault="00E61562" w:rsidP="000E0C52">
            <w:pPr>
              <w:rPr>
                <w:rFonts w:ascii="Arial" w:hAnsi="Arial" w:cs="Arial"/>
                <w:color w:val="000000" w:themeColor="text1"/>
                <w:sz w:val="20"/>
                <w:szCs w:val="20"/>
              </w:rPr>
            </w:pPr>
            <w:r w:rsidRPr="0030308C">
              <w:rPr>
                <w:rFonts w:ascii="Arial" w:hAnsi="Arial" w:cs="Arial"/>
                <w:color w:val="000000" w:themeColor="text1"/>
                <w:sz w:val="20"/>
                <w:szCs w:val="20"/>
              </w:rPr>
              <w:t>Expert opinion.</w:t>
            </w:r>
          </w:p>
        </w:tc>
      </w:tr>
    </w:tbl>
    <w:p w14:paraId="5241C31C" w14:textId="77777777" w:rsidR="00E61562" w:rsidRDefault="00E61562" w:rsidP="00E61562">
      <w:pPr>
        <w:jc w:val="both"/>
        <w:rPr>
          <w:rFonts w:ascii="Arial" w:hAnsi="Arial" w:cs="Arial"/>
          <w:color w:val="000000" w:themeColor="text1"/>
          <w:sz w:val="16"/>
          <w:szCs w:val="16"/>
          <w:vertAlign w:val="superscript"/>
          <w:lang w:val="en-US"/>
        </w:rPr>
      </w:pPr>
    </w:p>
    <w:p w14:paraId="3FE6E8B5" w14:textId="77777777" w:rsidR="00E61562" w:rsidRPr="00E338D0" w:rsidRDefault="00E61562" w:rsidP="00E61562">
      <w:pPr>
        <w:jc w:val="both"/>
        <w:rPr>
          <w:rFonts w:ascii="Arial" w:hAnsi="Arial" w:cs="Arial"/>
          <w:color w:val="000000" w:themeColor="text1"/>
          <w:sz w:val="16"/>
          <w:szCs w:val="16"/>
          <w:lang w:val="en-US"/>
        </w:rPr>
      </w:pPr>
      <w:proofErr w:type="gramStart"/>
      <w:r w:rsidRPr="00E338D0">
        <w:rPr>
          <w:rFonts w:ascii="Arial" w:hAnsi="Arial" w:cs="Arial"/>
          <w:color w:val="000000" w:themeColor="text1"/>
          <w:sz w:val="16"/>
          <w:szCs w:val="16"/>
          <w:vertAlign w:val="superscript"/>
          <w:lang w:val="en-US"/>
        </w:rPr>
        <w:t xml:space="preserve">a </w:t>
      </w:r>
      <w:r w:rsidRPr="00E338D0">
        <w:rPr>
          <w:rFonts w:ascii="Arial" w:hAnsi="Arial" w:cs="Arial"/>
          <w:color w:val="000000" w:themeColor="text1"/>
          <w:sz w:val="16"/>
          <w:szCs w:val="16"/>
          <w:lang w:val="en-US"/>
        </w:rPr>
        <w:t>Standard errors</w:t>
      </w:r>
      <w:proofErr w:type="gramEnd"/>
      <w:r w:rsidRPr="00E338D0">
        <w:rPr>
          <w:rFonts w:ascii="Arial" w:hAnsi="Arial" w:cs="Arial"/>
          <w:color w:val="000000" w:themeColor="text1"/>
          <w:sz w:val="16"/>
          <w:szCs w:val="16"/>
          <w:lang w:val="en-US"/>
        </w:rPr>
        <w:t xml:space="preserve"> were unknown, so we assumed 10%.</w:t>
      </w:r>
    </w:p>
    <w:p w14:paraId="187A31F0" w14:textId="77777777" w:rsidR="00E61562" w:rsidRPr="00E338D0" w:rsidRDefault="00E61562" w:rsidP="00E61562">
      <w:pPr>
        <w:jc w:val="both"/>
        <w:rPr>
          <w:rFonts w:ascii="Arial" w:hAnsi="Arial" w:cs="Arial"/>
          <w:color w:val="000000" w:themeColor="text1"/>
          <w:sz w:val="16"/>
          <w:szCs w:val="16"/>
          <w:lang w:val="en-US"/>
        </w:rPr>
        <w:sectPr w:rsidR="00E61562" w:rsidRPr="00E338D0" w:rsidSect="00E61562">
          <w:pgSz w:w="16838" w:h="11906" w:orient="landscape"/>
          <w:pgMar w:top="1440" w:right="1440" w:bottom="1440" w:left="1440" w:header="708" w:footer="708" w:gutter="0"/>
          <w:cols w:space="708"/>
          <w:docGrid w:linePitch="360"/>
        </w:sectPr>
      </w:pPr>
      <w:r w:rsidRPr="00E338D0">
        <w:rPr>
          <w:rFonts w:ascii="Arial" w:hAnsi="Arial" w:cs="Arial"/>
          <w:color w:val="000000" w:themeColor="text1"/>
          <w:sz w:val="16"/>
          <w:szCs w:val="16"/>
          <w:vertAlign w:val="superscript"/>
          <w:lang w:val="en-US"/>
        </w:rPr>
        <w:t>b</w:t>
      </w:r>
      <w:r w:rsidRPr="00E338D0">
        <w:rPr>
          <w:color w:val="000000" w:themeColor="text1"/>
          <w:sz w:val="16"/>
          <w:szCs w:val="16"/>
        </w:rPr>
        <w:t xml:space="preserve"> </w:t>
      </w:r>
      <w:r w:rsidRPr="00E338D0">
        <w:rPr>
          <w:rFonts w:ascii="Arial" w:hAnsi="Arial" w:cs="Arial"/>
          <w:color w:val="000000" w:themeColor="text1"/>
          <w:sz w:val="16"/>
          <w:szCs w:val="16"/>
          <w:lang w:val="en-US"/>
        </w:rPr>
        <w:t>When no distribution and standard error were reported, the variable is not included in the probabilistic analysis.</w:t>
      </w:r>
    </w:p>
    <w:p w14:paraId="17011E55" w14:textId="77777777" w:rsidR="00A13BDC" w:rsidRPr="00CB5620" w:rsidRDefault="00A13BDC" w:rsidP="00A13BDC">
      <w:pPr>
        <w:rPr>
          <w:rFonts w:ascii="Arial" w:hAnsi="Arial" w:cs="Arial"/>
          <w:b/>
          <w:bCs/>
          <w:color w:val="000000" w:themeColor="text1"/>
        </w:rPr>
      </w:pPr>
      <w:r w:rsidRPr="00CB5620">
        <w:rPr>
          <w:rFonts w:ascii="Arial" w:hAnsi="Arial" w:cs="Arial"/>
          <w:b/>
          <w:bCs/>
          <w:color w:val="000000" w:themeColor="text1"/>
        </w:rPr>
        <w:lastRenderedPageBreak/>
        <w:t>References</w:t>
      </w:r>
    </w:p>
    <w:p w14:paraId="20F5668B" w14:textId="77777777" w:rsidR="00A13BDC" w:rsidRPr="00E666FF" w:rsidRDefault="00A13BDC" w:rsidP="00A13BDC">
      <w:pPr>
        <w:pStyle w:val="Bibliography"/>
        <w:rPr>
          <w:rFonts w:ascii="Arial" w:hAnsi="Arial" w:cs="Arial"/>
          <w:color w:val="000000"/>
        </w:rPr>
      </w:pPr>
      <w:r w:rsidRPr="00E666FF">
        <w:rPr>
          <w:rFonts w:ascii="Arial" w:hAnsi="Arial" w:cs="Arial"/>
          <w:color w:val="000000" w:themeColor="text1"/>
        </w:rPr>
        <w:t xml:space="preserve"> </w:t>
      </w:r>
      <w:r w:rsidRPr="00E666FF">
        <w:rPr>
          <w:rFonts w:ascii="Arial" w:hAnsi="Arial" w:cs="Arial"/>
          <w:color w:val="000000" w:themeColor="text1"/>
        </w:rPr>
        <w:fldChar w:fldCharType="begin"/>
      </w:r>
      <w:r w:rsidRPr="00E666FF">
        <w:rPr>
          <w:rFonts w:ascii="Arial" w:hAnsi="Arial" w:cs="Arial"/>
          <w:color w:val="000000" w:themeColor="text1"/>
        </w:rPr>
        <w:instrText xml:space="preserve"> ADDIN ZOTERO_BIBL {"uncited":[],"omitted":[],"custom":[]} CSL_BIBLIOGRAPHY </w:instrText>
      </w:r>
      <w:r w:rsidRPr="00E666FF">
        <w:rPr>
          <w:rFonts w:ascii="Arial" w:hAnsi="Arial" w:cs="Arial"/>
          <w:color w:val="000000" w:themeColor="text1"/>
        </w:rPr>
        <w:fldChar w:fldCharType="separate"/>
      </w:r>
      <w:r w:rsidRPr="00E666FF">
        <w:rPr>
          <w:rFonts w:ascii="Arial" w:hAnsi="Arial" w:cs="Arial"/>
          <w:color w:val="000000"/>
        </w:rPr>
        <w:t>1.</w:t>
      </w:r>
      <w:r w:rsidRPr="00E666FF">
        <w:rPr>
          <w:rFonts w:ascii="Arial" w:hAnsi="Arial" w:cs="Arial"/>
          <w:color w:val="000000"/>
        </w:rPr>
        <w:tab/>
        <w:t xml:space="preserve">Ferrante N, Ritrovato D, Bitonti R, </w:t>
      </w:r>
      <w:proofErr w:type="spellStart"/>
      <w:r w:rsidRPr="00E666FF">
        <w:rPr>
          <w:rFonts w:ascii="Arial" w:hAnsi="Arial" w:cs="Arial"/>
          <w:color w:val="000000"/>
        </w:rPr>
        <w:t>Furneri</w:t>
      </w:r>
      <w:proofErr w:type="spellEnd"/>
      <w:r w:rsidRPr="00E666FF">
        <w:rPr>
          <w:rFonts w:ascii="Arial" w:hAnsi="Arial" w:cs="Arial"/>
          <w:color w:val="000000"/>
        </w:rPr>
        <w:t xml:space="preserve"> G. Cost-effectiveness analysis of brolucizumab versus aflibercept for the treatment of neovascular age-related macular degeneration (</w:t>
      </w:r>
      <w:proofErr w:type="spellStart"/>
      <w:r w:rsidRPr="00E666FF">
        <w:rPr>
          <w:rFonts w:ascii="Arial" w:hAnsi="Arial" w:cs="Arial"/>
          <w:color w:val="000000"/>
        </w:rPr>
        <w:t>nAMD</w:t>
      </w:r>
      <w:proofErr w:type="spellEnd"/>
      <w:r w:rsidRPr="00E666FF">
        <w:rPr>
          <w:rFonts w:ascii="Arial" w:hAnsi="Arial" w:cs="Arial"/>
          <w:color w:val="000000"/>
        </w:rPr>
        <w:t>) in Italy. BMC Health Serv Res. 2022 Apr 29;22(1):573. doi:10.1186/s12913-022-07972-w</w:t>
      </w:r>
    </w:p>
    <w:p w14:paraId="016B96CD" w14:textId="77777777" w:rsidR="00A13BDC" w:rsidRPr="00E666FF" w:rsidRDefault="00A13BDC" w:rsidP="00A13BDC">
      <w:pPr>
        <w:pStyle w:val="Bibliography"/>
        <w:rPr>
          <w:rFonts w:ascii="Arial" w:hAnsi="Arial" w:cs="Arial"/>
          <w:color w:val="000000"/>
        </w:rPr>
      </w:pPr>
      <w:r w:rsidRPr="00E666FF">
        <w:rPr>
          <w:rFonts w:ascii="Arial" w:hAnsi="Arial" w:cs="Arial"/>
          <w:color w:val="000000"/>
        </w:rPr>
        <w:t>2.</w:t>
      </w:r>
      <w:r w:rsidRPr="00E666FF">
        <w:rPr>
          <w:rFonts w:ascii="Arial" w:hAnsi="Arial" w:cs="Arial"/>
          <w:color w:val="000000"/>
        </w:rPr>
        <w:tab/>
        <w:t xml:space="preserve">NICE. </w:t>
      </w:r>
      <w:proofErr w:type="spellStart"/>
      <w:r w:rsidRPr="00E666FF">
        <w:rPr>
          <w:rFonts w:ascii="Arial" w:hAnsi="Arial" w:cs="Arial"/>
          <w:color w:val="000000"/>
        </w:rPr>
        <w:t>Macula</w:t>
      </w:r>
      <w:proofErr w:type="spellEnd"/>
      <w:r w:rsidRPr="00E666FF">
        <w:rPr>
          <w:rFonts w:ascii="Arial" w:hAnsi="Arial" w:cs="Arial"/>
          <w:color w:val="000000"/>
        </w:rPr>
        <w:t xml:space="preserve"> degeneration Appendix G: Network meta-analysis. 2018.</w:t>
      </w:r>
    </w:p>
    <w:p w14:paraId="1784E1B6" w14:textId="77777777" w:rsidR="00A13BDC" w:rsidRPr="00E666FF" w:rsidRDefault="00A13BDC" w:rsidP="00A13BDC">
      <w:pPr>
        <w:pStyle w:val="Bibliography"/>
        <w:rPr>
          <w:rFonts w:ascii="Arial" w:hAnsi="Arial" w:cs="Arial"/>
          <w:color w:val="000000"/>
        </w:rPr>
      </w:pPr>
      <w:r w:rsidRPr="00E666FF">
        <w:rPr>
          <w:rFonts w:ascii="Arial" w:hAnsi="Arial" w:cs="Arial"/>
          <w:color w:val="000000"/>
        </w:rPr>
        <w:t>3.</w:t>
      </w:r>
      <w:r w:rsidRPr="00E666FF">
        <w:rPr>
          <w:rFonts w:ascii="Arial" w:hAnsi="Arial" w:cs="Arial"/>
          <w:color w:val="000000"/>
        </w:rPr>
        <w:tab/>
        <w:t xml:space="preserve">Solomon SD, Lindsley K, Vedula SS, </w:t>
      </w:r>
      <w:proofErr w:type="spellStart"/>
      <w:r w:rsidRPr="00E666FF">
        <w:rPr>
          <w:rFonts w:ascii="Arial" w:hAnsi="Arial" w:cs="Arial"/>
          <w:color w:val="000000"/>
        </w:rPr>
        <w:t>Krzystolik</w:t>
      </w:r>
      <w:proofErr w:type="spellEnd"/>
      <w:r w:rsidRPr="00E666FF">
        <w:rPr>
          <w:rFonts w:ascii="Arial" w:hAnsi="Arial" w:cs="Arial"/>
          <w:color w:val="000000"/>
        </w:rPr>
        <w:t xml:space="preserve"> MG, Hawkins BS. Anti</w:t>
      </w:r>
      <w:r w:rsidRPr="00E666FF">
        <w:rPr>
          <w:rFonts w:ascii="Cambria Math" w:hAnsi="Cambria Math" w:cs="Cambria Math"/>
          <w:color w:val="000000"/>
        </w:rPr>
        <w:t>‐</w:t>
      </w:r>
      <w:r w:rsidRPr="00E666FF">
        <w:rPr>
          <w:rFonts w:ascii="Arial" w:hAnsi="Arial" w:cs="Arial"/>
          <w:color w:val="000000"/>
        </w:rPr>
        <w:t>vascular endothelial growth factor for neovascular age</w:t>
      </w:r>
      <w:r w:rsidRPr="00E666FF">
        <w:rPr>
          <w:rFonts w:ascii="Cambria Math" w:hAnsi="Cambria Math" w:cs="Cambria Math"/>
          <w:color w:val="000000"/>
        </w:rPr>
        <w:t>‐</w:t>
      </w:r>
      <w:r w:rsidRPr="00E666FF">
        <w:rPr>
          <w:rFonts w:ascii="Arial" w:hAnsi="Arial" w:cs="Arial"/>
          <w:color w:val="000000"/>
        </w:rPr>
        <w:t xml:space="preserve">related macular degeneration. Cochrane Database Syst Rev. 2014;(8). </w:t>
      </w:r>
      <w:proofErr w:type="gramStart"/>
      <w:r w:rsidRPr="00E666FF">
        <w:rPr>
          <w:rFonts w:ascii="Arial" w:hAnsi="Arial" w:cs="Arial"/>
          <w:color w:val="000000"/>
        </w:rPr>
        <w:t>doi:10.1002/14651858.CD005139.pub3</w:t>
      </w:r>
      <w:proofErr w:type="gramEnd"/>
    </w:p>
    <w:p w14:paraId="5FD3AF2D" w14:textId="77777777" w:rsidR="00A13BDC" w:rsidRPr="00E666FF" w:rsidRDefault="00A13BDC" w:rsidP="00A13BDC">
      <w:pPr>
        <w:pStyle w:val="Bibliography"/>
        <w:rPr>
          <w:rFonts w:ascii="Arial" w:hAnsi="Arial" w:cs="Arial"/>
          <w:color w:val="000000"/>
        </w:rPr>
      </w:pPr>
      <w:r w:rsidRPr="00E666FF">
        <w:rPr>
          <w:rFonts w:ascii="Arial" w:hAnsi="Arial" w:cs="Arial"/>
          <w:color w:val="000000"/>
        </w:rPr>
        <w:t>4.</w:t>
      </w:r>
      <w:r w:rsidRPr="00E666FF">
        <w:rPr>
          <w:rFonts w:ascii="Arial" w:hAnsi="Arial" w:cs="Arial"/>
          <w:color w:val="000000"/>
        </w:rPr>
        <w:tab/>
        <w:t xml:space="preserve">Regillo C, Berger B, Brooks L, Clark WL, Mittra R, Wykoff CC, et al. Archway Phase 3 Trial of the Port Delivery System with Ranibizumab for Neovascular Age-Related Macular Degeneration 2-Year Results. Ophthalmology. 2023 Jul;130(7):735–47. </w:t>
      </w:r>
      <w:proofErr w:type="gramStart"/>
      <w:r w:rsidRPr="00E666FF">
        <w:rPr>
          <w:rFonts w:ascii="Arial" w:hAnsi="Arial" w:cs="Arial"/>
          <w:color w:val="000000"/>
        </w:rPr>
        <w:t>doi:10.1016/j.ophtha</w:t>
      </w:r>
      <w:proofErr w:type="gramEnd"/>
      <w:r w:rsidRPr="00E666FF">
        <w:rPr>
          <w:rFonts w:ascii="Arial" w:hAnsi="Arial" w:cs="Arial"/>
          <w:color w:val="000000"/>
        </w:rPr>
        <w:t>.2023.02.024 PubMed PMID: 36870451.</w:t>
      </w:r>
    </w:p>
    <w:p w14:paraId="56F42F32" w14:textId="77777777" w:rsidR="00A13BDC" w:rsidRPr="00E666FF" w:rsidRDefault="00A13BDC" w:rsidP="00A13BDC">
      <w:pPr>
        <w:pStyle w:val="Bibliography"/>
        <w:rPr>
          <w:rFonts w:ascii="Arial" w:hAnsi="Arial" w:cs="Arial"/>
          <w:color w:val="000000"/>
        </w:rPr>
      </w:pPr>
      <w:r w:rsidRPr="00E666FF">
        <w:rPr>
          <w:rFonts w:ascii="Arial" w:hAnsi="Arial" w:cs="Arial"/>
          <w:color w:val="000000"/>
        </w:rPr>
        <w:t>5.</w:t>
      </w:r>
      <w:r w:rsidRPr="00E666FF">
        <w:rPr>
          <w:rFonts w:ascii="Arial" w:hAnsi="Arial" w:cs="Arial"/>
          <w:color w:val="000000"/>
        </w:rPr>
        <w:tab/>
        <w:t xml:space="preserve">Brown GC. Vision and quality-of-life. Trans Am </w:t>
      </w:r>
      <w:proofErr w:type="spellStart"/>
      <w:r w:rsidRPr="00E666FF">
        <w:rPr>
          <w:rFonts w:ascii="Arial" w:hAnsi="Arial" w:cs="Arial"/>
          <w:color w:val="000000"/>
        </w:rPr>
        <w:t>Ophthalmol</w:t>
      </w:r>
      <w:proofErr w:type="spellEnd"/>
      <w:r w:rsidRPr="00E666FF">
        <w:rPr>
          <w:rFonts w:ascii="Arial" w:hAnsi="Arial" w:cs="Arial"/>
          <w:color w:val="000000"/>
        </w:rPr>
        <w:t xml:space="preserve"> Soc. </w:t>
      </w:r>
      <w:proofErr w:type="gramStart"/>
      <w:r w:rsidRPr="00E666FF">
        <w:rPr>
          <w:rFonts w:ascii="Arial" w:hAnsi="Arial" w:cs="Arial"/>
          <w:color w:val="000000"/>
        </w:rPr>
        <w:t>1999;97:473</w:t>
      </w:r>
      <w:proofErr w:type="gramEnd"/>
      <w:r w:rsidRPr="00E666FF">
        <w:rPr>
          <w:rFonts w:ascii="Arial" w:hAnsi="Arial" w:cs="Arial"/>
          <w:color w:val="000000"/>
        </w:rPr>
        <w:t>–511. Located at: Scopus</w:t>
      </w:r>
    </w:p>
    <w:p w14:paraId="70C36B3A" w14:textId="77777777" w:rsidR="00A13BDC" w:rsidRPr="00E666FF" w:rsidRDefault="00A13BDC" w:rsidP="00A13BDC">
      <w:pPr>
        <w:pStyle w:val="Bibliography"/>
        <w:rPr>
          <w:rFonts w:ascii="Arial" w:hAnsi="Arial" w:cs="Arial"/>
          <w:color w:val="000000"/>
        </w:rPr>
      </w:pPr>
      <w:r w:rsidRPr="00E666FF">
        <w:rPr>
          <w:rFonts w:ascii="Arial" w:hAnsi="Arial" w:cs="Arial"/>
          <w:color w:val="000000"/>
        </w:rPr>
        <w:t>6.</w:t>
      </w:r>
      <w:r w:rsidRPr="00E666FF">
        <w:rPr>
          <w:rFonts w:ascii="Arial" w:hAnsi="Arial" w:cs="Arial"/>
          <w:color w:val="000000"/>
        </w:rPr>
        <w:tab/>
        <w:t xml:space="preserve">Brown GC, Sharma S, Brown MM, Kistler J. Utility Values and Age-related Macular Degeneration. Arch </w:t>
      </w:r>
      <w:proofErr w:type="spellStart"/>
      <w:r w:rsidRPr="00E666FF">
        <w:rPr>
          <w:rFonts w:ascii="Arial" w:hAnsi="Arial" w:cs="Arial"/>
          <w:color w:val="000000"/>
        </w:rPr>
        <w:t>Ophthalmol</w:t>
      </w:r>
      <w:proofErr w:type="spellEnd"/>
      <w:r w:rsidRPr="00E666FF">
        <w:rPr>
          <w:rFonts w:ascii="Arial" w:hAnsi="Arial" w:cs="Arial"/>
          <w:color w:val="000000"/>
        </w:rPr>
        <w:t>. 2000 Jan 1;118(1):47–51. doi:10.1001/archopht.118.1.47</w:t>
      </w:r>
    </w:p>
    <w:p w14:paraId="13F576A6" w14:textId="77777777" w:rsidR="00A13BDC" w:rsidRPr="00E666FF" w:rsidRDefault="00A13BDC" w:rsidP="00A13BDC">
      <w:pPr>
        <w:pStyle w:val="Bibliography"/>
        <w:rPr>
          <w:rFonts w:ascii="Arial" w:hAnsi="Arial" w:cs="Arial"/>
          <w:color w:val="000000"/>
        </w:rPr>
      </w:pPr>
      <w:r w:rsidRPr="00E666FF">
        <w:rPr>
          <w:rFonts w:ascii="Arial" w:hAnsi="Arial" w:cs="Arial"/>
          <w:color w:val="000000"/>
        </w:rPr>
        <w:t>7.</w:t>
      </w:r>
      <w:r w:rsidRPr="00E666FF">
        <w:rPr>
          <w:rFonts w:ascii="Arial" w:hAnsi="Arial" w:cs="Arial"/>
          <w:color w:val="000000"/>
        </w:rPr>
        <w:tab/>
        <w:t xml:space="preserve">SSB. SSB [Internet]. 2022 [cited 2024 May 15]. </w:t>
      </w:r>
      <w:r w:rsidRPr="00E666FF">
        <w:rPr>
          <w:rFonts w:ascii="Arial" w:hAnsi="Arial" w:cs="Arial"/>
          <w:color w:val="000000"/>
          <w:lang w:val="nl-NL"/>
        </w:rPr>
        <w:t xml:space="preserve">07902: </w:t>
      </w:r>
      <w:proofErr w:type="spellStart"/>
      <w:r w:rsidRPr="00E666FF">
        <w:rPr>
          <w:rFonts w:ascii="Arial" w:hAnsi="Arial" w:cs="Arial"/>
          <w:color w:val="000000"/>
          <w:lang w:val="nl-NL"/>
        </w:rPr>
        <w:t>Dødelighetstabeller</w:t>
      </w:r>
      <w:proofErr w:type="spellEnd"/>
      <w:r w:rsidRPr="00E666FF">
        <w:rPr>
          <w:rFonts w:ascii="Arial" w:hAnsi="Arial" w:cs="Arial"/>
          <w:color w:val="000000"/>
          <w:lang w:val="nl-NL"/>
        </w:rPr>
        <w:t xml:space="preserve">, etter </w:t>
      </w:r>
      <w:proofErr w:type="spellStart"/>
      <w:r w:rsidRPr="00E666FF">
        <w:rPr>
          <w:rFonts w:ascii="Arial" w:hAnsi="Arial" w:cs="Arial"/>
          <w:color w:val="000000"/>
          <w:lang w:val="nl-NL"/>
        </w:rPr>
        <w:t>kjønn</w:t>
      </w:r>
      <w:proofErr w:type="spellEnd"/>
      <w:r w:rsidRPr="00E666FF">
        <w:rPr>
          <w:rFonts w:ascii="Arial" w:hAnsi="Arial" w:cs="Arial"/>
          <w:color w:val="000000"/>
          <w:lang w:val="nl-NL"/>
        </w:rPr>
        <w:t xml:space="preserve"> </w:t>
      </w:r>
      <w:proofErr w:type="spellStart"/>
      <w:r w:rsidRPr="00E666FF">
        <w:rPr>
          <w:rFonts w:ascii="Arial" w:hAnsi="Arial" w:cs="Arial"/>
          <w:color w:val="000000"/>
          <w:lang w:val="nl-NL"/>
        </w:rPr>
        <w:t>og</w:t>
      </w:r>
      <w:proofErr w:type="spellEnd"/>
      <w:r w:rsidRPr="00E666FF">
        <w:rPr>
          <w:rFonts w:ascii="Arial" w:hAnsi="Arial" w:cs="Arial"/>
          <w:color w:val="000000"/>
          <w:lang w:val="nl-NL"/>
        </w:rPr>
        <w:t xml:space="preserve"> </w:t>
      </w:r>
      <w:proofErr w:type="spellStart"/>
      <w:r w:rsidRPr="00E666FF">
        <w:rPr>
          <w:rFonts w:ascii="Arial" w:hAnsi="Arial" w:cs="Arial"/>
          <w:color w:val="000000"/>
          <w:lang w:val="nl-NL"/>
        </w:rPr>
        <w:t>alder</w:t>
      </w:r>
      <w:proofErr w:type="spellEnd"/>
      <w:r w:rsidRPr="00E666FF">
        <w:rPr>
          <w:rFonts w:ascii="Arial" w:hAnsi="Arial" w:cs="Arial"/>
          <w:color w:val="000000"/>
          <w:lang w:val="nl-NL"/>
        </w:rPr>
        <w:t xml:space="preserve"> 1966 - 2023. </w:t>
      </w:r>
      <w:proofErr w:type="spellStart"/>
      <w:r w:rsidRPr="00E666FF">
        <w:rPr>
          <w:rFonts w:ascii="Arial" w:hAnsi="Arial" w:cs="Arial"/>
          <w:color w:val="000000"/>
        </w:rPr>
        <w:t>Statistikkbanken</w:t>
      </w:r>
      <w:proofErr w:type="spellEnd"/>
      <w:r w:rsidRPr="00E666FF">
        <w:rPr>
          <w:rFonts w:ascii="Arial" w:hAnsi="Arial" w:cs="Arial"/>
          <w:color w:val="000000"/>
        </w:rPr>
        <w:t>. Available from: https://www.ssb.no/system/</w:t>
      </w:r>
    </w:p>
    <w:p w14:paraId="4AD58B68" w14:textId="77777777" w:rsidR="00A13BDC" w:rsidRPr="00E666FF" w:rsidRDefault="00A13BDC" w:rsidP="00A13BDC">
      <w:pPr>
        <w:pStyle w:val="Bibliography"/>
        <w:rPr>
          <w:rFonts w:ascii="Arial" w:hAnsi="Arial" w:cs="Arial"/>
          <w:color w:val="000000"/>
        </w:rPr>
      </w:pPr>
      <w:r w:rsidRPr="00E666FF">
        <w:rPr>
          <w:rFonts w:ascii="Arial" w:hAnsi="Arial" w:cs="Arial"/>
          <w:color w:val="000000"/>
        </w:rPr>
        <w:t>8.</w:t>
      </w:r>
      <w:r w:rsidRPr="00E666FF">
        <w:rPr>
          <w:rFonts w:ascii="Arial" w:hAnsi="Arial" w:cs="Arial"/>
          <w:color w:val="000000"/>
        </w:rPr>
        <w:tab/>
        <w:t xml:space="preserve">NICE. </w:t>
      </w:r>
      <w:proofErr w:type="spellStart"/>
      <w:r w:rsidRPr="00E666FF">
        <w:rPr>
          <w:rFonts w:ascii="Arial" w:hAnsi="Arial" w:cs="Arial"/>
          <w:color w:val="000000"/>
        </w:rPr>
        <w:t>Macula</w:t>
      </w:r>
      <w:proofErr w:type="spellEnd"/>
      <w:r w:rsidRPr="00E666FF">
        <w:rPr>
          <w:rFonts w:ascii="Arial" w:hAnsi="Arial" w:cs="Arial"/>
          <w:color w:val="000000"/>
        </w:rPr>
        <w:t xml:space="preserve"> degeneration Appendix J: Health Economics [Internet]. NICE; 2018 [cited 2024 Jan 10]. Available from: https://www.nice.org.uk/guidance/ta294/chapter/3-The-manufacturers-submission#cost-effectiveness</w:t>
      </w:r>
    </w:p>
    <w:p w14:paraId="7D51EB18" w14:textId="77777777" w:rsidR="00A13BDC" w:rsidRPr="00E666FF" w:rsidRDefault="00A13BDC" w:rsidP="00A13BDC">
      <w:pPr>
        <w:pStyle w:val="Bibliography"/>
        <w:rPr>
          <w:rFonts w:ascii="Arial" w:hAnsi="Arial" w:cs="Arial"/>
          <w:color w:val="000000"/>
        </w:rPr>
      </w:pPr>
      <w:r w:rsidRPr="00E666FF">
        <w:rPr>
          <w:rFonts w:ascii="Arial" w:hAnsi="Arial" w:cs="Arial"/>
          <w:color w:val="000000"/>
        </w:rPr>
        <w:t>9.</w:t>
      </w:r>
      <w:r w:rsidRPr="00E666FF">
        <w:rPr>
          <w:rFonts w:ascii="Arial" w:hAnsi="Arial" w:cs="Arial"/>
          <w:color w:val="000000"/>
        </w:rPr>
        <w:tab/>
        <w:t xml:space="preserve">Brown GC, Brown MM, </w:t>
      </w:r>
      <w:proofErr w:type="spellStart"/>
      <w:r w:rsidRPr="00E666FF">
        <w:rPr>
          <w:rFonts w:ascii="Arial" w:hAnsi="Arial" w:cs="Arial"/>
          <w:color w:val="000000"/>
        </w:rPr>
        <w:t>Monigle</w:t>
      </w:r>
      <w:proofErr w:type="spellEnd"/>
      <w:r w:rsidRPr="00E666FF">
        <w:rPr>
          <w:rFonts w:ascii="Arial" w:hAnsi="Arial" w:cs="Arial"/>
          <w:color w:val="000000"/>
        </w:rPr>
        <w:t xml:space="preserve"> MC. Cost-Utility Analysis of the Port Delivery System with Ranibizumab for Neovascular Age-Related Macular Degeneration. </w:t>
      </w:r>
      <w:proofErr w:type="spellStart"/>
      <w:r w:rsidRPr="00E666FF">
        <w:rPr>
          <w:rFonts w:ascii="Arial" w:hAnsi="Arial" w:cs="Arial"/>
          <w:color w:val="000000"/>
        </w:rPr>
        <w:t>Ophthalmol</w:t>
      </w:r>
      <w:proofErr w:type="spellEnd"/>
      <w:r w:rsidRPr="00E666FF">
        <w:rPr>
          <w:rFonts w:ascii="Arial" w:hAnsi="Arial" w:cs="Arial"/>
          <w:color w:val="000000"/>
        </w:rPr>
        <w:t xml:space="preserve"> Retina. 2023 Nov 21. </w:t>
      </w:r>
      <w:proofErr w:type="gramStart"/>
      <w:r w:rsidRPr="00E666FF">
        <w:rPr>
          <w:rFonts w:ascii="Arial" w:hAnsi="Arial" w:cs="Arial"/>
          <w:color w:val="000000"/>
        </w:rPr>
        <w:t>doi:10.1016/j.oret</w:t>
      </w:r>
      <w:proofErr w:type="gramEnd"/>
      <w:r w:rsidRPr="00E666FF">
        <w:rPr>
          <w:rFonts w:ascii="Arial" w:hAnsi="Arial" w:cs="Arial"/>
          <w:color w:val="000000"/>
        </w:rPr>
        <w:t>.2023.11.002</w:t>
      </w:r>
    </w:p>
    <w:p w14:paraId="4AB50183" w14:textId="77777777" w:rsidR="00A13BDC" w:rsidRPr="00E666FF" w:rsidRDefault="00A13BDC" w:rsidP="00A13BDC">
      <w:pPr>
        <w:pStyle w:val="Bibliography"/>
        <w:rPr>
          <w:rFonts w:ascii="Arial" w:hAnsi="Arial" w:cs="Arial"/>
          <w:color w:val="000000"/>
        </w:rPr>
      </w:pPr>
      <w:r w:rsidRPr="00E666FF">
        <w:rPr>
          <w:rFonts w:ascii="Arial" w:hAnsi="Arial" w:cs="Arial"/>
          <w:color w:val="000000"/>
        </w:rPr>
        <w:t>10.</w:t>
      </w:r>
      <w:r w:rsidRPr="00E666FF">
        <w:rPr>
          <w:rFonts w:ascii="Arial" w:hAnsi="Arial" w:cs="Arial"/>
          <w:color w:val="000000"/>
        </w:rPr>
        <w:tab/>
      </w:r>
      <w:proofErr w:type="spellStart"/>
      <w:r w:rsidRPr="00E666FF">
        <w:rPr>
          <w:rFonts w:ascii="Arial" w:hAnsi="Arial" w:cs="Arial"/>
          <w:color w:val="000000"/>
        </w:rPr>
        <w:t>Helsedirektoratet</w:t>
      </w:r>
      <w:proofErr w:type="spellEnd"/>
      <w:r w:rsidRPr="00E666FF">
        <w:rPr>
          <w:rFonts w:ascii="Arial" w:hAnsi="Arial" w:cs="Arial"/>
          <w:color w:val="000000"/>
        </w:rPr>
        <w:t>. ISF-</w:t>
      </w:r>
      <w:proofErr w:type="spellStart"/>
      <w:r w:rsidRPr="00E666FF">
        <w:rPr>
          <w:rFonts w:ascii="Arial" w:hAnsi="Arial" w:cs="Arial"/>
          <w:color w:val="000000"/>
        </w:rPr>
        <w:t>regelverk</w:t>
      </w:r>
      <w:proofErr w:type="spellEnd"/>
      <w:r w:rsidRPr="00E666FF">
        <w:rPr>
          <w:rFonts w:ascii="Arial" w:hAnsi="Arial" w:cs="Arial"/>
          <w:color w:val="000000"/>
        </w:rPr>
        <w:t xml:space="preserve"> 2024: DRG </w:t>
      </w:r>
      <w:proofErr w:type="spellStart"/>
      <w:r w:rsidRPr="00E666FF">
        <w:rPr>
          <w:rFonts w:ascii="Arial" w:hAnsi="Arial" w:cs="Arial"/>
          <w:color w:val="000000"/>
        </w:rPr>
        <w:t>masterliste</w:t>
      </w:r>
      <w:proofErr w:type="spellEnd"/>
      <w:r w:rsidRPr="00E666FF">
        <w:rPr>
          <w:rFonts w:ascii="Arial" w:hAnsi="Arial" w:cs="Arial"/>
          <w:color w:val="000000"/>
        </w:rPr>
        <w:t xml:space="preserve"> and </w:t>
      </w:r>
      <w:proofErr w:type="spellStart"/>
      <w:r w:rsidRPr="00E666FF">
        <w:rPr>
          <w:rFonts w:ascii="Arial" w:hAnsi="Arial" w:cs="Arial"/>
          <w:color w:val="000000"/>
        </w:rPr>
        <w:t>Innsatsstyrt</w:t>
      </w:r>
      <w:proofErr w:type="spellEnd"/>
      <w:r w:rsidRPr="00E666FF">
        <w:rPr>
          <w:rFonts w:ascii="Arial" w:hAnsi="Arial" w:cs="Arial"/>
          <w:color w:val="000000"/>
        </w:rPr>
        <w:t xml:space="preserve"> </w:t>
      </w:r>
      <w:proofErr w:type="spellStart"/>
      <w:r w:rsidRPr="00E666FF">
        <w:rPr>
          <w:rFonts w:ascii="Arial" w:hAnsi="Arial" w:cs="Arial"/>
          <w:color w:val="000000"/>
        </w:rPr>
        <w:t>finansiering</w:t>
      </w:r>
      <w:proofErr w:type="spellEnd"/>
      <w:r w:rsidRPr="00E666FF">
        <w:rPr>
          <w:rFonts w:ascii="Arial" w:hAnsi="Arial" w:cs="Arial"/>
          <w:color w:val="000000"/>
        </w:rPr>
        <w:t xml:space="preserve"> 2024. 2023.</w:t>
      </w:r>
    </w:p>
    <w:p w14:paraId="1D07D9EE" w14:textId="77777777" w:rsidR="00A13BDC" w:rsidRPr="00E666FF" w:rsidRDefault="00A13BDC" w:rsidP="00A13BDC">
      <w:pPr>
        <w:pStyle w:val="Bibliography"/>
        <w:rPr>
          <w:rFonts w:ascii="Arial" w:hAnsi="Arial" w:cs="Arial"/>
          <w:color w:val="000000"/>
        </w:rPr>
      </w:pPr>
      <w:r w:rsidRPr="00E666FF">
        <w:rPr>
          <w:rFonts w:ascii="Arial" w:hAnsi="Arial" w:cs="Arial"/>
          <w:color w:val="000000"/>
        </w:rPr>
        <w:t>11.</w:t>
      </w:r>
      <w:r w:rsidRPr="00E666FF">
        <w:rPr>
          <w:rFonts w:ascii="Arial" w:hAnsi="Arial" w:cs="Arial"/>
          <w:color w:val="000000"/>
        </w:rPr>
        <w:tab/>
        <w:t xml:space="preserve">Norwegian Medical Product Agency. </w:t>
      </w:r>
      <w:proofErr w:type="spellStart"/>
      <w:r w:rsidRPr="00E666FF">
        <w:rPr>
          <w:rFonts w:ascii="Arial" w:hAnsi="Arial" w:cs="Arial"/>
          <w:color w:val="000000"/>
        </w:rPr>
        <w:t>Legemidelpriser</w:t>
      </w:r>
      <w:proofErr w:type="spellEnd"/>
      <w:r w:rsidRPr="00E666FF">
        <w:rPr>
          <w:rFonts w:ascii="Arial" w:hAnsi="Arial" w:cs="Arial"/>
          <w:color w:val="000000"/>
        </w:rPr>
        <w:t xml:space="preserve"> [Internet]. Available from: https://www.legemiddelsok.no</w:t>
      </w:r>
    </w:p>
    <w:p w14:paraId="5140430C" w14:textId="77777777" w:rsidR="00A13BDC" w:rsidRPr="00E666FF" w:rsidRDefault="00A13BDC" w:rsidP="00A13BDC">
      <w:pPr>
        <w:pStyle w:val="Bibliography"/>
        <w:rPr>
          <w:rFonts w:ascii="Arial" w:hAnsi="Arial" w:cs="Arial"/>
          <w:color w:val="000000"/>
        </w:rPr>
      </w:pPr>
      <w:r w:rsidRPr="00E666FF">
        <w:rPr>
          <w:rFonts w:ascii="Arial" w:hAnsi="Arial" w:cs="Arial"/>
          <w:color w:val="000000"/>
        </w:rPr>
        <w:t>12.</w:t>
      </w:r>
      <w:r w:rsidRPr="00E666FF">
        <w:rPr>
          <w:rFonts w:ascii="Arial" w:hAnsi="Arial" w:cs="Arial"/>
          <w:color w:val="000000"/>
        </w:rPr>
        <w:tab/>
      </w:r>
      <w:proofErr w:type="spellStart"/>
      <w:r w:rsidRPr="00E666FF">
        <w:rPr>
          <w:rFonts w:ascii="Arial" w:hAnsi="Arial" w:cs="Arial"/>
          <w:color w:val="000000"/>
        </w:rPr>
        <w:t>Sykehusinnkjøp</w:t>
      </w:r>
      <w:proofErr w:type="spellEnd"/>
      <w:r w:rsidRPr="00E666FF">
        <w:rPr>
          <w:rFonts w:ascii="Arial" w:hAnsi="Arial" w:cs="Arial"/>
          <w:color w:val="000000"/>
        </w:rPr>
        <w:t xml:space="preserve">. </w:t>
      </w:r>
      <w:proofErr w:type="spellStart"/>
      <w:r w:rsidRPr="00E666FF">
        <w:rPr>
          <w:rFonts w:ascii="Arial" w:hAnsi="Arial" w:cs="Arial"/>
          <w:color w:val="000000"/>
        </w:rPr>
        <w:t>Vaskulær</w:t>
      </w:r>
      <w:proofErr w:type="spellEnd"/>
      <w:r w:rsidRPr="00E666FF">
        <w:rPr>
          <w:rFonts w:ascii="Arial" w:hAnsi="Arial" w:cs="Arial"/>
          <w:color w:val="000000"/>
        </w:rPr>
        <w:t xml:space="preserve"> </w:t>
      </w:r>
      <w:proofErr w:type="spellStart"/>
      <w:r w:rsidRPr="00E666FF">
        <w:rPr>
          <w:rFonts w:ascii="Arial" w:hAnsi="Arial" w:cs="Arial"/>
          <w:color w:val="000000"/>
        </w:rPr>
        <w:t>endotelial</w:t>
      </w:r>
      <w:proofErr w:type="spellEnd"/>
      <w:r w:rsidRPr="00E666FF">
        <w:rPr>
          <w:rFonts w:ascii="Arial" w:hAnsi="Arial" w:cs="Arial"/>
          <w:color w:val="000000"/>
        </w:rPr>
        <w:t xml:space="preserve"> </w:t>
      </w:r>
      <w:proofErr w:type="spellStart"/>
      <w:r w:rsidRPr="00E666FF">
        <w:rPr>
          <w:rFonts w:ascii="Arial" w:hAnsi="Arial" w:cs="Arial"/>
          <w:color w:val="000000"/>
        </w:rPr>
        <w:t>vekstfaktor-hemmere</w:t>
      </w:r>
      <w:proofErr w:type="spellEnd"/>
      <w:r w:rsidRPr="00E666FF">
        <w:rPr>
          <w:rFonts w:ascii="Arial" w:hAnsi="Arial" w:cs="Arial"/>
          <w:color w:val="000000"/>
        </w:rPr>
        <w:t xml:space="preserve"> (anti-VEGF) for </w:t>
      </w:r>
      <w:proofErr w:type="spellStart"/>
      <w:r w:rsidRPr="00E666FF">
        <w:rPr>
          <w:rFonts w:ascii="Arial" w:hAnsi="Arial" w:cs="Arial"/>
          <w:color w:val="000000"/>
        </w:rPr>
        <w:t>behandling</w:t>
      </w:r>
      <w:proofErr w:type="spellEnd"/>
      <w:r w:rsidRPr="00E666FF">
        <w:rPr>
          <w:rFonts w:ascii="Arial" w:hAnsi="Arial" w:cs="Arial"/>
          <w:color w:val="000000"/>
        </w:rPr>
        <w:t xml:space="preserve"> av </w:t>
      </w:r>
      <w:proofErr w:type="spellStart"/>
      <w:r w:rsidRPr="00E666FF">
        <w:rPr>
          <w:rFonts w:ascii="Arial" w:hAnsi="Arial" w:cs="Arial"/>
          <w:color w:val="000000"/>
        </w:rPr>
        <w:t>neovaskulær</w:t>
      </w:r>
      <w:proofErr w:type="spellEnd"/>
      <w:r w:rsidRPr="00E666FF">
        <w:rPr>
          <w:rFonts w:ascii="Arial" w:hAnsi="Arial" w:cs="Arial"/>
          <w:color w:val="000000"/>
        </w:rPr>
        <w:t xml:space="preserve"> </w:t>
      </w:r>
      <w:proofErr w:type="spellStart"/>
      <w:r w:rsidRPr="00E666FF">
        <w:rPr>
          <w:rFonts w:ascii="Arial" w:hAnsi="Arial" w:cs="Arial"/>
          <w:color w:val="000000"/>
        </w:rPr>
        <w:t>aldersrelatert</w:t>
      </w:r>
      <w:proofErr w:type="spellEnd"/>
      <w:r w:rsidRPr="00E666FF">
        <w:rPr>
          <w:rFonts w:ascii="Arial" w:hAnsi="Arial" w:cs="Arial"/>
          <w:color w:val="000000"/>
        </w:rPr>
        <w:t xml:space="preserve"> </w:t>
      </w:r>
      <w:proofErr w:type="spellStart"/>
      <w:r w:rsidRPr="00E666FF">
        <w:rPr>
          <w:rFonts w:ascii="Arial" w:hAnsi="Arial" w:cs="Arial"/>
          <w:color w:val="000000"/>
        </w:rPr>
        <w:t>makuladegenerasjon</w:t>
      </w:r>
      <w:proofErr w:type="spellEnd"/>
      <w:r w:rsidRPr="00E666FF">
        <w:rPr>
          <w:rFonts w:ascii="Arial" w:hAnsi="Arial" w:cs="Arial"/>
          <w:color w:val="000000"/>
        </w:rPr>
        <w:t>. 2024.</w:t>
      </w:r>
    </w:p>
    <w:p w14:paraId="2958F70E" w14:textId="77777777" w:rsidR="00A13BDC" w:rsidRPr="00E666FF" w:rsidRDefault="00A13BDC" w:rsidP="00A13BDC">
      <w:pPr>
        <w:pStyle w:val="Bibliography"/>
        <w:rPr>
          <w:rFonts w:ascii="Arial" w:hAnsi="Arial" w:cs="Arial"/>
          <w:color w:val="000000"/>
        </w:rPr>
      </w:pPr>
      <w:r w:rsidRPr="00E666FF">
        <w:rPr>
          <w:rFonts w:ascii="Arial" w:hAnsi="Arial" w:cs="Arial"/>
          <w:color w:val="000000"/>
        </w:rPr>
        <w:t>13.</w:t>
      </w:r>
      <w:r w:rsidRPr="00E666FF">
        <w:rPr>
          <w:rFonts w:ascii="Arial" w:hAnsi="Arial" w:cs="Arial"/>
          <w:color w:val="000000"/>
        </w:rPr>
        <w:tab/>
        <w:t>NORC. Cost Of Vision Problems: The Economic Burden of Vision Loss and Eye Disorders in the United States [Internet]. 2013. Available from: https://preventblindness.org/wp-content/uploads/2020/04/Economic-Burden-of-Vision-Final-Report_130611_0.pdf</w:t>
      </w:r>
    </w:p>
    <w:p w14:paraId="550AA9CE" w14:textId="77777777" w:rsidR="00A13BDC" w:rsidRPr="00E666FF" w:rsidRDefault="00A13BDC" w:rsidP="00A13BDC">
      <w:pPr>
        <w:pStyle w:val="Bibliography"/>
        <w:rPr>
          <w:rFonts w:ascii="Arial" w:hAnsi="Arial" w:cs="Arial"/>
          <w:color w:val="000000"/>
          <w:lang w:val="nl-NL"/>
        </w:rPr>
      </w:pPr>
      <w:r w:rsidRPr="00E666FF">
        <w:rPr>
          <w:rFonts w:ascii="Arial" w:hAnsi="Arial" w:cs="Arial"/>
          <w:color w:val="000000"/>
          <w:lang w:val="nl-NL"/>
        </w:rPr>
        <w:t>14.</w:t>
      </w:r>
      <w:r w:rsidRPr="00E666FF">
        <w:rPr>
          <w:rFonts w:ascii="Arial" w:hAnsi="Arial" w:cs="Arial"/>
          <w:color w:val="000000"/>
          <w:lang w:val="nl-NL"/>
        </w:rPr>
        <w:tab/>
      </w:r>
      <w:proofErr w:type="spellStart"/>
      <w:r w:rsidRPr="00E666FF">
        <w:rPr>
          <w:rFonts w:ascii="Arial" w:hAnsi="Arial" w:cs="Arial"/>
          <w:color w:val="000000"/>
          <w:lang w:val="nl-NL"/>
        </w:rPr>
        <w:t>Direktoratet</w:t>
      </w:r>
      <w:proofErr w:type="spellEnd"/>
      <w:r w:rsidRPr="00E666FF">
        <w:rPr>
          <w:rFonts w:ascii="Arial" w:hAnsi="Arial" w:cs="Arial"/>
          <w:color w:val="000000"/>
          <w:lang w:val="nl-NL"/>
        </w:rPr>
        <w:t xml:space="preserve"> </w:t>
      </w:r>
      <w:proofErr w:type="spellStart"/>
      <w:r w:rsidRPr="00E666FF">
        <w:rPr>
          <w:rFonts w:ascii="Arial" w:hAnsi="Arial" w:cs="Arial"/>
          <w:color w:val="000000"/>
          <w:lang w:val="nl-NL"/>
        </w:rPr>
        <w:t>for</w:t>
      </w:r>
      <w:proofErr w:type="spellEnd"/>
      <w:r w:rsidRPr="00E666FF">
        <w:rPr>
          <w:rFonts w:ascii="Arial" w:hAnsi="Arial" w:cs="Arial"/>
          <w:color w:val="000000"/>
          <w:lang w:val="nl-NL"/>
        </w:rPr>
        <w:t xml:space="preserve"> </w:t>
      </w:r>
      <w:proofErr w:type="spellStart"/>
      <w:r w:rsidRPr="00E666FF">
        <w:rPr>
          <w:rFonts w:ascii="Arial" w:hAnsi="Arial" w:cs="Arial"/>
          <w:color w:val="000000"/>
          <w:lang w:val="nl-NL"/>
        </w:rPr>
        <w:t>medisinske</w:t>
      </w:r>
      <w:proofErr w:type="spellEnd"/>
      <w:r w:rsidRPr="00E666FF">
        <w:rPr>
          <w:rFonts w:ascii="Arial" w:hAnsi="Arial" w:cs="Arial"/>
          <w:color w:val="000000"/>
          <w:lang w:val="nl-NL"/>
        </w:rPr>
        <w:t xml:space="preserve"> </w:t>
      </w:r>
      <w:proofErr w:type="spellStart"/>
      <w:r w:rsidRPr="00E666FF">
        <w:rPr>
          <w:rFonts w:ascii="Arial" w:hAnsi="Arial" w:cs="Arial"/>
          <w:color w:val="000000"/>
          <w:lang w:val="nl-NL"/>
        </w:rPr>
        <w:t>produkter</w:t>
      </w:r>
      <w:proofErr w:type="spellEnd"/>
      <w:r w:rsidRPr="00E666FF">
        <w:rPr>
          <w:rFonts w:ascii="Arial" w:hAnsi="Arial" w:cs="Arial"/>
          <w:color w:val="000000"/>
          <w:lang w:val="nl-NL"/>
        </w:rPr>
        <w:t xml:space="preserve">. </w:t>
      </w:r>
      <w:proofErr w:type="spellStart"/>
      <w:r w:rsidRPr="00E666FF">
        <w:rPr>
          <w:rFonts w:ascii="Arial" w:hAnsi="Arial" w:cs="Arial"/>
          <w:color w:val="000000"/>
          <w:lang w:val="nl-NL"/>
        </w:rPr>
        <w:t>Enhet</w:t>
      </w:r>
      <w:proofErr w:type="spellEnd"/>
      <w:r w:rsidRPr="00E666FF">
        <w:rPr>
          <w:rFonts w:ascii="Arial" w:hAnsi="Arial" w:cs="Arial"/>
          <w:color w:val="000000"/>
          <w:lang w:val="nl-NL"/>
        </w:rPr>
        <w:t xml:space="preserve"> Kostnader V1.4. 2024.</w:t>
      </w:r>
    </w:p>
    <w:p w14:paraId="152115E3" w14:textId="77777777" w:rsidR="00A13BDC" w:rsidRPr="00E666FF" w:rsidRDefault="00A13BDC" w:rsidP="00A13BDC">
      <w:pPr>
        <w:pStyle w:val="Bibliography"/>
        <w:rPr>
          <w:rFonts w:ascii="Arial" w:hAnsi="Arial" w:cs="Arial"/>
          <w:color w:val="000000"/>
        </w:rPr>
      </w:pPr>
      <w:r w:rsidRPr="00E666FF">
        <w:rPr>
          <w:rFonts w:ascii="Arial" w:hAnsi="Arial" w:cs="Arial"/>
          <w:color w:val="000000"/>
        </w:rPr>
        <w:lastRenderedPageBreak/>
        <w:t>15.</w:t>
      </w:r>
      <w:r w:rsidRPr="00E666FF">
        <w:rPr>
          <w:rFonts w:ascii="Arial" w:hAnsi="Arial" w:cs="Arial"/>
          <w:color w:val="000000"/>
        </w:rPr>
        <w:tab/>
        <w:t xml:space="preserve">Statistics Norway. SSB [Internet]. 2024 [cited 2024 May 14]. </w:t>
      </w:r>
      <w:proofErr w:type="spellStart"/>
      <w:r w:rsidRPr="00E666FF">
        <w:rPr>
          <w:rFonts w:ascii="Arial" w:hAnsi="Arial" w:cs="Arial"/>
          <w:color w:val="000000"/>
        </w:rPr>
        <w:t>Arbeidskraftkostnader</w:t>
      </w:r>
      <w:proofErr w:type="spellEnd"/>
      <w:r w:rsidRPr="00E666FF">
        <w:rPr>
          <w:rFonts w:ascii="Arial" w:hAnsi="Arial" w:cs="Arial"/>
          <w:color w:val="000000"/>
        </w:rPr>
        <w:t>. Available from: https://www.ssb.no/arbeid-og-lonn/lonn-og-arbeidskraftkostnader/statistikk/arbeidskraftkostnader</w:t>
      </w:r>
    </w:p>
    <w:p w14:paraId="315154F8" w14:textId="77777777" w:rsidR="00A13BDC" w:rsidRPr="00E666FF" w:rsidRDefault="00A13BDC" w:rsidP="00A13BDC">
      <w:pPr>
        <w:pStyle w:val="Bibliography"/>
        <w:rPr>
          <w:rFonts w:ascii="Arial" w:hAnsi="Arial" w:cs="Arial"/>
          <w:color w:val="000000"/>
        </w:rPr>
      </w:pPr>
      <w:r w:rsidRPr="00E666FF">
        <w:rPr>
          <w:rFonts w:ascii="Arial" w:hAnsi="Arial" w:cs="Arial"/>
          <w:color w:val="000000"/>
        </w:rPr>
        <w:t>16.</w:t>
      </w:r>
      <w:r w:rsidRPr="00E666FF">
        <w:rPr>
          <w:rFonts w:ascii="Arial" w:hAnsi="Arial" w:cs="Arial"/>
          <w:color w:val="000000"/>
        </w:rPr>
        <w:tab/>
        <w:t xml:space="preserve">Reitan G, Kjellevold Haugen IB, Andersen K, </w:t>
      </w:r>
      <w:proofErr w:type="spellStart"/>
      <w:r w:rsidRPr="00E666FF">
        <w:rPr>
          <w:rFonts w:ascii="Arial" w:hAnsi="Arial" w:cs="Arial"/>
          <w:color w:val="000000"/>
        </w:rPr>
        <w:t>Bragadottir</w:t>
      </w:r>
      <w:proofErr w:type="spellEnd"/>
      <w:r w:rsidRPr="00E666FF">
        <w:rPr>
          <w:rFonts w:ascii="Arial" w:hAnsi="Arial" w:cs="Arial"/>
          <w:color w:val="000000"/>
        </w:rPr>
        <w:t xml:space="preserve"> R, Bindesbøll C. Through the Eyes of Patients: Understanding Treatment Burden of Intravitreal Anti-VEGF Injections for </w:t>
      </w:r>
      <w:proofErr w:type="spellStart"/>
      <w:r w:rsidRPr="00E666FF">
        <w:rPr>
          <w:rFonts w:ascii="Arial" w:hAnsi="Arial" w:cs="Arial"/>
          <w:color w:val="000000"/>
        </w:rPr>
        <w:t>nAMD</w:t>
      </w:r>
      <w:proofErr w:type="spellEnd"/>
      <w:r w:rsidRPr="00E666FF">
        <w:rPr>
          <w:rFonts w:ascii="Arial" w:hAnsi="Arial" w:cs="Arial"/>
          <w:color w:val="000000"/>
        </w:rPr>
        <w:t xml:space="preserve"> Patients in Norway. Clin </w:t>
      </w:r>
      <w:proofErr w:type="spellStart"/>
      <w:r w:rsidRPr="00E666FF">
        <w:rPr>
          <w:rFonts w:ascii="Arial" w:hAnsi="Arial" w:cs="Arial"/>
          <w:color w:val="000000"/>
        </w:rPr>
        <w:t>Ophthalmol</w:t>
      </w:r>
      <w:proofErr w:type="spellEnd"/>
      <w:r w:rsidRPr="00E666FF">
        <w:rPr>
          <w:rFonts w:ascii="Arial" w:hAnsi="Arial" w:cs="Arial"/>
          <w:color w:val="000000"/>
        </w:rPr>
        <w:t xml:space="preserve"> Auckl NZ. </w:t>
      </w:r>
      <w:proofErr w:type="gramStart"/>
      <w:r w:rsidRPr="00E666FF">
        <w:rPr>
          <w:rFonts w:ascii="Arial" w:hAnsi="Arial" w:cs="Arial"/>
          <w:color w:val="000000"/>
        </w:rPr>
        <w:t>2023;17:1465</w:t>
      </w:r>
      <w:proofErr w:type="gramEnd"/>
      <w:r w:rsidRPr="00E666FF">
        <w:rPr>
          <w:rFonts w:ascii="Arial" w:hAnsi="Arial" w:cs="Arial"/>
          <w:color w:val="000000"/>
        </w:rPr>
        <w:t>–74. doi:10.2147/OPTH.S409103 PubMed PMID: 37256195; PubMed Central PMCID: PMC10226541.</w:t>
      </w:r>
    </w:p>
    <w:p w14:paraId="18358E14" w14:textId="77777777" w:rsidR="00A13BDC" w:rsidRPr="00E666FF" w:rsidRDefault="00A13BDC" w:rsidP="00A13BDC">
      <w:pPr>
        <w:pStyle w:val="Bibliography"/>
        <w:rPr>
          <w:rFonts w:ascii="Arial" w:hAnsi="Arial" w:cs="Arial"/>
          <w:color w:val="000000"/>
        </w:rPr>
      </w:pPr>
      <w:r w:rsidRPr="00E666FF">
        <w:rPr>
          <w:rFonts w:ascii="Arial" w:hAnsi="Arial" w:cs="Arial"/>
          <w:color w:val="000000"/>
        </w:rPr>
        <w:t>17.</w:t>
      </w:r>
      <w:r w:rsidRPr="00E666FF">
        <w:rPr>
          <w:rFonts w:ascii="Arial" w:hAnsi="Arial" w:cs="Arial"/>
          <w:color w:val="000000"/>
        </w:rPr>
        <w:tab/>
        <w:t xml:space="preserve">Husum YS, Bråten RH, Saether EM, Moe MC, Kristiansen IS, Jørstad ØK. Intravitreal anti-vascular endothelial growth factor therapy for retinal diseases in Norway from 2011 to 2021: A combined registry and survey study. Acta </w:t>
      </w:r>
      <w:proofErr w:type="spellStart"/>
      <w:r w:rsidRPr="00E666FF">
        <w:rPr>
          <w:rFonts w:ascii="Arial" w:hAnsi="Arial" w:cs="Arial"/>
          <w:color w:val="000000"/>
        </w:rPr>
        <w:t>Ophthalmol</w:t>
      </w:r>
      <w:proofErr w:type="spellEnd"/>
      <w:r w:rsidRPr="00E666FF">
        <w:rPr>
          <w:rFonts w:ascii="Arial" w:hAnsi="Arial" w:cs="Arial"/>
          <w:color w:val="000000"/>
        </w:rPr>
        <w:t xml:space="preserve"> (</w:t>
      </w:r>
      <w:proofErr w:type="spellStart"/>
      <w:r w:rsidRPr="00E666FF">
        <w:rPr>
          <w:rFonts w:ascii="Arial" w:hAnsi="Arial" w:cs="Arial"/>
          <w:color w:val="000000"/>
        </w:rPr>
        <w:t>Copenh</w:t>
      </w:r>
      <w:proofErr w:type="spellEnd"/>
      <w:r w:rsidRPr="00E666FF">
        <w:rPr>
          <w:rFonts w:ascii="Arial" w:hAnsi="Arial" w:cs="Arial"/>
          <w:color w:val="000000"/>
        </w:rPr>
        <w:t>). 2023 Dec 9. doi:10.1111/aos.16598 PubMed PMID: 38071435.</w:t>
      </w:r>
    </w:p>
    <w:p w14:paraId="599862E4" w14:textId="77777777" w:rsidR="00A13BDC" w:rsidRPr="00CB5620" w:rsidRDefault="00A13BDC" w:rsidP="00A13BDC">
      <w:pPr>
        <w:pStyle w:val="Heading1"/>
        <w:rPr>
          <w:rFonts w:ascii="Arial" w:hAnsi="Arial" w:cs="Arial"/>
          <w:color w:val="000000" w:themeColor="text1"/>
          <w:sz w:val="20"/>
          <w:szCs w:val="20"/>
        </w:rPr>
      </w:pPr>
      <w:r w:rsidRPr="00E666FF">
        <w:rPr>
          <w:rFonts w:ascii="Arial" w:eastAsia="Times New Roman" w:hAnsi="Arial" w:cs="Arial"/>
          <w:color w:val="000000" w:themeColor="text1"/>
          <w:sz w:val="24"/>
          <w:szCs w:val="24"/>
        </w:rPr>
        <w:fldChar w:fldCharType="end"/>
      </w:r>
    </w:p>
    <w:p w14:paraId="6B09DE6A" w14:textId="77777777" w:rsidR="0024324B" w:rsidRPr="00FE7FD3" w:rsidRDefault="0024324B" w:rsidP="0024324B">
      <w:pPr>
        <w:pStyle w:val="Caption"/>
        <w:keepNext/>
        <w:jc w:val="both"/>
        <w:rPr>
          <w:rFonts w:ascii="Arial" w:hAnsi="Arial" w:cs="Arial"/>
          <w:i w:val="0"/>
          <w:iCs w:val="0"/>
          <w:color w:val="000000" w:themeColor="text1"/>
          <w:sz w:val="24"/>
          <w:szCs w:val="24"/>
        </w:rPr>
      </w:pPr>
    </w:p>
    <w:p w14:paraId="6B0A9577" w14:textId="77777777" w:rsidR="00DE36DF" w:rsidRPr="0024324B" w:rsidRDefault="00DE36DF">
      <w:pPr>
        <w:rPr>
          <w:lang w:val="en-US"/>
        </w:rPr>
      </w:pPr>
    </w:p>
    <w:sectPr w:rsidR="00DE36DF" w:rsidRPr="002432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63785213"/>
      <w:docPartObj>
        <w:docPartGallery w:val="Page Numbers (Bottom of Page)"/>
        <w:docPartUnique/>
      </w:docPartObj>
    </w:sdtPr>
    <w:sdtContent>
      <w:p w14:paraId="52C9C931" w14:textId="77777777" w:rsidR="00E61562" w:rsidRDefault="00E61562" w:rsidP="0067400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2382FAC" w14:textId="77777777" w:rsidR="00E61562" w:rsidRDefault="00E61562" w:rsidP="004E13F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26519176"/>
      <w:docPartObj>
        <w:docPartGallery w:val="Page Numbers (Bottom of Page)"/>
        <w:docPartUnique/>
      </w:docPartObj>
    </w:sdtPr>
    <w:sdtContent>
      <w:p w14:paraId="1D160FCF" w14:textId="77777777" w:rsidR="00E61562" w:rsidRDefault="00E61562" w:rsidP="0067400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26949F1" w14:textId="77777777" w:rsidR="00E61562" w:rsidRDefault="00E61562" w:rsidP="004E13F9">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C1895"/>
    <w:multiLevelType w:val="multilevel"/>
    <w:tmpl w:val="A56A624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7353C5F"/>
    <w:multiLevelType w:val="hybridMultilevel"/>
    <w:tmpl w:val="80F80D9E"/>
    <w:lvl w:ilvl="0" w:tplc="20269CA8">
      <w:start w:val="1"/>
      <w:numFmt w:val="bullet"/>
      <w:lvlText w:val="-"/>
      <w:lvlJc w:val="left"/>
      <w:pPr>
        <w:ind w:left="1080" w:hanging="360"/>
      </w:pPr>
      <w:rPr>
        <w:rFonts w:ascii="Calibri" w:eastAsia="Times New Roman" w:hAnsi="Calibri" w:cs="Calibri" w:hint="default"/>
        <w:sz w:val="22"/>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045C1F"/>
    <w:multiLevelType w:val="multilevel"/>
    <w:tmpl w:val="0D4C72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0F4761"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BB0850"/>
    <w:multiLevelType w:val="multilevel"/>
    <w:tmpl w:val="52C6DC28"/>
    <w:lvl w:ilvl="0">
      <w:start w:val="5"/>
      <w:numFmt w:val="decimal"/>
      <w:lvlText w:val="%1"/>
      <w:lvlJc w:val="left"/>
      <w:pPr>
        <w:ind w:left="480" w:hanging="480"/>
      </w:pPr>
      <w:rPr>
        <w:rFonts w:hint="default"/>
      </w:rPr>
    </w:lvl>
    <w:lvl w:ilvl="1">
      <w:start w:val="3"/>
      <w:numFmt w:val="decimal"/>
      <w:lvlText w:val="%1.%2"/>
      <w:lvlJc w:val="left"/>
      <w:pPr>
        <w:ind w:left="480" w:hanging="480"/>
      </w:pPr>
      <w:rPr>
        <w:rFonts w:hint="default"/>
        <w:color w:val="0F4761"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56B6E82"/>
    <w:multiLevelType w:val="multilevel"/>
    <w:tmpl w:val="92B259A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6044FF6"/>
    <w:multiLevelType w:val="hybridMultilevel"/>
    <w:tmpl w:val="62141DB4"/>
    <w:lvl w:ilvl="0" w:tplc="A5925064">
      <w:start w:val="4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8E77B0"/>
    <w:multiLevelType w:val="multilevel"/>
    <w:tmpl w:val="C72456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8DF650E"/>
    <w:multiLevelType w:val="hybridMultilevel"/>
    <w:tmpl w:val="E4AE9010"/>
    <w:lvl w:ilvl="0" w:tplc="0809000F">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AA27EB2"/>
    <w:multiLevelType w:val="multilevel"/>
    <w:tmpl w:val="123CF44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151B3B"/>
    <w:multiLevelType w:val="multilevel"/>
    <w:tmpl w:val="4364C852"/>
    <w:lvl w:ilvl="0">
      <w:start w:val="1"/>
      <w:numFmt w:val="decimal"/>
      <w:lvlText w:val="%1"/>
      <w:lvlJc w:val="left"/>
      <w:pPr>
        <w:ind w:left="440" w:hanging="440"/>
      </w:pPr>
      <w:rPr>
        <w:rFonts w:hint="default"/>
      </w:rPr>
    </w:lvl>
    <w:lvl w:ilvl="1">
      <w:start w:val="2"/>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1502BC8"/>
    <w:multiLevelType w:val="multilevel"/>
    <w:tmpl w:val="BBFC5CB4"/>
    <w:lvl w:ilvl="0">
      <w:start w:val="2"/>
      <w:numFmt w:val="decimal"/>
      <w:lvlText w:val="%1"/>
      <w:lvlJc w:val="left"/>
      <w:pPr>
        <w:ind w:left="360" w:hanging="360"/>
      </w:pPr>
      <w:rPr>
        <w:rFonts w:ascii="Calibri" w:hAnsi="Calibri" w:cs="Calibri" w:hint="default"/>
      </w:rPr>
    </w:lvl>
    <w:lvl w:ilvl="1">
      <w:start w:val="5"/>
      <w:numFmt w:val="decimal"/>
      <w:lvlText w:val="%1.%2"/>
      <w:lvlJc w:val="left"/>
      <w:pPr>
        <w:ind w:left="360" w:hanging="360"/>
      </w:pPr>
      <w:rPr>
        <w:rFonts w:asciiTheme="majorHAnsi" w:hAnsiTheme="majorHAnsi" w:cstheme="majorHAns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440" w:hanging="144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800" w:hanging="180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11" w15:restartNumberingAfterBreak="0">
    <w:nsid w:val="21590566"/>
    <w:multiLevelType w:val="multilevel"/>
    <w:tmpl w:val="123CF440"/>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rPr>
    </w:lvl>
    <w:lvl w:ilvl="2">
      <w:start w:val="1"/>
      <w:numFmt w:val="decimal"/>
      <w:lvlText w:val="%1.%2.%3"/>
      <w:lvlJc w:val="left"/>
      <w:pPr>
        <w:ind w:left="86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2431E6"/>
    <w:multiLevelType w:val="multilevel"/>
    <w:tmpl w:val="F6801D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8003DFA"/>
    <w:multiLevelType w:val="hybridMultilevel"/>
    <w:tmpl w:val="CBCCF1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25316B"/>
    <w:multiLevelType w:val="hybridMultilevel"/>
    <w:tmpl w:val="2DBE2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190A84"/>
    <w:multiLevelType w:val="hybridMultilevel"/>
    <w:tmpl w:val="1F74FD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DAD025B"/>
    <w:multiLevelType w:val="hybridMultilevel"/>
    <w:tmpl w:val="87148328"/>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6396C7D"/>
    <w:multiLevelType w:val="hybridMultilevel"/>
    <w:tmpl w:val="DD768F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824D45"/>
    <w:multiLevelType w:val="hybridMultilevel"/>
    <w:tmpl w:val="09A684B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994319D"/>
    <w:multiLevelType w:val="multilevel"/>
    <w:tmpl w:val="4FEC6AF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color w:val="0F4761" w:themeColor="accent1" w:themeShade="BF"/>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AD83859"/>
    <w:multiLevelType w:val="hybridMultilevel"/>
    <w:tmpl w:val="7190297C"/>
    <w:lvl w:ilvl="0" w:tplc="28EADCB4">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931EA1"/>
    <w:multiLevelType w:val="multilevel"/>
    <w:tmpl w:val="022A6FA6"/>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2F86123"/>
    <w:multiLevelType w:val="multilevel"/>
    <w:tmpl w:val="C86A175A"/>
    <w:lvl w:ilvl="0">
      <w:start w:val="2"/>
      <w:numFmt w:val="decimal"/>
      <w:lvlText w:val="%1"/>
      <w:lvlJc w:val="left"/>
      <w:pPr>
        <w:ind w:left="360" w:hanging="360"/>
      </w:pPr>
      <w:rPr>
        <w:rFonts w:ascii="Calibri" w:hAnsi="Calibri" w:cs="Calibri" w:hint="default"/>
      </w:rPr>
    </w:lvl>
    <w:lvl w:ilvl="1">
      <w:start w:val="4"/>
      <w:numFmt w:val="decimal"/>
      <w:lvlText w:val="%1.%2"/>
      <w:lvlJc w:val="left"/>
      <w:pPr>
        <w:ind w:left="360" w:hanging="360"/>
      </w:pPr>
      <w:rPr>
        <w:rFonts w:asciiTheme="majorHAnsi" w:hAnsiTheme="majorHAnsi" w:cstheme="majorHAnsi" w:hint="default"/>
      </w:rPr>
    </w:lvl>
    <w:lvl w:ilvl="2">
      <w:start w:val="1"/>
      <w:numFmt w:val="decimal"/>
      <w:lvlText w:val="%1.%2.%3"/>
      <w:lvlJc w:val="left"/>
      <w:pPr>
        <w:ind w:left="720" w:hanging="720"/>
      </w:pPr>
      <w:rPr>
        <w:rFonts w:asciiTheme="majorHAnsi" w:hAnsiTheme="majorHAnsi" w:cstheme="majorHAnsi" w:hint="default"/>
      </w:rPr>
    </w:lvl>
    <w:lvl w:ilvl="3">
      <w:start w:val="1"/>
      <w:numFmt w:val="decimal"/>
      <w:lvlText w:val="%1.%2.%3.%4"/>
      <w:lvlJc w:val="left"/>
      <w:pPr>
        <w:ind w:left="720" w:hanging="720"/>
      </w:pPr>
      <w:rPr>
        <w:rFonts w:asciiTheme="majorHAnsi" w:hAnsiTheme="majorHAnsi" w:cstheme="majorHAns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440" w:hanging="144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800" w:hanging="180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23" w15:restartNumberingAfterBreak="0">
    <w:nsid w:val="465A27B6"/>
    <w:multiLevelType w:val="multilevel"/>
    <w:tmpl w:val="42343F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BD5629E"/>
    <w:multiLevelType w:val="hybridMultilevel"/>
    <w:tmpl w:val="833E408E"/>
    <w:lvl w:ilvl="0" w:tplc="2098AA7A">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42570D"/>
    <w:multiLevelType w:val="multilevel"/>
    <w:tmpl w:val="8620126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CB86AF0"/>
    <w:multiLevelType w:val="multilevel"/>
    <w:tmpl w:val="022A6FA6"/>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1765DBF"/>
    <w:multiLevelType w:val="multilevel"/>
    <w:tmpl w:val="123CF440"/>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rPr>
    </w:lvl>
    <w:lvl w:ilvl="2">
      <w:start w:val="1"/>
      <w:numFmt w:val="decimal"/>
      <w:lvlText w:val="%1.%2.%3"/>
      <w:lvlJc w:val="left"/>
      <w:pPr>
        <w:ind w:left="86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54E5F78"/>
    <w:multiLevelType w:val="multilevel"/>
    <w:tmpl w:val="8620126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09E67BD"/>
    <w:multiLevelType w:val="multilevel"/>
    <w:tmpl w:val="4364C852"/>
    <w:lvl w:ilvl="0">
      <w:start w:val="1"/>
      <w:numFmt w:val="decimal"/>
      <w:lvlText w:val="%1"/>
      <w:lvlJc w:val="left"/>
      <w:pPr>
        <w:ind w:left="440" w:hanging="440"/>
      </w:pPr>
      <w:rPr>
        <w:rFonts w:hint="default"/>
      </w:rPr>
    </w:lvl>
    <w:lvl w:ilvl="1">
      <w:start w:val="2"/>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6592831"/>
    <w:multiLevelType w:val="hybridMultilevel"/>
    <w:tmpl w:val="E9DE96EE"/>
    <w:lvl w:ilvl="0" w:tplc="ECE8223E">
      <w:start w:val="1"/>
      <w:numFmt w:val="decimal"/>
      <w:lvlText w:val="%1."/>
      <w:lvlJc w:val="left"/>
      <w:pPr>
        <w:ind w:left="720" w:hanging="360"/>
      </w:pPr>
      <w:rPr>
        <w:rFonts w:ascii="Times New Roman" w:eastAsia="Times New Roman" w:hAnsi="Times New Roman" w:cs="Times New Roman"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8555A4"/>
    <w:multiLevelType w:val="hybridMultilevel"/>
    <w:tmpl w:val="9CE68A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D005AD"/>
    <w:multiLevelType w:val="multilevel"/>
    <w:tmpl w:val="C6B23158"/>
    <w:lvl w:ilvl="0">
      <w:start w:val="2"/>
      <w:numFmt w:val="decimal"/>
      <w:lvlText w:val="%1"/>
      <w:lvlJc w:val="left"/>
      <w:pPr>
        <w:ind w:left="460" w:hanging="460"/>
      </w:pPr>
      <w:rPr>
        <w:rFonts w:hint="default"/>
      </w:rPr>
    </w:lvl>
    <w:lvl w:ilvl="1">
      <w:start w:val="10"/>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C7A64BC"/>
    <w:multiLevelType w:val="hybridMultilevel"/>
    <w:tmpl w:val="AE9870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D120BE7"/>
    <w:multiLevelType w:val="multilevel"/>
    <w:tmpl w:val="83E6847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5FB5DBC"/>
    <w:multiLevelType w:val="multilevel"/>
    <w:tmpl w:val="123CF44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86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72A5B5D"/>
    <w:multiLevelType w:val="multilevel"/>
    <w:tmpl w:val="4FEC6AF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color w:val="0F4761" w:themeColor="accent1" w:themeShade="BF"/>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592E6D"/>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9197E60"/>
    <w:multiLevelType w:val="hybridMultilevel"/>
    <w:tmpl w:val="87148328"/>
    <w:lvl w:ilvl="0" w:tplc="0413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A3B69FF"/>
    <w:multiLevelType w:val="multilevel"/>
    <w:tmpl w:val="4364C852"/>
    <w:lvl w:ilvl="0">
      <w:start w:val="1"/>
      <w:numFmt w:val="decimal"/>
      <w:lvlText w:val="%1"/>
      <w:lvlJc w:val="left"/>
      <w:pPr>
        <w:ind w:left="440" w:hanging="440"/>
      </w:pPr>
      <w:rPr>
        <w:rFonts w:hint="default"/>
      </w:rPr>
    </w:lvl>
    <w:lvl w:ilvl="1">
      <w:start w:val="2"/>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79200262">
    <w:abstractNumId w:val="24"/>
  </w:num>
  <w:num w:numId="2" w16cid:durableId="1095710214">
    <w:abstractNumId w:val="23"/>
  </w:num>
  <w:num w:numId="3" w16cid:durableId="1001812897">
    <w:abstractNumId w:val="21"/>
  </w:num>
  <w:num w:numId="4" w16cid:durableId="789470017">
    <w:abstractNumId w:val="8"/>
  </w:num>
  <w:num w:numId="5" w16cid:durableId="486702515">
    <w:abstractNumId w:val="27"/>
  </w:num>
  <w:num w:numId="6" w16cid:durableId="255864480">
    <w:abstractNumId w:val="26"/>
  </w:num>
  <w:num w:numId="7" w16cid:durableId="1747527899">
    <w:abstractNumId w:val="6"/>
  </w:num>
  <w:num w:numId="8" w16cid:durableId="48234925">
    <w:abstractNumId w:val="36"/>
  </w:num>
  <w:num w:numId="9" w16cid:durableId="141850422">
    <w:abstractNumId w:val="35"/>
  </w:num>
  <w:num w:numId="10" w16cid:durableId="662590841">
    <w:abstractNumId w:val="1"/>
  </w:num>
  <w:num w:numId="11" w16cid:durableId="1545680358">
    <w:abstractNumId w:val="20"/>
  </w:num>
  <w:num w:numId="12" w16cid:durableId="1882790784">
    <w:abstractNumId w:val="38"/>
  </w:num>
  <w:num w:numId="13" w16cid:durableId="1028607024">
    <w:abstractNumId w:val="4"/>
  </w:num>
  <w:num w:numId="14" w16cid:durableId="585387138">
    <w:abstractNumId w:val="3"/>
  </w:num>
  <w:num w:numId="15" w16cid:durableId="1325471952">
    <w:abstractNumId w:val="7"/>
  </w:num>
  <w:num w:numId="16" w16cid:durableId="141310670">
    <w:abstractNumId w:val="16"/>
  </w:num>
  <w:num w:numId="17" w16cid:durableId="1007245885">
    <w:abstractNumId w:val="31"/>
  </w:num>
  <w:num w:numId="18" w16cid:durableId="767627636">
    <w:abstractNumId w:val="13"/>
  </w:num>
  <w:num w:numId="19" w16cid:durableId="1154371998">
    <w:abstractNumId w:val="14"/>
  </w:num>
  <w:num w:numId="20" w16cid:durableId="1571885219">
    <w:abstractNumId w:val="39"/>
  </w:num>
  <w:num w:numId="21" w16cid:durableId="1922641656">
    <w:abstractNumId w:val="29"/>
  </w:num>
  <w:num w:numId="22" w16cid:durableId="377902420">
    <w:abstractNumId w:val="19"/>
  </w:num>
  <w:num w:numId="23" w16cid:durableId="845708543">
    <w:abstractNumId w:val="9"/>
  </w:num>
  <w:num w:numId="24" w16cid:durableId="542717234">
    <w:abstractNumId w:val="32"/>
  </w:num>
  <w:num w:numId="25" w16cid:durableId="2087415595">
    <w:abstractNumId w:val="12"/>
  </w:num>
  <w:num w:numId="26" w16cid:durableId="150948238">
    <w:abstractNumId w:val="0"/>
  </w:num>
  <w:num w:numId="27" w16cid:durableId="456680308">
    <w:abstractNumId w:val="2"/>
  </w:num>
  <w:num w:numId="28" w16cid:durableId="942342157">
    <w:abstractNumId w:val="15"/>
  </w:num>
  <w:num w:numId="29" w16cid:durableId="382676917">
    <w:abstractNumId w:val="25"/>
  </w:num>
  <w:num w:numId="30" w16cid:durableId="1932927082">
    <w:abstractNumId w:val="28"/>
  </w:num>
  <w:num w:numId="31" w16cid:durableId="1031415165">
    <w:abstractNumId w:val="5"/>
  </w:num>
  <w:num w:numId="32" w16cid:durableId="1762021267">
    <w:abstractNumId w:val="34"/>
  </w:num>
  <w:num w:numId="33" w16cid:durableId="91243487">
    <w:abstractNumId w:val="10"/>
  </w:num>
  <w:num w:numId="34" w16cid:durableId="2079667335">
    <w:abstractNumId w:val="11"/>
  </w:num>
  <w:num w:numId="35" w16cid:durableId="1714696165">
    <w:abstractNumId w:val="22"/>
  </w:num>
  <w:num w:numId="36" w16cid:durableId="293870855">
    <w:abstractNumId w:val="33"/>
  </w:num>
  <w:num w:numId="37" w16cid:durableId="1504319168">
    <w:abstractNumId w:val="17"/>
  </w:num>
  <w:num w:numId="38" w16cid:durableId="1896820246">
    <w:abstractNumId w:val="18"/>
  </w:num>
  <w:num w:numId="39" w16cid:durableId="162851028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22252297">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38858902">
    <w:abstractNumId w:val="30"/>
  </w:num>
  <w:num w:numId="42" w16cid:durableId="350842329">
    <w:abstractNumId w:val="3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24B"/>
    <w:rsid w:val="0024324B"/>
    <w:rsid w:val="00254139"/>
    <w:rsid w:val="0027116B"/>
    <w:rsid w:val="0039793A"/>
    <w:rsid w:val="0049318D"/>
    <w:rsid w:val="004C7D60"/>
    <w:rsid w:val="00524679"/>
    <w:rsid w:val="00552A86"/>
    <w:rsid w:val="00633345"/>
    <w:rsid w:val="006864E1"/>
    <w:rsid w:val="007C333D"/>
    <w:rsid w:val="007E61F3"/>
    <w:rsid w:val="00A100B7"/>
    <w:rsid w:val="00A13BDC"/>
    <w:rsid w:val="00AB49AD"/>
    <w:rsid w:val="00B62A7B"/>
    <w:rsid w:val="00C72467"/>
    <w:rsid w:val="00DE1DB5"/>
    <w:rsid w:val="00DE36DF"/>
    <w:rsid w:val="00E45B2E"/>
    <w:rsid w:val="00E61562"/>
    <w:rsid w:val="00EC4AFB"/>
    <w:rsid w:val="00F75E57"/>
    <w:rsid w:val="00FC474C"/>
    <w:rsid w:val="00FE61E2"/>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7264FEC9"/>
  <w15:chartTrackingRefBased/>
  <w15:docId w15:val="{7FB195B1-FD18-2F4C-B810-ADCAA0709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24B"/>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2432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32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432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432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32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324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324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324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324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2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32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432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432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32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32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32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32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324B"/>
    <w:rPr>
      <w:rFonts w:eastAsiaTheme="majorEastAsia" w:cstheme="majorBidi"/>
      <w:color w:val="272727" w:themeColor="text1" w:themeTint="D8"/>
    </w:rPr>
  </w:style>
  <w:style w:type="paragraph" w:styleId="Title">
    <w:name w:val="Title"/>
    <w:basedOn w:val="Normal"/>
    <w:next w:val="Normal"/>
    <w:link w:val="TitleChar"/>
    <w:uiPriority w:val="10"/>
    <w:qFormat/>
    <w:rsid w:val="0024324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32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324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32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324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4324B"/>
    <w:rPr>
      <w:i/>
      <w:iCs/>
      <w:color w:val="404040" w:themeColor="text1" w:themeTint="BF"/>
    </w:rPr>
  </w:style>
  <w:style w:type="paragraph" w:styleId="ListParagraph">
    <w:name w:val="List Paragraph"/>
    <w:basedOn w:val="Normal"/>
    <w:uiPriority w:val="34"/>
    <w:qFormat/>
    <w:rsid w:val="0024324B"/>
    <w:pPr>
      <w:ind w:left="720"/>
      <w:contextualSpacing/>
    </w:pPr>
  </w:style>
  <w:style w:type="character" w:styleId="IntenseEmphasis">
    <w:name w:val="Intense Emphasis"/>
    <w:basedOn w:val="DefaultParagraphFont"/>
    <w:uiPriority w:val="21"/>
    <w:qFormat/>
    <w:rsid w:val="0024324B"/>
    <w:rPr>
      <w:i/>
      <w:iCs/>
      <w:color w:val="0F4761" w:themeColor="accent1" w:themeShade="BF"/>
    </w:rPr>
  </w:style>
  <w:style w:type="paragraph" w:styleId="IntenseQuote">
    <w:name w:val="Intense Quote"/>
    <w:basedOn w:val="Normal"/>
    <w:next w:val="Normal"/>
    <w:link w:val="IntenseQuoteChar"/>
    <w:uiPriority w:val="30"/>
    <w:qFormat/>
    <w:rsid w:val="002432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324B"/>
    <w:rPr>
      <w:i/>
      <w:iCs/>
      <w:color w:val="0F4761" w:themeColor="accent1" w:themeShade="BF"/>
    </w:rPr>
  </w:style>
  <w:style w:type="character" w:styleId="IntenseReference">
    <w:name w:val="Intense Reference"/>
    <w:basedOn w:val="DefaultParagraphFont"/>
    <w:uiPriority w:val="32"/>
    <w:qFormat/>
    <w:rsid w:val="0024324B"/>
    <w:rPr>
      <w:b/>
      <w:bCs/>
      <w:smallCaps/>
      <w:color w:val="0F4761" w:themeColor="accent1" w:themeShade="BF"/>
      <w:spacing w:val="5"/>
    </w:rPr>
  </w:style>
  <w:style w:type="paragraph" w:styleId="Caption">
    <w:name w:val="caption"/>
    <w:basedOn w:val="Normal"/>
    <w:next w:val="Normal"/>
    <w:uiPriority w:val="35"/>
    <w:unhideWhenUsed/>
    <w:qFormat/>
    <w:rsid w:val="0024324B"/>
    <w:pPr>
      <w:spacing w:after="200"/>
    </w:pPr>
    <w:rPr>
      <w:i/>
      <w:iCs/>
      <w:color w:val="0E2841" w:themeColor="text2"/>
      <w:sz w:val="18"/>
      <w:szCs w:val="18"/>
      <w:lang w:val="en-US"/>
    </w:rPr>
  </w:style>
  <w:style w:type="character" w:styleId="Hyperlink">
    <w:name w:val="Hyperlink"/>
    <w:basedOn w:val="DefaultParagraphFont"/>
    <w:uiPriority w:val="99"/>
    <w:unhideWhenUsed/>
    <w:rsid w:val="00E61562"/>
    <w:rPr>
      <w:color w:val="467886" w:themeColor="hyperlink"/>
      <w:u w:val="single"/>
    </w:rPr>
  </w:style>
  <w:style w:type="character" w:styleId="CommentReference">
    <w:name w:val="annotation reference"/>
    <w:basedOn w:val="DefaultParagraphFont"/>
    <w:uiPriority w:val="99"/>
    <w:semiHidden/>
    <w:unhideWhenUsed/>
    <w:rsid w:val="00E61562"/>
    <w:rPr>
      <w:sz w:val="16"/>
      <w:szCs w:val="16"/>
    </w:rPr>
  </w:style>
  <w:style w:type="paragraph" w:styleId="CommentText">
    <w:name w:val="annotation text"/>
    <w:basedOn w:val="Normal"/>
    <w:link w:val="CommentTextChar"/>
    <w:uiPriority w:val="99"/>
    <w:unhideWhenUsed/>
    <w:rsid w:val="00E61562"/>
    <w:rPr>
      <w:rFonts w:ascii="Calibri" w:hAnsi="Calibri" w:cs="Calibri"/>
      <w:sz w:val="20"/>
      <w:szCs w:val="20"/>
      <w:lang w:val="nb-NO"/>
    </w:rPr>
  </w:style>
  <w:style w:type="character" w:customStyle="1" w:styleId="CommentTextChar">
    <w:name w:val="Comment Text Char"/>
    <w:basedOn w:val="DefaultParagraphFont"/>
    <w:link w:val="CommentText"/>
    <w:uiPriority w:val="99"/>
    <w:rsid w:val="00E61562"/>
    <w:rPr>
      <w:rFonts w:ascii="Calibri" w:eastAsia="Times New Roman" w:hAnsi="Calibri" w:cs="Calibri"/>
      <w:kern w:val="0"/>
      <w:sz w:val="20"/>
      <w:szCs w:val="20"/>
      <w:lang w:val="nb-NO" w:eastAsia="en-GB"/>
      <w14:ligatures w14:val="none"/>
    </w:rPr>
  </w:style>
  <w:style w:type="table" w:styleId="TableGrid">
    <w:name w:val="Table Grid"/>
    <w:basedOn w:val="TableNormal"/>
    <w:uiPriority w:val="39"/>
    <w:rsid w:val="00E61562"/>
    <w:rPr>
      <w:kern w:val="0"/>
      <w:lang w:val="nb-N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61562"/>
    <w:rPr>
      <w:kern w:val="0"/>
      <w:lang w:val="en-US"/>
      <w14:ligatures w14:val="none"/>
    </w:rPr>
  </w:style>
  <w:style w:type="paragraph" w:styleId="CommentSubject">
    <w:name w:val="annotation subject"/>
    <w:basedOn w:val="CommentText"/>
    <w:next w:val="CommentText"/>
    <w:link w:val="CommentSubjectChar"/>
    <w:uiPriority w:val="99"/>
    <w:semiHidden/>
    <w:unhideWhenUsed/>
    <w:rsid w:val="00E61562"/>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E61562"/>
    <w:rPr>
      <w:rFonts w:ascii="Calibri" w:eastAsia="Times New Roman" w:hAnsi="Calibri" w:cs="Calibri"/>
      <w:b/>
      <w:bCs/>
      <w:kern w:val="0"/>
      <w:sz w:val="20"/>
      <w:szCs w:val="20"/>
      <w:lang w:val="nb-NO" w:eastAsia="en-GB"/>
      <w14:ligatures w14:val="none"/>
    </w:rPr>
  </w:style>
  <w:style w:type="character" w:styleId="UnresolvedMention">
    <w:name w:val="Unresolved Mention"/>
    <w:basedOn w:val="DefaultParagraphFont"/>
    <w:uiPriority w:val="99"/>
    <w:semiHidden/>
    <w:unhideWhenUsed/>
    <w:rsid w:val="00E61562"/>
    <w:rPr>
      <w:color w:val="605E5C"/>
      <w:shd w:val="clear" w:color="auto" w:fill="E1DFDD"/>
    </w:rPr>
  </w:style>
  <w:style w:type="character" w:styleId="FollowedHyperlink">
    <w:name w:val="FollowedHyperlink"/>
    <w:basedOn w:val="DefaultParagraphFont"/>
    <w:uiPriority w:val="99"/>
    <w:semiHidden/>
    <w:unhideWhenUsed/>
    <w:rsid w:val="00E61562"/>
    <w:rPr>
      <w:color w:val="96607D" w:themeColor="followedHyperlink"/>
      <w:u w:val="single"/>
    </w:rPr>
  </w:style>
  <w:style w:type="paragraph" w:styleId="NormalWeb">
    <w:name w:val="Normal (Web)"/>
    <w:basedOn w:val="Normal"/>
    <w:uiPriority w:val="99"/>
    <w:unhideWhenUsed/>
    <w:rsid w:val="00E61562"/>
    <w:pPr>
      <w:spacing w:before="100" w:beforeAutospacing="1" w:after="100" w:afterAutospacing="1"/>
    </w:pPr>
    <w:rPr>
      <w:lang w:val="en-US"/>
    </w:rPr>
  </w:style>
  <w:style w:type="table" w:styleId="PlainTable1">
    <w:name w:val="Plain Table 1"/>
    <w:basedOn w:val="TableNormal"/>
    <w:uiPriority w:val="41"/>
    <w:rsid w:val="00E61562"/>
    <w:rPr>
      <w:kern w:val="0"/>
      <w:lang w:val="nb-NO"/>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ubtleEmphasis">
    <w:name w:val="Subtle Emphasis"/>
    <w:basedOn w:val="DefaultParagraphFont"/>
    <w:uiPriority w:val="19"/>
    <w:qFormat/>
    <w:rsid w:val="00E61562"/>
    <w:rPr>
      <w:i/>
      <w:iCs/>
      <w:color w:val="404040" w:themeColor="text1" w:themeTint="BF"/>
    </w:rPr>
  </w:style>
  <w:style w:type="character" w:customStyle="1" w:styleId="apple-converted-space">
    <w:name w:val="apple-converted-space"/>
    <w:basedOn w:val="DefaultParagraphFont"/>
    <w:rsid w:val="00E61562"/>
  </w:style>
  <w:style w:type="paragraph" w:styleId="NoSpacing">
    <w:name w:val="No Spacing"/>
    <w:uiPriority w:val="1"/>
    <w:qFormat/>
    <w:rsid w:val="00E61562"/>
    <w:rPr>
      <w:kern w:val="0"/>
      <w:lang w:val="en-US"/>
      <w14:ligatures w14:val="none"/>
    </w:rPr>
  </w:style>
  <w:style w:type="paragraph" w:styleId="Header">
    <w:name w:val="header"/>
    <w:basedOn w:val="Normal"/>
    <w:link w:val="HeaderChar"/>
    <w:uiPriority w:val="99"/>
    <w:unhideWhenUsed/>
    <w:rsid w:val="00E61562"/>
    <w:pPr>
      <w:tabs>
        <w:tab w:val="center" w:pos="4513"/>
        <w:tab w:val="right" w:pos="9026"/>
      </w:tabs>
    </w:pPr>
    <w:rPr>
      <w:lang w:val="en-US"/>
    </w:rPr>
  </w:style>
  <w:style w:type="character" w:customStyle="1" w:styleId="HeaderChar">
    <w:name w:val="Header Char"/>
    <w:basedOn w:val="DefaultParagraphFont"/>
    <w:link w:val="Header"/>
    <w:uiPriority w:val="99"/>
    <w:rsid w:val="00E61562"/>
    <w:rPr>
      <w:rFonts w:ascii="Times New Roman" w:eastAsia="Times New Roman" w:hAnsi="Times New Roman" w:cs="Times New Roman"/>
      <w:kern w:val="0"/>
      <w:lang w:val="en-US" w:eastAsia="en-GB"/>
      <w14:ligatures w14:val="none"/>
    </w:rPr>
  </w:style>
  <w:style w:type="paragraph" w:styleId="Footer">
    <w:name w:val="footer"/>
    <w:basedOn w:val="Normal"/>
    <w:link w:val="FooterChar"/>
    <w:uiPriority w:val="99"/>
    <w:unhideWhenUsed/>
    <w:rsid w:val="00E61562"/>
    <w:pPr>
      <w:tabs>
        <w:tab w:val="center" w:pos="4513"/>
        <w:tab w:val="right" w:pos="9026"/>
      </w:tabs>
    </w:pPr>
    <w:rPr>
      <w:lang w:val="en-US"/>
    </w:rPr>
  </w:style>
  <w:style w:type="character" w:customStyle="1" w:styleId="FooterChar">
    <w:name w:val="Footer Char"/>
    <w:basedOn w:val="DefaultParagraphFont"/>
    <w:link w:val="Footer"/>
    <w:uiPriority w:val="99"/>
    <w:rsid w:val="00E61562"/>
    <w:rPr>
      <w:rFonts w:ascii="Times New Roman" w:eastAsia="Times New Roman" w:hAnsi="Times New Roman" w:cs="Times New Roman"/>
      <w:kern w:val="0"/>
      <w:lang w:val="en-US" w:eastAsia="en-GB"/>
      <w14:ligatures w14:val="none"/>
    </w:rPr>
  </w:style>
  <w:style w:type="paragraph" w:styleId="TOCHeading">
    <w:name w:val="TOC Heading"/>
    <w:basedOn w:val="Heading1"/>
    <w:next w:val="Normal"/>
    <w:uiPriority w:val="39"/>
    <w:unhideWhenUsed/>
    <w:qFormat/>
    <w:rsid w:val="00E61562"/>
    <w:pPr>
      <w:spacing w:before="480" w:after="0" w:line="276" w:lineRule="auto"/>
      <w:outlineLvl w:val="9"/>
    </w:pPr>
    <w:rPr>
      <w:b/>
      <w:bCs/>
      <w:sz w:val="28"/>
      <w:szCs w:val="28"/>
      <w:lang w:val="en-US"/>
    </w:rPr>
  </w:style>
  <w:style w:type="paragraph" w:styleId="TOC1">
    <w:name w:val="toc 1"/>
    <w:basedOn w:val="Normal"/>
    <w:next w:val="Normal"/>
    <w:autoRedefine/>
    <w:uiPriority w:val="39"/>
    <w:unhideWhenUsed/>
    <w:rsid w:val="00E61562"/>
    <w:pPr>
      <w:spacing w:before="120"/>
    </w:pPr>
    <w:rPr>
      <w:rFonts w:cstheme="minorHAnsi"/>
      <w:b/>
      <w:bCs/>
      <w:i/>
      <w:iCs/>
      <w:lang w:val="en-US"/>
    </w:rPr>
  </w:style>
  <w:style w:type="paragraph" w:styleId="TOC2">
    <w:name w:val="toc 2"/>
    <w:basedOn w:val="Normal"/>
    <w:next w:val="Normal"/>
    <w:autoRedefine/>
    <w:uiPriority w:val="39"/>
    <w:unhideWhenUsed/>
    <w:rsid w:val="00E61562"/>
    <w:pPr>
      <w:spacing w:before="120"/>
      <w:ind w:left="240"/>
    </w:pPr>
    <w:rPr>
      <w:rFonts w:cstheme="minorHAnsi"/>
      <w:b/>
      <w:bCs/>
      <w:sz w:val="22"/>
      <w:szCs w:val="22"/>
      <w:lang w:val="en-US"/>
    </w:rPr>
  </w:style>
  <w:style w:type="paragraph" w:styleId="TOC3">
    <w:name w:val="toc 3"/>
    <w:basedOn w:val="Normal"/>
    <w:next w:val="Normal"/>
    <w:autoRedefine/>
    <w:uiPriority w:val="39"/>
    <w:unhideWhenUsed/>
    <w:rsid w:val="00E61562"/>
    <w:pPr>
      <w:ind w:left="480"/>
    </w:pPr>
    <w:rPr>
      <w:rFonts w:cstheme="minorHAnsi"/>
      <w:sz w:val="20"/>
      <w:szCs w:val="20"/>
      <w:lang w:val="en-US"/>
    </w:rPr>
  </w:style>
  <w:style w:type="paragraph" w:styleId="TOC4">
    <w:name w:val="toc 4"/>
    <w:basedOn w:val="Normal"/>
    <w:next w:val="Normal"/>
    <w:autoRedefine/>
    <w:uiPriority w:val="39"/>
    <w:semiHidden/>
    <w:unhideWhenUsed/>
    <w:rsid w:val="00E61562"/>
    <w:pPr>
      <w:ind w:left="720"/>
    </w:pPr>
    <w:rPr>
      <w:rFonts w:cstheme="minorHAnsi"/>
      <w:sz w:val="20"/>
      <w:szCs w:val="20"/>
      <w:lang w:val="en-US"/>
    </w:rPr>
  </w:style>
  <w:style w:type="paragraph" w:styleId="TOC5">
    <w:name w:val="toc 5"/>
    <w:basedOn w:val="Normal"/>
    <w:next w:val="Normal"/>
    <w:autoRedefine/>
    <w:uiPriority w:val="39"/>
    <w:semiHidden/>
    <w:unhideWhenUsed/>
    <w:rsid w:val="00E61562"/>
    <w:pPr>
      <w:ind w:left="960"/>
    </w:pPr>
    <w:rPr>
      <w:rFonts w:cstheme="minorHAnsi"/>
      <w:sz w:val="20"/>
      <w:szCs w:val="20"/>
      <w:lang w:val="en-US"/>
    </w:rPr>
  </w:style>
  <w:style w:type="paragraph" w:styleId="TOC6">
    <w:name w:val="toc 6"/>
    <w:basedOn w:val="Normal"/>
    <w:next w:val="Normal"/>
    <w:autoRedefine/>
    <w:uiPriority w:val="39"/>
    <w:semiHidden/>
    <w:unhideWhenUsed/>
    <w:rsid w:val="00E61562"/>
    <w:pPr>
      <w:ind w:left="1200"/>
    </w:pPr>
    <w:rPr>
      <w:rFonts w:cstheme="minorHAnsi"/>
      <w:sz w:val="20"/>
      <w:szCs w:val="20"/>
      <w:lang w:val="en-US"/>
    </w:rPr>
  </w:style>
  <w:style w:type="paragraph" w:styleId="TOC7">
    <w:name w:val="toc 7"/>
    <w:basedOn w:val="Normal"/>
    <w:next w:val="Normal"/>
    <w:autoRedefine/>
    <w:uiPriority w:val="39"/>
    <w:semiHidden/>
    <w:unhideWhenUsed/>
    <w:rsid w:val="00E61562"/>
    <w:pPr>
      <w:ind w:left="1440"/>
    </w:pPr>
    <w:rPr>
      <w:rFonts w:cstheme="minorHAnsi"/>
      <w:sz w:val="20"/>
      <w:szCs w:val="20"/>
      <w:lang w:val="en-US"/>
    </w:rPr>
  </w:style>
  <w:style w:type="paragraph" w:styleId="TOC8">
    <w:name w:val="toc 8"/>
    <w:basedOn w:val="Normal"/>
    <w:next w:val="Normal"/>
    <w:autoRedefine/>
    <w:uiPriority w:val="39"/>
    <w:semiHidden/>
    <w:unhideWhenUsed/>
    <w:rsid w:val="00E61562"/>
    <w:pPr>
      <w:ind w:left="1680"/>
    </w:pPr>
    <w:rPr>
      <w:rFonts w:cstheme="minorHAnsi"/>
      <w:sz w:val="20"/>
      <w:szCs w:val="20"/>
      <w:lang w:val="en-US"/>
    </w:rPr>
  </w:style>
  <w:style w:type="paragraph" w:styleId="TOC9">
    <w:name w:val="toc 9"/>
    <w:basedOn w:val="Normal"/>
    <w:next w:val="Normal"/>
    <w:autoRedefine/>
    <w:uiPriority w:val="39"/>
    <w:semiHidden/>
    <w:unhideWhenUsed/>
    <w:rsid w:val="00E61562"/>
    <w:pPr>
      <w:ind w:left="1920"/>
    </w:pPr>
    <w:rPr>
      <w:rFonts w:cstheme="minorHAnsi"/>
      <w:sz w:val="20"/>
      <w:szCs w:val="20"/>
      <w:lang w:val="en-US"/>
    </w:rPr>
  </w:style>
  <w:style w:type="character" w:styleId="PageNumber">
    <w:name w:val="page number"/>
    <w:basedOn w:val="DefaultParagraphFont"/>
    <w:uiPriority w:val="99"/>
    <w:semiHidden/>
    <w:unhideWhenUsed/>
    <w:rsid w:val="00E61562"/>
  </w:style>
  <w:style w:type="character" w:styleId="Emphasis">
    <w:name w:val="Emphasis"/>
    <w:basedOn w:val="DefaultParagraphFont"/>
    <w:uiPriority w:val="20"/>
    <w:qFormat/>
    <w:rsid w:val="00E61562"/>
    <w:rPr>
      <w:i/>
      <w:iCs/>
    </w:rPr>
  </w:style>
  <w:style w:type="paragraph" w:customStyle="1" w:styleId="para">
    <w:name w:val="para"/>
    <w:basedOn w:val="Normal"/>
    <w:rsid w:val="00E61562"/>
    <w:pPr>
      <w:spacing w:before="100" w:beforeAutospacing="1" w:after="100" w:afterAutospacing="1"/>
    </w:pPr>
    <w:rPr>
      <w:lang w:val="en-US"/>
    </w:rPr>
  </w:style>
  <w:style w:type="character" w:styleId="Strong">
    <w:name w:val="Strong"/>
    <w:basedOn w:val="DefaultParagraphFont"/>
    <w:uiPriority w:val="22"/>
    <w:qFormat/>
    <w:rsid w:val="00E61562"/>
    <w:rPr>
      <w:b/>
      <w:bCs/>
    </w:rPr>
  </w:style>
  <w:style w:type="character" w:customStyle="1" w:styleId="highlight">
    <w:name w:val="highlight"/>
    <w:basedOn w:val="DefaultParagraphFont"/>
    <w:rsid w:val="00E61562"/>
  </w:style>
  <w:style w:type="character" w:customStyle="1" w:styleId="citation">
    <w:name w:val="citation"/>
    <w:basedOn w:val="DefaultParagraphFont"/>
    <w:rsid w:val="00E61562"/>
  </w:style>
  <w:style w:type="character" w:customStyle="1" w:styleId="citation-item">
    <w:name w:val="citation-item"/>
    <w:basedOn w:val="DefaultParagraphFont"/>
    <w:rsid w:val="00E61562"/>
  </w:style>
  <w:style w:type="paragraph" w:styleId="BodyText">
    <w:name w:val="Body Text"/>
    <w:basedOn w:val="Normal"/>
    <w:link w:val="BodyTextChar"/>
    <w:uiPriority w:val="1"/>
    <w:qFormat/>
    <w:rsid w:val="00E61562"/>
    <w:pPr>
      <w:widowControl w:val="0"/>
      <w:autoSpaceDE w:val="0"/>
      <w:autoSpaceDN w:val="0"/>
    </w:pPr>
    <w:rPr>
      <w:sz w:val="16"/>
      <w:szCs w:val="16"/>
      <w:lang w:val="en-US"/>
    </w:rPr>
  </w:style>
  <w:style w:type="character" w:customStyle="1" w:styleId="BodyTextChar">
    <w:name w:val="Body Text Char"/>
    <w:basedOn w:val="DefaultParagraphFont"/>
    <w:link w:val="BodyText"/>
    <w:uiPriority w:val="1"/>
    <w:rsid w:val="00E61562"/>
    <w:rPr>
      <w:rFonts w:ascii="Times New Roman" w:eastAsia="Times New Roman" w:hAnsi="Times New Roman" w:cs="Times New Roman"/>
      <w:kern w:val="0"/>
      <w:sz w:val="16"/>
      <w:szCs w:val="16"/>
      <w:lang w:val="en-US" w:eastAsia="en-GB"/>
      <w14:ligatures w14:val="none"/>
    </w:rPr>
  </w:style>
  <w:style w:type="paragraph" w:customStyle="1" w:styleId="TableParagraph">
    <w:name w:val="Table Paragraph"/>
    <w:basedOn w:val="Normal"/>
    <w:uiPriority w:val="1"/>
    <w:qFormat/>
    <w:rsid w:val="00E61562"/>
    <w:pPr>
      <w:widowControl w:val="0"/>
      <w:autoSpaceDE w:val="0"/>
      <w:autoSpaceDN w:val="0"/>
    </w:pPr>
    <w:rPr>
      <w:rFonts w:ascii="Arial MT" w:eastAsia="Arial MT" w:hAnsi="Arial MT" w:cs="Arial MT"/>
      <w:sz w:val="22"/>
      <w:szCs w:val="22"/>
      <w:lang w:val="en-US"/>
    </w:rPr>
  </w:style>
  <w:style w:type="character" w:styleId="SubtleReference">
    <w:name w:val="Subtle Reference"/>
    <w:basedOn w:val="DefaultParagraphFont"/>
    <w:uiPriority w:val="31"/>
    <w:qFormat/>
    <w:rsid w:val="00E61562"/>
    <w:rPr>
      <w:smallCaps/>
      <w:color w:val="5A5A5A" w:themeColor="text1" w:themeTint="A5"/>
    </w:rPr>
  </w:style>
  <w:style w:type="paragraph" w:styleId="FootnoteText">
    <w:name w:val="footnote text"/>
    <w:basedOn w:val="Normal"/>
    <w:link w:val="FootnoteTextChar"/>
    <w:uiPriority w:val="99"/>
    <w:semiHidden/>
    <w:unhideWhenUsed/>
    <w:rsid w:val="00E61562"/>
    <w:rPr>
      <w:sz w:val="20"/>
      <w:szCs w:val="20"/>
      <w:lang w:val="en-US"/>
    </w:rPr>
  </w:style>
  <w:style w:type="character" w:customStyle="1" w:styleId="FootnoteTextChar">
    <w:name w:val="Footnote Text Char"/>
    <w:basedOn w:val="DefaultParagraphFont"/>
    <w:link w:val="FootnoteText"/>
    <w:uiPriority w:val="99"/>
    <w:semiHidden/>
    <w:rsid w:val="00E61562"/>
    <w:rPr>
      <w:rFonts w:ascii="Times New Roman" w:eastAsia="Times New Roman" w:hAnsi="Times New Roman" w:cs="Times New Roman"/>
      <w:kern w:val="0"/>
      <w:sz w:val="20"/>
      <w:szCs w:val="20"/>
      <w:lang w:val="en-US" w:eastAsia="en-GB"/>
      <w14:ligatures w14:val="none"/>
    </w:rPr>
  </w:style>
  <w:style w:type="character" w:styleId="FootnoteReference">
    <w:name w:val="footnote reference"/>
    <w:basedOn w:val="DefaultParagraphFont"/>
    <w:uiPriority w:val="99"/>
    <w:semiHidden/>
    <w:unhideWhenUsed/>
    <w:rsid w:val="00E61562"/>
    <w:rPr>
      <w:vertAlign w:val="superscript"/>
    </w:rPr>
  </w:style>
  <w:style w:type="paragraph" w:styleId="EndnoteText">
    <w:name w:val="endnote text"/>
    <w:basedOn w:val="Normal"/>
    <w:link w:val="EndnoteTextChar"/>
    <w:uiPriority w:val="99"/>
    <w:semiHidden/>
    <w:unhideWhenUsed/>
    <w:rsid w:val="00E61562"/>
    <w:rPr>
      <w:sz w:val="20"/>
      <w:szCs w:val="20"/>
      <w:lang w:val="en-US"/>
    </w:rPr>
  </w:style>
  <w:style w:type="character" w:customStyle="1" w:styleId="EndnoteTextChar">
    <w:name w:val="Endnote Text Char"/>
    <w:basedOn w:val="DefaultParagraphFont"/>
    <w:link w:val="EndnoteText"/>
    <w:uiPriority w:val="99"/>
    <w:semiHidden/>
    <w:rsid w:val="00E61562"/>
    <w:rPr>
      <w:rFonts w:ascii="Times New Roman" w:eastAsia="Times New Roman" w:hAnsi="Times New Roman" w:cs="Times New Roman"/>
      <w:kern w:val="0"/>
      <w:sz w:val="20"/>
      <w:szCs w:val="20"/>
      <w:lang w:val="en-US" w:eastAsia="en-GB"/>
      <w14:ligatures w14:val="none"/>
    </w:rPr>
  </w:style>
  <w:style w:type="character" w:styleId="EndnoteReference">
    <w:name w:val="endnote reference"/>
    <w:basedOn w:val="DefaultParagraphFont"/>
    <w:uiPriority w:val="99"/>
    <w:semiHidden/>
    <w:unhideWhenUsed/>
    <w:rsid w:val="00E61562"/>
    <w:rPr>
      <w:vertAlign w:val="superscript"/>
    </w:rPr>
  </w:style>
  <w:style w:type="paragraph" w:styleId="Bibliography">
    <w:name w:val="Bibliography"/>
    <w:basedOn w:val="Normal"/>
    <w:next w:val="Normal"/>
    <w:uiPriority w:val="37"/>
    <w:unhideWhenUsed/>
    <w:rsid w:val="00E61562"/>
    <w:pPr>
      <w:tabs>
        <w:tab w:val="left" w:pos="380"/>
      </w:tabs>
      <w:spacing w:after="240"/>
      <w:ind w:left="384" w:hanging="384"/>
    </w:pPr>
    <w:rPr>
      <w:lang w:val="en-US"/>
    </w:rPr>
  </w:style>
  <w:style w:type="character" w:styleId="PlaceholderText">
    <w:name w:val="Placeholder Text"/>
    <w:basedOn w:val="DefaultParagraphFont"/>
    <w:uiPriority w:val="99"/>
    <w:semiHidden/>
    <w:rsid w:val="00E61562"/>
    <w:rPr>
      <w:color w:val="808080"/>
    </w:rPr>
  </w:style>
  <w:style w:type="paragraph" w:styleId="TableofFigures">
    <w:name w:val="table of figures"/>
    <w:basedOn w:val="Normal"/>
    <w:next w:val="Normal"/>
    <w:uiPriority w:val="99"/>
    <w:unhideWhenUsed/>
    <w:rsid w:val="00E61562"/>
    <w:rPr>
      <w:lang w:val="en-US"/>
    </w:rPr>
  </w:style>
  <w:style w:type="character" w:customStyle="1" w:styleId="cf01">
    <w:name w:val="cf01"/>
    <w:basedOn w:val="DefaultParagraphFont"/>
    <w:rsid w:val="00E61562"/>
    <w:rPr>
      <w:rFonts w:ascii="Segoe UI" w:hAnsi="Segoe UI" w:cs="Segoe UI" w:hint="default"/>
      <w:sz w:val="18"/>
      <w:szCs w:val="18"/>
    </w:rPr>
  </w:style>
  <w:style w:type="paragraph" w:customStyle="1" w:styleId="i4a-back-to-top">
    <w:name w:val="i4a-back-to-top"/>
    <w:basedOn w:val="Normal"/>
    <w:rsid w:val="00E61562"/>
    <w:pPr>
      <w:spacing w:before="100" w:beforeAutospacing="1" w:after="100" w:afterAutospacing="1"/>
    </w:pPr>
    <w:rPr>
      <w:lang w:val="en-US"/>
    </w:rPr>
  </w:style>
  <w:style w:type="table" w:styleId="TableGridLight">
    <w:name w:val="Grid Table Light"/>
    <w:basedOn w:val="TableNormal"/>
    <w:uiPriority w:val="40"/>
    <w:rsid w:val="00E61562"/>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26746</Words>
  <Characters>152457</Characters>
  <Application>Microsoft Office Word</Application>
  <DocSecurity>0</DocSecurity>
  <Lines>1270</Lines>
  <Paragraphs>357</Paragraphs>
  <ScaleCrop>false</ScaleCrop>
  <Company/>
  <LinksUpToDate>false</LinksUpToDate>
  <CharactersWithSpaces>178846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Mies  Siekerman</dc:creator>
  <cp:keywords/>
  <dc:description/>
  <cp:lastModifiedBy>Mies  Siekerman</cp:lastModifiedBy>
  <cp:revision>11</cp:revision>
  <dcterms:created xsi:type="dcterms:W3CDTF">2026-09-19T15:19:00Z</dcterms:created>
  <dcterms:modified xsi:type="dcterms:W3CDTF">2026-09-19T15:32:00Z</dcterms:modified>
</cp:coreProperties>
</file>