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7C17F" w14:textId="77777777" w:rsidR="00AF5801" w:rsidRPr="00D6590B" w:rsidRDefault="00000000">
      <w:pPr>
        <w:autoSpaceDE w:val="0"/>
        <w:autoSpaceDN w:val="0"/>
        <w:adjustRightInd w:val="0"/>
        <w:spacing w:line="360" w:lineRule="auto"/>
        <w:rPr>
          <w:rFonts w:ascii="Times New Roman" w:eastAsia="宋体" w:hAnsi="Times New Roman" w:cs="Times New Roman"/>
          <w:b/>
          <w:bCs/>
          <w:color w:val="000000" w:themeColor="text1"/>
          <w:sz w:val="24"/>
        </w:rPr>
      </w:pPr>
      <w:r w:rsidRPr="00D6590B">
        <w:rPr>
          <w:rFonts w:ascii="Times New Roman" w:eastAsia="宋体" w:hAnsi="Times New Roman" w:cs="Times New Roman"/>
          <w:b/>
          <w:bCs/>
          <w:color w:val="000000" w:themeColor="text1"/>
          <w:sz w:val="24"/>
        </w:rPr>
        <w:t>Supplementary Material</w:t>
      </w:r>
    </w:p>
    <w:p w14:paraId="72F6FDD9" w14:textId="77777777" w:rsidR="00AF5801" w:rsidRPr="00D6590B" w:rsidRDefault="00000000">
      <w:pPr>
        <w:autoSpaceDE w:val="0"/>
        <w:autoSpaceDN w:val="0"/>
        <w:adjustRightInd w:val="0"/>
        <w:spacing w:line="360" w:lineRule="auto"/>
        <w:rPr>
          <w:rFonts w:ascii="Times New Roman" w:eastAsia="宋体" w:hAnsi="Times New Roman" w:cs="Times New Roman"/>
          <w:b/>
          <w:bCs/>
          <w:color w:val="000000" w:themeColor="text1"/>
          <w:sz w:val="24"/>
        </w:rPr>
      </w:pPr>
      <w:r w:rsidRPr="00D6590B">
        <w:rPr>
          <w:rFonts w:ascii="Times New Roman" w:eastAsia="宋体" w:hAnsi="Times New Roman" w:cs="Times New Roman"/>
          <w:b/>
          <w:bCs/>
          <w:color w:val="000000" w:themeColor="text1"/>
          <w:sz w:val="24"/>
        </w:rPr>
        <w:t>Supplementary Table S1. GEE-based pairwise comparisons among active myopia-control modalities</w:t>
      </w:r>
    </w:p>
    <w:tbl>
      <w:tblPr>
        <w:tblW w:w="5000" w:type="pct"/>
        <w:jc w:val="center"/>
        <w:tblLook w:val="04A0" w:firstRow="1" w:lastRow="0" w:firstColumn="1" w:lastColumn="0" w:noHBand="0" w:noVBand="1"/>
      </w:tblPr>
      <w:tblGrid>
        <w:gridCol w:w="1667"/>
        <w:gridCol w:w="1287"/>
        <w:gridCol w:w="992"/>
        <w:gridCol w:w="1188"/>
        <w:gridCol w:w="992"/>
        <w:gridCol w:w="1188"/>
        <w:gridCol w:w="992"/>
      </w:tblGrid>
      <w:tr w:rsidR="00AF5801" w:rsidRPr="00D6590B" w14:paraId="1B1158D7" w14:textId="77777777">
        <w:trPr>
          <w:tblHeader/>
          <w:jc w:val="center"/>
        </w:trPr>
        <w:tc>
          <w:tcPr>
            <w:tcW w:w="1002" w:type="pct"/>
            <w:tcBorders>
              <w:top w:val="single" w:sz="12" w:space="0" w:color="auto"/>
              <w:left w:val="nil"/>
              <w:bottom w:val="nil"/>
              <w:right w:val="nil"/>
            </w:tcBorders>
            <w:tcMar>
              <w:top w:w="-1" w:type="dxa"/>
              <w:left w:w="-1" w:type="dxa"/>
              <w:bottom w:w="-1" w:type="dxa"/>
              <w:right w:w="-1" w:type="dxa"/>
            </w:tcMar>
            <w:vAlign w:val="center"/>
          </w:tcPr>
          <w:p w14:paraId="08757070" w14:textId="77777777" w:rsidR="00AF5801" w:rsidRPr="00D6590B" w:rsidRDefault="00000000">
            <w:pPr>
              <w:widowControl/>
              <w:snapToGrid w:val="0"/>
              <w:jc w:val="center"/>
              <w:textAlignment w:val="center"/>
              <w:rPr>
                <w:rFonts w:ascii="Times New Roman" w:eastAsia="宋体" w:hAnsi="Times New Roman" w:cs="Times New Roman"/>
                <w:b/>
                <w:bCs/>
                <w:color w:val="000000" w:themeColor="text1"/>
                <w:sz w:val="24"/>
              </w:rPr>
            </w:pPr>
            <w:r w:rsidRPr="00D6590B">
              <w:rPr>
                <w:rFonts w:ascii="Times New Roman" w:eastAsia="宋体" w:hAnsi="Times New Roman" w:cs="Times New Roman"/>
                <w:b/>
                <w:bCs/>
                <w:color w:val="000000" w:themeColor="text1"/>
                <w:kern w:val="0"/>
                <w:sz w:val="24"/>
                <w:lang w:bidi="ar"/>
              </w:rPr>
              <w:t>Pairwise comparison</w:t>
            </w:r>
          </w:p>
        </w:tc>
        <w:tc>
          <w:tcPr>
            <w:tcW w:w="774" w:type="pct"/>
            <w:tcBorders>
              <w:top w:val="single" w:sz="12" w:space="0" w:color="auto"/>
              <w:left w:val="nil"/>
              <w:bottom w:val="nil"/>
              <w:right w:val="nil"/>
            </w:tcBorders>
            <w:tcMar>
              <w:top w:w="-1" w:type="dxa"/>
              <w:left w:w="-1" w:type="dxa"/>
              <w:bottom w:w="-1" w:type="dxa"/>
              <w:right w:w="-1" w:type="dxa"/>
            </w:tcMar>
            <w:vAlign w:val="center"/>
          </w:tcPr>
          <w:p w14:paraId="1C671CE1" w14:textId="77777777" w:rsidR="00AF5801" w:rsidRPr="00D6590B" w:rsidRDefault="00000000">
            <w:pPr>
              <w:widowControl/>
              <w:snapToGrid w:val="0"/>
              <w:jc w:val="center"/>
              <w:textAlignment w:val="center"/>
              <w:rPr>
                <w:rFonts w:ascii="Times New Roman" w:eastAsia="宋体" w:hAnsi="Times New Roman" w:cs="Times New Roman"/>
                <w:b/>
                <w:bCs/>
                <w:color w:val="000000" w:themeColor="text1"/>
                <w:sz w:val="24"/>
              </w:rPr>
            </w:pPr>
            <w:r w:rsidRPr="00D6590B">
              <w:rPr>
                <w:rFonts w:ascii="Times New Roman" w:eastAsia="宋体" w:hAnsi="Times New Roman" w:cs="Times New Roman"/>
                <w:b/>
                <w:bCs/>
                <w:color w:val="000000" w:themeColor="text1"/>
                <w:kern w:val="0"/>
                <w:sz w:val="24"/>
                <w:lang w:bidi="ar"/>
              </w:rPr>
              <w:t>Axial elongation, mean difference (</w:t>
            </w:r>
            <w:r w:rsidRPr="00D6590B">
              <w:rPr>
                <w:rFonts w:ascii="Times New Roman" w:eastAsia="宋体" w:hAnsi="Times New Roman" w:cs="Times New Roman"/>
                <w:b/>
                <w:bCs/>
                <w:i/>
                <w:iCs/>
                <w:color w:val="000000" w:themeColor="text1"/>
                <w:kern w:val="0"/>
                <w:sz w:val="24"/>
                <w:lang w:bidi="ar"/>
              </w:rPr>
              <w:t>95% CI</w:t>
            </w:r>
            <w:r w:rsidRPr="00D6590B">
              <w:rPr>
                <w:rFonts w:ascii="Times New Roman" w:eastAsia="宋体" w:hAnsi="Times New Roman" w:cs="Times New Roman"/>
                <w:b/>
                <w:bCs/>
                <w:color w:val="000000" w:themeColor="text1"/>
                <w:kern w:val="0"/>
                <w:sz w:val="24"/>
                <w:lang w:bidi="ar"/>
              </w:rPr>
              <w:t>)</w:t>
            </w:r>
          </w:p>
        </w:tc>
        <w:tc>
          <w:tcPr>
            <w:tcW w:w="597" w:type="pct"/>
            <w:tcBorders>
              <w:top w:val="single" w:sz="12" w:space="0" w:color="auto"/>
              <w:left w:val="nil"/>
              <w:bottom w:val="nil"/>
              <w:right w:val="nil"/>
            </w:tcBorders>
            <w:tcMar>
              <w:top w:w="-1" w:type="dxa"/>
              <w:left w:w="-1" w:type="dxa"/>
              <w:bottom w:w="-1" w:type="dxa"/>
              <w:right w:w="-1" w:type="dxa"/>
            </w:tcMar>
            <w:vAlign w:val="center"/>
          </w:tcPr>
          <w:p w14:paraId="3ACBB350" w14:textId="77777777" w:rsidR="00AF5801" w:rsidRPr="00D6590B" w:rsidRDefault="00000000">
            <w:pPr>
              <w:widowControl/>
              <w:snapToGrid w:val="0"/>
              <w:jc w:val="center"/>
              <w:textAlignment w:val="center"/>
              <w:rPr>
                <w:rFonts w:ascii="Times New Roman" w:eastAsia="宋体" w:hAnsi="Times New Roman" w:cs="Times New Roman"/>
                <w:b/>
                <w:bCs/>
                <w:color w:val="000000" w:themeColor="text1"/>
                <w:sz w:val="24"/>
              </w:rPr>
            </w:pPr>
            <w:r w:rsidRPr="00D6590B">
              <w:rPr>
                <w:rFonts w:ascii="Times New Roman" w:eastAsia="宋体" w:hAnsi="Times New Roman" w:cs="Times New Roman"/>
                <w:b/>
                <w:bCs/>
                <w:color w:val="000000" w:themeColor="text1"/>
                <w:kern w:val="0"/>
                <w:sz w:val="24"/>
                <w:lang w:bidi="ar"/>
              </w:rPr>
              <w:t xml:space="preserve">Adjusted </w:t>
            </w:r>
            <w:r w:rsidRPr="00D6590B">
              <w:rPr>
                <w:rFonts w:ascii="Times New Roman" w:eastAsia="宋体" w:hAnsi="Times New Roman" w:cs="Times New Roman"/>
                <w:b/>
                <w:bCs/>
                <w:i/>
                <w:iCs/>
                <w:color w:val="000000" w:themeColor="text1"/>
                <w:kern w:val="0"/>
                <w:sz w:val="24"/>
                <w:lang w:bidi="ar"/>
              </w:rPr>
              <w:t>P</w:t>
            </w:r>
          </w:p>
        </w:tc>
        <w:tc>
          <w:tcPr>
            <w:tcW w:w="715" w:type="pct"/>
            <w:tcBorders>
              <w:top w:val="single" w:sz="12" w:space="0" w:color="auto"/>
              <w:left w:val="nil"/>
              <w:bottom w:val="nil"/>
              <w:right w:val="nil"/>
            </w:tcBorders>
            <w:tcMar>
              <w:top w:w="-1" w:type="dxa"/>
              <w:left w:w="-1" w:type="dxa"/>
              <w:bottom w:w="-1" w:type="dxa"/>
              <w:right w:w="-1" w:type="dxa"/>
            </w:tcMar>
            <w:vAlign w:val="center"/>
          </w:tcPr>
          <w:p w14:paraId="33AADA28" w14:textId="77777777" w:rsidR="00AF5801" w:rsidRPr="00D6590B" w:rsidRDefault="00000000">
            <w:pPr>
              <w:widowControl/>
              <w:snapToGrid w:val="0"/>
              <w:jc w:val="center"/>
              <w:textAlignment w:val="center"/>
              <w:rPr>
                <w:rFonts w:ascii="Times New Roman" w:eastAsia="宋体" w:hAnsi="Times New Roman" w:cs="Times New Roman"/>
                <w:b/>
                <w:bCs/>
                <w:color w:val="000000" w:themeColor="text1"/>
                <w:sz w:val="24"/>
              </w:rPr>
            </w:pPr>
            <w:r w:rsidRPr="00D6590B">
              <w:rPr>
                <w:rFonts w:ascii="Times New Roman" w:eastAsia="宋体" w:hAnsi="Times New Roman" w:cs="Times New Roman"/>
                <w:b/>
                <w:bCs/>
                <w:color w:val="000000" w:themeColor="text1"/>
                <w:kern w:val="0"/>
                <w:sz w:val="24"/>
                <w:lang w:bidi="ar"/>
              </w:rPr>
              <w:t>CT change, mean difference (</w:t>
            </w:r>
            <w:r w:rsidRPr="00D6590B">
              <w:rPr>
                <w:rFonts w:ascii="Times New Roman" w:eastAsia="宋体" w:hAnsi="Times New Roman" w:cs="Times New Roman"/>
                <w:b/>
                <w:bCs/>
                <w:i/>
                <w:iCs/>
                <w:color w:val="000000" w:themeColor="text1"/>
                <w:kern w:val="0"/>
                <w:sz w:val="24"/>
                <w:lang w:bidi="ar"/>
              </w:rPr>
              <w:t>95% CI</w:t>
            </w:r>
            <w:r w:rsidRPr="00D6590B">
              <w:rPr>
                <w:rFonts w:ascii="Times New Roman" w:eastAsia="宋体" w:hAnsi="Times New Roman" w:cs="Times New Roman"/>
                <w:b/>
                <w:bCs/>
                <w:color w:val="000000" w:themeColor="text1"/>
                <w:kern w:val="0"/>
                <w:sz w:val="24"/>
                <w:lang w:bidi="ar"/>
              </w:rPr>
              <w:t xml:space="preserve">), </w:t>
            </w:r>
            <w:proofErr w:type="spellStart"/>
            <w:r w:rsidRPr="00D6590B">
              <w:rPr>
                <w:rFonts w:ascii="Times New Roman" w:eastAsia="宋体" w:hAnsi="Times New Roman" w:cs="Times New Roman"/>
                <w:b/>
                <w:bCs/>
                <w:color w:val="000000" w:themeColor="text1"/>
                <w:kern w:val="0"/>
                <w:sz w:val="24"/>
                <w:lang w:bidi="ar"/>
              </w:rPr>
              <w:t>μm</w:t>
            </w:r>
            <w:proofErr w:type="spellEnd"/>
          </w:p>
        </w:tc>
        <w:tc>
          <w:tcPr>
            <w:tcW w:w="597" w:type="pct"/>
            <w:tcBorders>
              <w:top w:val="single" w:sz="12" w:space="0" w:color="auto"/>
              <w:left w:val="nil"/>
              <w:bottom w:val="nil"/>
              <w:right w:val="nil"/>
            </w:tcBorders>
            <w:tcMar>
              <w:top w:w="-1" w:type="dxa"/>
              <w:left w:w="-1" w:type="dxa"/>
              <w:bottom w:w="-1" w:type="dxa"/>
              <w:right w:w="-1" w:type="dxa"/>
            </w:tcMar>
            <w:vAlign w:val="center"/>
          </w:tcPr>
          <w:p w14:paraId="3C7FFF0F" w14:textId="77777777" w:rsidR="00AF5801" w:rsidRPr="00D6590B" w:rsidRDefault="00000000">
            <w:pPr>
              <w:widowControl/>
              <w:snapToGrid w:val="0"/>
              <w:jc w:val="center"/>
              <w:textAlignment w:val="center"/>
              <w:rPr>
                <w:rFonts w:ascii="Times New Roman" w:eastAsia="宋体" w:hAnsi="Times New Roman" w:cs="Times New Roman"/>
                <w:b/>
                <w:bCs/>
                <w:color w:val="000000" w:themeColor="text1"/>
                <w:sz w:val="24"/>
              </w:rPr>
            </w:pPr>
            <w:r w:rsidRPr="00D6590B">
              <w:rPr>
                <w:rFonts w:ascii="Times New Roman" w:eastAsia="宋体" w:hAnsi="Times New Roman" w:cs="Times New Roman"/>
                <w:b/>
                <w:bCs/>
                <w:color w:val="000000" w:themeColor="text1"/>
                <w:kern w:val="0"/>
                <w:sz w:val="24"/>
                <w:lang w:bidi="ar"/>
              </w:rPr>
              <w:t xml:space="preserve">Adjusted </w:t>
            </w:r>
            <w:r w:rsidRPr="00D6590B">
              <w:rPr>
                <w:rFonts w:ascii="Times New Roman" w:eastAsia="宋体" w:hAnsi="Times New Roman" w:cs="Times New Roman"/>
                <w:b/>
                <w:bCs/>
                <w:i/>
                <w:iCs/>
                <w:color w:val="000000" w:themeColor="text1"/>
                <w:kern w:val="0"/>
                <w:sz w:val="24"/>
                <w:lang w:bidi="ar"/>
              </w:rPr>
              <w:t>P</w:t>
            </w:r>
          </w:p>
        </w:tc>
        <w:tc>
          <w:tcPr>
            <w:tcW w:w="715" w:type="pct"/>
            <w:tcBorders>
              <w:top w:val="single" w:sz="12" w:space="0" w:color="auto"/>
              <w:left w:val="nil"/>
              <w:bottom w:val="nil"/>
              <w:right w:val="nil"/>
            </w:tcBorders>
            <w:tcMar>
              <w:top w:w="-1" w:type="dxa"/>
              <w:left w:w="-1" w:type="dxa"/>
              <w:bottom w:w="-1" w:type="dxa"/>
              <w:right w:w="-1" w:type="dxa"/>
            </w:tcMar>
            <w:vAlign w:val="center"/>
          </w:tcPr>
          <w:p w14:paraId="1568A3B7" w14:textId="77777777" w:rsidR="00AF5801" w:rsidRPr="00D6590B" w:rsidRDefault="00000000">
            <w:pPr>
              <w:widowControl/>
              <w:snapToGrid w:val="0"/>
              <w:jc w:val="center"/>
              <w:textAlignment w:val="center"/>
              <w:rPr>
                <w:rFonts w:ascii="Times New Roman" w:eastAsia="宋体" w:hAnsi="Times New Roman" w:cs="Times New Roman"/>
                <w:b/>
                <w:bCs/>
                <w:color w:val="000000" w:themeColor="text1"/>
                <w:sz w:val="24"/>
              </w:rPr>
            </w:pPr>
            <w:r w:rsidRPr="00D6590B">
              <w:rPr>
                <w:rFonts w:ascii="Times New Roman" w:eastAsia="宋体" w:hAnsi="Times New Roman" w:cs="Times New Roman"/>
                <w:b/>
                <w:bCs/>
                <w:color w:val="000000" w:themeColor="text1"/>
                <w:kern w:val="0"/>
                <w:sz w:val="24"/>
                <w:lang w:bidi="ar"/>
              </w:rPr>
              <w:t>CVI change, mean difference (</w:t>
            </w:r>
            <w:r w:rsidRPr="00D6590B">
              <w:rPr>
                <w:rFonts w:ascii="Times New Roman" w:eastAsia="宋体" w:hAnsi="Times New Roman" w:cs="Times New Roman"/>
                <w:b/>
                <w:bCs/>
                <w:i/>
                <w:iCs/>
                <w:color w:val="000000" w:themeColor="text1"/>
                <w:kern w:val="0"/>
                <w:sz w:val="24"/>
                <w:lang w:bidi="ar"/>
              </w:rPr>
              <w:t>95% CI</w:t>
            </w:r>
            <w:r w:rsidRPr="00D6590B">
              <w:rPr>
                <w:rFonts w:ascii="Times New Roman" w:eastAsia="宋体" w:hAnsi="Times New Roman" w:cs="Times New Roman"/>
                <w:b/>
                <w:bCs/>
                <w:color w:val="000000" w:themeColor="text1"/>
                <w:kern w:val="0"/>
                <w:sz w:val="24"/>
                <w:lang w:bidi="ar"/>
              </w:rPr>
              <w:t>)</w:t>
            </w:r>
          </w:p>
        </w:tc>
        <w:tc>
          <w:tcPr>
            <w:tcW w:w="597" w:type="pct"/>
            <w:tcBorders>
              <w:top w:val="single" w:sz="12" w:space="0" w:color="auto"/>
              <w:left w:val="nil"/>
              <w:bottom w:val="nil"/>
              <w:right w:val="nil"/>
            </w:tcBorders>
            <w:tcMar>
              <w:top w:w="-1" w:type="dxa"/>
              <w:left w:w="-1" w:type="dxa"/>
              <w:bottom w:w="-1" w:type="dxa"/>
              <w:right w:w="-1" w:type="dxa"/>
            </w:tcMar>
            <w:vAlign w:val="center"/>
          </w:tcPr>
          <w:p w14:paraId="6A5D5EF9" w14:textId="77777777" w:rsidR="00AF5801" w:rsidRPr="00D6590B" w:rsidRDefault="00000000">
            <w:pPr>
              <w:widowControl/>
              <w:snapToGrid w:val="0"/>
              <w:jc w:val="center"/>
              <w:textAlignment w:val="center"/>
              <w:rPr>
                <w:rFonts w:ascii="Times New Roman" w:eastAsia="宋体" w:hAnsi="Times New Roman" w:cs="Times New Roman"/>
                <w:b/>
                <w:bCs/>
                <w:color w:val="000000" w:themeColor="text1"/>
                <w:sz w:val="24"/>
              </w:rPr>
            </w:pPr>
            <w:r w:rsidRPr="00D6590B">
              <w:rPr>
                <w:rFonts w:ascii="Times New Roman" w:eastAsia="宋体" w:hAnsi="Times New Roman" w:cs="Times New Roman"/>
                <w:b/>
                <w:bCs/>
                <w:color w:val="000000" w:themeColor="text1"/>
                <w:kern w:val="0"/>
                <w:sz w:val="24"/>
                <w:lang w:bidi="ar"/>
              </w:rPr>
              <w:t xml:space="preserve">Adjusted </w:t>
            </w:r>
            <w:r w:rsidRPr="00D6590B">
              <w:rPr>
                <w:rFonts w:ascii="Times New Roman" w:eastAsia="宋体" w:hAnsi="Times New Roman" w:cs="Times New Roman"/>
                <w:b/>
                <w:bCs/>
                <w:i/>
                <w:iCs/>
                <w:color w:val="000000" w:themeColor="text1"/>
                <w:kern w:val="0"/>
                <w:sz w:val="24"/>
                <w:lang w:bidi="ar"/>
              </w:rPr>
              <w:t>P</w:t>
            </w:r>
          </w:p>
        </w:tc>
      </w:tr>
      <w:tr w:rsidR="00AF5801" w:rsidRPr="00D6590B" w14:paraId="0778B954" w14:textId="77777777">
        <w:trPr>
          <w:jc w:val="center"/>
        </w:trPr>
        <w:tc>
          <w:tcPr>
            <w:tcW w:w="1002" w:type="pct"/>
            <w:tcBorders>
              <w:top w:val="single" w:sz="4" w:space="0" w:color="auto"/>
              <w:left w:val="nil"/>
              <w:bottom w:val="nil"/>
              <w:right w:val="nil"/>
            </w:tcBorders>
            <w:tcMar>
              <w:top w:w="-1" w:type="dxa"/>
              <w:left w:w="-1" w:type="dxa"/>
              <w:bottom w:w="-1" w:type="dxa"/>
              <w:right w:w="-1" w:type="dxa"/>
            </w:tcMar>
            <w:vAlign w:val="center"/>
          </w:tcPr>
          <w:p w14:paraId="0389F68B"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Atropine vs multifocal soft contact lenses</w:t>
            </w:r>
          </w:p>
        </w:tc>
        <w:tc>
          <w:tcPr>
            <w:tcW w:w="774" w:type="pct"/>
            <w:tcBorders>
              <w:top w:val="single" w:sz="4" w:space="0" w:color="auto"/>
              <w:left w:val="nil"/>
              <w:bottom w:val="nil"/>
              <w:right w:val="nil"/>
            </w:tcBorders>
            <w:tcMar>
              <w:top w:w="-1" w:type="dxa"/>
              <w:left w:w="-1" w:type="dxa"/>
              <w:bottom w:w="-1" w:type="dxa"/>
              <w:right w:w="-1" w:type="dxa"/>
            </w:tcMar>
            <w:vAlign w:val="center"/>
          </w:tcPr>
          <w:p w14:paraId="5EC3DC14"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0.027 (−0.001 to 0.055)</w:t>
            </w:r>
          </w:p>
        </w:tc>
        <w:tc>
          <w:tcPr>
            <w:tcW w:w="597" w:type="pct"/>
            <w:tcBorders>
              <w:top w:val="single" w:sz="4" w:space="0" w:color="auto"/>
              <w:left w:val="nil"/>
              <w:bottom w:val="nil"/>
              <w:right w:val="nil"/>
            </w:tcBorders>
            <w:tcMar>
              <w:top w:w="-1" w:type="dxa"/>
              <w:left w:w="-1" w:type="dxa"/>
              <w:bottom w:w="-1" w:type="dxa"/>
              <w:right w:w="-1" w:type="dxa"/>
            </w:tcMar>
            <w:vAlign w:val="center"/>
          </w:tcPr>
          <w:p w14:paraId="1ADEE434"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0.176</w:t>
            </w:r>
          </w:p>
        </w:tc>
        <w:tc>
          <w:tcPr>
            <w:tcW w:w="715" w:type="pct"/>
            <w:tcBorders>
              <w:top w:val="single" w:sz="4" w:space="0" w:color="auto"/>
              <w:left w:val="nil"/>
              <w:bottom w:val="nil"/>
              <w:right w:val="nil"/>
            </w:tcBorders>
            <w:tcMar>
              <w:top w:w="-1" w:type="dxa"/>
              <w:left w:w="-1" w:type="dxa"/>
              <w:bottom w:w="-1" w:type="dxa"/>
              <w:right w:w="-1" w:type="dxa"/>
            </w:tcMar>
            <w:vAlign w:val="center"/>
          </w:tcPr>
          <w:p w14:paraId="73E558CF"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−5.05 (−8.84 to −1.26)</w:t>
            </w:r>
          </w:p>
        </w:tc>
        <w:tc>
          <w:tcPr>
            <w:tcW w:w="597" w:type="pct"/>
            <w:tcBorders>
              <w:top w:val="single" w:sz="4" w:space="0" w:color="auto"/>
              <w:left w:val="nil"/>
              <w:bottom w:val="nil"/>
              <w:right w:val="nil"/>
            </w:tcBorders>
            <w:tcMar>
              <w:top w:w="-1" w:type="dxa"/>
              <w:left w:w="-1" w:type="dxa"/>
              <w:bottom w:w="-1" w:type="dxa"/>
              <w:right w:w="-1" w:type="dxa"/>
            </w:tcMar>
            <w:vAlign w:val="center"/>
          </w:tcPr>
          <w:p w14:paraId="408CE6B3"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0.027</w:t>
            </w:r>
          </w:p>
        </w:tc>
        <w:tc>
          <w:tcPr>
            <w:tcW w:w="715" w:type="pct"/>
            <w:tcBorders>
              <w:top w:val="single" w:sz="4" w:space="0" w:color="auto"/>
              <w:left w:val="nil"/>
              <w:bottom w:val="nil"/>
              <w:right w:val="nil"/>
            </w:tcBorders>
            <w:tcMar>
              <w:top w:w="-1" w:type="dxa"/>
              <w:left w:w="-1" w:type="dxa"/>
              <w:bottom w:w="-1" w:type="dxa"/>
              <w:right w:w="-1" w:type="dxa"/>
            </w:tcMar>
            <w:vAlign w:val="center"/>
          </w:tcPr>
          <w:p w14:paraId="787B3146"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−0.0035 (−0.0061 to −0.0010)</w:t>
            </w:r>
          </w:p>
        </w:tc>
        <w:tc>
          <w:tcPr>
            <w:tcW w:w="597" w:type="pct"/>
            <w:tcBorders>
              <w:top w:val="single" w:sz="4" w:space="0" w:color="auto"/>
              <w:left w:val="nil"/>
              <w:bottom w:val="nil"/>
              <w:right w:val="nil"/>
            </w:tcBorders>
            <w:tcMar>
              <w:top w:w="-1" w:type="dxa"/>
              <w:left w:w="-1" w:type="dxa"/>
              <w:bottom w:w="-1" w:type="dxa"/>
              <w:right w:w="-1" w:type="dxa"/>
            </w:tcMar>
            <w:vAlign w:val="center"/>
          </w:tcPr>
          <w:p w14:paraId="291E38E0"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0.033</w:t>
            </w:r>
          </w:p>
        </w:tc>
      </w:tr>
      <w:tr w:rsidR="00AF5801" w:rsidRPr="00D6590B" w14:paraId="7CEC74B3" w14:textId="77777777">
        <w:trPr>
          <w:jc w:val="center"/>
        </w:trPr>
        <w:tc>
          <w:tcPr>
            <w:tcW w:w="1002" w:type="pct"/>
            <w:tcBorders>
              <w:top w:val="nil"/>
              <w:left w:val="nil"/>
              <w:bottom w:val="nil"/>
              <w:right w:val="nil"/>
            </w:tcBorders>
            <w:tcMar>
              <w:top w:w="-1" w:type="dxa"/>
              <w:left w:w="-1" w:type="dxa"/>
              <w:bottom w:w="-1" w:type="dxa"/>
              <w:right w:w="-1" w:type="dxa"/>
            </w:tcMar>
            <w:vAlign w:val="center"/>
          </w:tcPr>
          <w:p w14:paraId="3D6A77B9"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Atropine vs orthokeratology</w:t>
            </w:r>
          </w:p>
        </w:tc>
        <w:tc>
          <w:tcPr>
            <w:tcW w:w="774" w:type="pct"/>
            <w:tcBorders>
              <w:top w:val="nil"/>
              <w:left w:val="nil"/>
              <w:bottom w:val="nil"/>
              <w:right w:val="nil"/>
            </w:tcBorders>
            <w:tcMar>
              <w:top w:w="-1" w:type="dxa"/>
              <w:left w:w="-1" w:type="dxa"/>
              <w:bottom w:w="-1" w:type="dxa"/>
              <w:right w:w="-1" w:type="dxa"/>
            </w:tcMar>
            <w:vAlign w:val="center"/>
          </w:tcPr>
          <w:p w14:paraId="387FD47E"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0.072 (0.036 to 0.107)</w:t>
            </w:r>
          </w:p>
        </w:tc>
        <w:tc>
          <w:tcPr>
            <w:tcW w:w="597" w:type="pct"/>
            <w:tcBorders>
              <w:top w:val="nil"/>
              <w:left w:val="nil"/>
              <w:bottom w:val="nil"/>
              <w:right w:val="nil"/>
            </w:tcBorders>
            <w:tcMar>
              <w:top w:w="-1" w:type="dxa"/>
              <w:left w:w="-1" w:type="dxa"/>
              <w:bottom w:w="-1" w:type="dxa"/>
              <w:right w:w="-1" w:type="dxa"/>
            </w:tcMar>
            <w:vAlign w:val="center"/>
          </w:tcPr>
          <w:p w14:paraId="1B07A8E9"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&lt;0.001</w:t>
            </w:r>
          </w:p>
        </w:tc>
        <w:tc>
          <w:tcPr>
            <w:tcW w:w="715" w:type="pct"/>
            <w:tcBorders>
              <w:top w:val="nil"/>
              <w:left w:val="nil"/>
              <w:bottom w:val="nil"/>
              <w:right w:val="nil"/>
            </w:tcBorders>
            <w:tcMar>
              <w:top w:w="-1" w:type="dxa"/>
              <w:left w:w="-1" w:type="dxa"/>
              <w:bottom w:w="-1" w:type="dxa"/>
              <w:right w:w="-1" w:type="dxa"/>
            </w:tcMar>
            <w:vAlign w:val="center"/>
          </w:tcPr>
          <w:p w14:paraId="0FE7C2E5"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−10.52 (−14.18 to −6.86)</w:t>
            </w:r>
          </w:p>
        </w:tc>
        <w:tc>
          <w:tcPr>
            <w:tcW w:w="597" w:type="pct"/>
            <w:tcBorders>
              <w:top w:val="nil"/>
              <w:left w:val="nil"/>
              <w:bottom w:val="nil"/>
              <w:right w:val="nil"/>
            </w:tcBorders>
            <w:tcMar>
              <w:top w:w="-1" w:type="dxa"/>
              <w:left w:w="-1" w:type="dxa"/>
              <w:bottom w:w="-1" w:type="dxa"/>
              <w:right w:w="-1" w:type="dxa"/>
            </w:tcMar>
            <w:vAlign w:val="center"/>
          </w:tcPr>
          <w:p w14:paraId="492C9346"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&lt;0.001</w:t>
            </w:r>
          </w:p>
        </w:tc>
        <w:tc>
          <w:tcPr>
            <w:tcW w:w="715" w:type="pct"/>
            <w:tcBorders>
              <w:top w:val="nil"/>
              <w:left w:val="nil"/>
              <w:bottom w:val="nil"/>
              <w:right w:val="nil"/>
            </w:tcBorders>
            <w:tcMar>
              <w:top w:w="-1" w:type="dxa"/>
              <w:left w:w="-1" w:type="dxa"/>
              <w:bottom w:w="-1" w:type="dxa"/>
              <w:right w:w="-1" w:type="dxa"/>
            </w:tcMar>
            <w:vAlign w:val="center"/>
          </w:tcPr>
          <w:p w14:paraId="4E1AB43A"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−0.0050 (−0.0074 to −0.0025)</w:t>
            </w:r>
          </w:p>
        </w:tc>
        <w:tc>
          <w:tcPr>
            <w:tcW w:w="597" w:type="pct"/>
            <w:tcBorders>
              <w:top w:val="nil"/>
              <w:left w:val="nil"/>
              <w:bottom w:val="nil"/>
              <w:right w:val="nil"/>
            </w:tcBorders>
            <w:tcMar>
              <w:top w:w="-1" w:type="dxa"/>
              <w:left w:w="-1" w:type="dxa"/>
              <w:bottom w:w="-1" w:type="dxa"/>
              <w:right w:w="-1" w:type="dxa"/>
            </w:tcMar>
            <w:vAlign w:val="center"/>
          </w:tcPr>
          <w:p w14:paraId="71810011"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&lt;0.001</w:t>
            </w:r>
          </w:p>
        </w:tc>
      </w:tr>
      <w:tr w:rsidR="00AF5801" w:rsidRPr="00D6590B" w14:paraId="55758A43" w14:textId="77777777">
        <w:trPr>
          <w:jc w:val="center"/>
        </w:trPr>
        <w:tc>
          <w:tcPr>
            <w:tcW w:w="1002" w:type="pct"/>
            <w:tcBorders>
              <w:top w:val="nil"/>
              <w:left w:val="nil"/>
              <w:bottom w:val="nil"/>
              <w:right w:val="nil"/>
            </w:tcBorders>
            <w:tcMar>
              <w:top w:w="-1" w:type="dxa"/>
              <w:left w:w="-1" w:type="dxa"/>
              <w:bottom w:w="-1" w:type="dxa"/>
              <w:right w:w="-1" w:type="dxa"/>
            </w:tcMar>
            <w:vAlign w:val="center"/>
          </w:tcPr>
          <w:p w14:paraId="1645DFDB"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Atropine vs defocus spectacle lenses</w:t>
            </w:r>
          </w:p>
        </w:tc>
        <w:tc>
          <w:tcPr>
            <w:tcW w:w="774" w:type="pct"/>
            <w:tcBorders>
              <w:top w:val="nil"/>
              <w:left w:val="nil"/>
              <w:bottom w:val="nil"/>
              <w:right w:val="nil"/>
            </w:tcBorders>
            <w:tcMar>
              <w:top w:w="-1" w:type="dxa"/>
              <w:left w:w="-1" w:type="dxa"/>
              <w:bottom w:w="-1" w:type="dxa"/>
              <w:right w:w="-1" w:type="dxa"/>
            </w:tcMar>
            <w:vAlign w:val="center"/>
          </w:tcPr>
          <w:p w14:paraId="11A98C88"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0.025 (−0.003 to 0.053)</w:t>
            </w:r>
          </w:p>
        </w:tc>
        <w:tc>
          <w:tcPr>
            <w:tcW w:w="597" w:type="pct"/>
            <w:tcBorders>
              <w:top w:val="nil"/>
              <w:left w:val="nil"/>
              <w:bottom w:val="nil"/>
              <w:right w:val="nil"/>
            </w:tcBorders>
            <w:tcMar>
              <w:top w:w="-1" w:type="dxa"/>
              <w:left w:w="-1" w:type="dxa"/>
              <w:bottom w:w="-1" w:type="dxa"/>
              <w:right w:w="-1" w:type="dxa"/>
            </w:tcMar>
            <w:vAlign w:val="center"/>
          </w:tcPr>
          <w:p w14:paraId="30810B2F"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0.176</w:t>
            </w:r>
          </w:p>
        </w:tc>
        <w:tc>
          <w:tcPr>
            <w:tcW w:w="715" w:type="pct"/>
            <w:tcBorders>
              <w:top w:val="nil"/>
              <w:left w:val="nil"/>
              <w:bottom w:val="nil"/>
              <w:right w:val="nil"/>
            </w:tcBorders>
            <w:tcMar>
              <w:top w:w="-1" w:type="dxa"/>
              <w:left w:w="-1" w:type="dxa"/>
              <w:bottom w:w="-1" w:type="dxa"/>
              <w:right w:w="-1" w:type="dxa"/>
            </w:tcMar>
            <w:vAlign w:val="center"/>
          </w:tcPr>
          <w:p w14:paraId="6196D261"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−3.28 (−7.32 to 0.75)</w:t>
            </w:r>
          </w:p>
        </w:tc>
        <w:tc>
          <w:tcPr>
            <w:tcW w:w="597" w:type="pct"/>
            <w:tcBorders>
              <w:top w:val="nil"/>
              <w:left w:val="nil"/>
              <w:bottom w:val="nil"/>
              <w:right w:val="nil"/>
            </w:tcBorders>
            <w:tcMar>
              <w:top w:w="-1" w:type="dxa"/>
              <w:left w:w="-1" w:type="dxa"/>
              <w:bottom w:w="-1" w:type="dxa"/>
              <w:right w:w="-1" w:type="dxa"/>
            </w:tcMar>
            <w:vAlign w:val="center"/>
          </w:tcPr>
          <w:p w14:paraId="7211B7F0"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0.221</w:t>
            </w:r>
          </w:p>
        </w:tc>
        <w:tc>
          <w:tcPr>
            <w:tcW w:w="715" w:type="pct"/>
            <w:tcBorders>
              <w:top w:val="nil"/>
              <w:left w:val="nil"/>
              <w:bottom w:val="nil"/>
              <w:right w:val="nil"/>
            </w:tcBorders>
            <w:tcMar>
              <w:top w:w="-1" w:type="dxa"/>
              <w:left w:w="-1" w:type="dxa"/>
              <w:bottom w:w="-1" w:type="dxa"/>
              <w:right w:w="-1" w:type="dxa"/>
            </w:tcMar>
            <w:vAlign w:val="center"/>
          </w:tcPr>
          <w:p w14:paraId="2CCA7730"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−0.0022 (−0.0046 to 0.0002)</w:t>
            </w:r>
          </w:p>
        </w:tc>
        <w:tc>
          <w:tcPr>
            <w:tcW w:w="597" w:type="pct"/>
            <w:tcBorders>
              <w:top w:val="nil"/>
              <w:left w:val="nil"/>
              <w:bottom w:val="nil"/>
              <w:right w:val="nil"/>
            </w:tcBorders>
            <w:tcMar>
              <w:top w:w="-1" w:type="dxa"/>
              <w:left w:w="-1" w:type="dxa"/>
              <w:bottom w:w="-1" w:type="dxa"/>
              <w:right w:w="-1" w:type="dxa"/>
            </w:tcMar>
            <w:vAlign w:val="center"/>
          </w:tcPr>
          <w:p w14:paraId="6E4B2FCC"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0.218</w:t>
            </w:r>
          </w:p>
        </w:tc>
      </w:tr>
      <w:tr w:rsidR="00AF5801" w:rsidRPr="00D6590B" w14:paraId="54729F92" w14:textId="77777777">
        <w:trPr>
          <w:jc w:val="center"/>
        </w:trPr>
        <w:tc>
          <w:tcPr>
            <w:tcW w:w="1002" w:type="pct"/>
            <w:tcBorders>
              <w:top w:val="nil"/>
              <w:left w:val="nil"/>
              <w:bottom w:val="nil"/>
              <w:right w:val="nil"/>
            </w:tcBorders>
            <w:tcMar>
              <w:top w:w="-1" w:type="dxa"/>
              <w:left w:w="-1" w:type="dxa"/>
              <w:bottom w:w="-1" w:type="dxa"/>
              <w:right w:w="-1" w:type="dxa"/>
            </w:tcMar>
            <w:vAlign w:val="center"/>
          </w:tcPr>
          <w:p w14:paraId="19460E93"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Multifocal soft contact lenses vs orthokeratology</w:t>
            </w:r>
          </w:p>
        </w:tc>
        <w:tc>
          <w:tcPr>
            <w:tcW w:w="774" w:type="pct"/>
            <w:tcBorders>
              <w:top w:val="nil"/>
              <w:left w:val="nil"/>
              <w:bottom w:val="nil"/>
              <w:right w:val="nil"/>
            </w:tcBorders>
            <w:tcMar>
              <w:top w:w="-1" w:type="dxa"/>
              <w:left w:w="-1" w:type="dxa"/>
              <w:bottom w:w="-1" w:type="dxa"/>
              <w:right w:w="-1" w:type="dxa"/>
            </w:tcMar>
            <w:vAlign w:val="center"/>
          </w:tcPr>
          <w:p w14:paraId="2FA9D5E6"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0.045 (0.010 to 0.079)</w:t>
            </w:r>
          </w:p>
        </w:tc>
        <w:tc>
          <w:tcPr>
            <w:tcW w:w="597" w:type="pct"/>
            <w:tcBorders>
              <w:top w:val="nil"/>
              <w:left w:val="nil"/>
              <w:bottom w:val="nil"/>
              <w:right w:val="nil"/>
            </w:tcBorders>
            <w:tcMar>
              <w:top w:w="-1" w:type="dxa"/>
              <w:left w:w="-1" w:type="dxa"/>
              <w:bottom w:w="-1" w:type="dxa"/>
              <w:right w:w="-1" w:type="dxa"/>
            </w:tcMar>
            <w:vAlign w:val="center"/>
          </w:tcPr>
          <w:p w14:paraId="217FB0BF"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0.048</w:t>
            </w:r>
          </w:p>
        </w:tc>
        <w:tc>
          <w:tcPr>
            <w:tcW w:w="715" w:type="pct"/>
            <w:tcBorders>
              <w:top w:val="nil"/>
              <w:left w:val="nil"/>
              <w:bottom w:val="nil"/>
              <w:right w:val="nil"/>
            </w:tcBorders>
            <w:tcMar>
              <w:top w:w="-1" w:type="dxa"/>
              <w:left w:w="-1" w:type="dxa"/>
              <w:bottom w:w="-1" w:type="dxa"/>
              <w:right w:w="-1" w:type="dxa"/>
            </w:tcMar>
            <w:vAlign w:val="center"/>
          </w:tcPr>
          <w:p w14:paraId="3AAC6136"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−5.47 (−9.02 to −1.92)</w:t>
            </w:r>
          </w:p>
        </w:tc>
        <w:tc>
          <w:tcPr>
            <w:tcW w:w="597" w:type="pct"/>
            <w:tcBorders>
              <w:top w:val="nil"/>
              <w:left w:val="nil"/>
              <w:bottom w:val="nil"/>
              <w:right w:val="nil"/>
            </w:tcBorders>
            <w:tcMar>
              <w:top w:w="-1" w:type="dxa"/>
              <w:left w:w="-1" w:type="dxa"/>
              <w:bottom w:w="-1" w:type="dxa"/>
              <w:right w:w="-1" w:type="dxa"/>
            </w:tcMar>
            <w:vAlign w:val="center"/>
          </w:tcPr>
          <w:p w14:paraId="021A1596"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0.01</w:t>
            </w:r>
          </w:p>
        </w:tc>
        <w:tc>
          <w:tcPr>
            <w:tcW w:w="715" w:type="pct"/>
            <w:tcBorders>
              <w:top w:val="nil"/>
              <w:left w:val="nil"/>
              <w:bottom w:val="nil"/>
              <w:right w:val="nil"/>
            </w:tcBorders>
            <w:tcMar>
              <w:top w:w="-1" w:type="dxa"/>
              <w:left w:w="-1" w:type="dxa"/>
              <w:bottom w:w="-1" w:type="dxa"/>
              <w:right w:w="-1" w:type="dxa"/>
            </w:tcMar>
            <w:vAlign w:val="center"/>
          </w:tcPr>
          <w:p w14:paraId="3DBABB1D"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−0.0014 (−0.0039 to 0.0010)</w:t>
            </w:r>
          </w:p>
        </w:tc>
        <w:tc>
          <w:tcPr>
            <w:tcW w:w="597" w:type="pct"/>
            <w:tcBorders>
              <w:top w:val="nil"/>
              <w:left w:val="nil"/>
              <w:bottom w:val="nil"/>
              <w:right w:val="nil"/>
            </w:tcBorders>
            <w:tcMar>
              <w:top w:w="-1" w:type="dxa"/>
              <w:left w:w="-1" w:type="dxa"/>
              <w:bottom w:w="-1" w:type="dxa"/>
              <w:right w:w="-1" w:type="dxa"/>
            </w:tcMar>
            <w:vAlign w:val="center"/>
          </w:tcPr>
          <w:p w14:paraId="3FA9140A"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0.512</w:t>
            </w:r>
          </w:p>
        </w:tc>
      </w:tr>
      <w:tr w:rsidR="00AF5801" w:rsidRPr="00D6590B" w14:paraId="4F3807DC" w14:textId="77777777">
        <w:trPr>
          <w:jc w:val="center"/>
        </w:trPr>
        <w:tc>
          <w:tcPr>
            <w:tcW w:w="1002" w:type="pct"/>
            <w:tcBorders>
              <w:top w:val="nil"/>
              <w:left w:val="nil"/>
              <w:bottom w:val="nil"/>
              <w:right w:val="nil"/>
            </w:tcBorders>
            <w:tcMar>
              <w:top w:w="-1" w:type="dxa"/>
              <w:left w:w="-1" w:type="dxa"/>
              <w:bottom w:w="-1" w:type="dxa"/>
              <w:right w:w="-1" w:type="dxa"/>
            </w:tcMar>
            <w:vAlign w:val="center"/>
          </w:tcPr>
          <w:p w14:paraId="4C607902"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Multifocal soft contact lenses vs defocus spectacle lenses</w:t>
            </w:r>
          </w:p>
        </w:tc>
        <w:tc>
          <w:tcPr>
            <w:tcW w:w="774" w:type="pct"/>
            <w:tcBorders>
              <w:top w:val="nil"/>
              <w:left w:val="nil"/>
              <w:bottom w:val="nil"/>
              <w:right w:val="nil"/>
            </w:tcBorders>
            <w:tcMar>
              <w:top w:w="-1" w:type="dxa"/>
              <w:left w:w="-1" w:type="dxa"/>
              <w:bottom w:w="-1" w:type="dxa"/>
              <w:right w:w="-1" w:type="dxa"/>
            </w:tcMar>
            <w:vAlign w:val="center"/>
          </w:tcPr>
          <w:p w14:paraId="2C0F1AD1"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−0.002 (−0.029 to 0.025)</w:t>
            </w:r>
          </w:p>
        </w:tc>
        <w:tc>
          <w:tcPr>
            <w:tcW w:w="597" w:type="pct"/>
            <w:tcBorders>
              <w:top w:val="nil"/>
              <w:left w:val="nil"/>
              <w:bottom w:val="nil"/>
              <w:right w:val="nil"/>
            </w:tcBorders>
            <w:tcMar>
              <w:top w:w="-1" w:type="dxa"/>
              <w:left w:w="-1" w:type="dxa"/>
              <w:bottom w:w="-1" w:type="dxa"/>
              <w:right w:w="-1" w:type="dxa"/>
            </w:tcMar>
            <w:vAlign w:val="center"/>
          </w:tcPr>
          <w:p w14:paraId="5A849CA4"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0.884</w:t>
            </w:r>
          </w:p>
        </w:tc>
        <w:tc>
          <w:tcPr>
            <w:tcW w:w="715" w:type="pct"/>
            <w:tcBorders>
              <w:top w:val="nil"/>
              <w:left w:val="nil"/>
              <w:bottom w:val="nil"/>
              <w:right w:val="nil"/>
            </w:tcBorders>
            <w:tcMar>
              <w:top w:w="-1" w:type="dxa"/>
              <w:left w:w="-1" w:type="dxa"/>
              <w:bottom w:w="-1" w:type="dxa"/>
              <w:right w:w="-1" w:type="dxa"/>
            </w:tcMar>
            <w:vAlign w:val="center"/>
          </w:tcPr>
          <w:p w14:paraId="2C7A1BD1"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1.77 (−2.17 to 5.70)</w:t>
            </w:r>
          </w:p>
        </w:tc>
        <w:tc>
          <w:tcPr>
            <w:tcW w:w="597" w:type="pct"/>
            <w:tcBorders>
              <w:top w:val="nil"/>
              <w:left w:val="nil"/>
              <w:bottom w:val="nil"/>
              <w:right w:val="nil"/>
            </w:tcBorders>
            <w:tcMar>
              <w:top w:w="-1" w:type="dxa"/>
              <w:left w:w="-1" w:type="dxa"/>
              <w:bottom w:w="-1" w:type="dxa"/>
              <w:right w:w="-1" w:type="dxa"/>
            </w:tcMar>
            <w:vAlign w:val="center"/>
          </w:tcPr>
          <w:p w14:paraId="6389EB67"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0.379</w:t>
            </w:r>
          </w:p>
        </w:tc>
        <w:tc>
          <w:tcPr>
            <w:tcW w:w="715" w:type="pct"/>
            <w:tcBorders>
              <w:top w:val="nil"/>
              <w:left w:val="nil"/>
              <w:bottom w:val="nil"/>
              <w:right w:val="nil"/>
            </w:tcBorders>
            <w:tcMar>
              <w:top w:w="-1" w:type="dxa"/>
              <w:left w:w="-1" w:type="dxa"/>
              <w:bottom w:w="-1" w:type="dxa"/>
              <w:right w:w="-1" w:type="dxa"/>
            </w:tcMar>
            <w:vAlign w:val="center"/>
          </w:tcPr>
          <w:p w14:paraId="3D18BD63"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0.0013 (−0.0011 to 0.0038)</w:t>
            </w:r>
          </w:p>
        </w:tc>
        <w:tc>
          <w:tcPr>
            <w:tcW w:w="597" w:type="pct"/>
            <w:tcBorders>
              <w:top w:val="nil"/>
              <w:left w:val="nil"/>
              <w:bottom w:val="nil"/>
              <w:right w:val="nil"/>
            </w:tcBorders>
            <w:tcMar>
              <w:top w:w="-1" w:type="dxa"/>
              <w:left w:w="-1" w:type="dxa"/>
              <w:bottom w:w="-1" w:type="dxa"/>
              <w:right w:w="-1" w:type="dxa"/>
            </w:tcMar>
            <w:vAlign w:val="center"/>
          </w:tcPr>
          <w:p w14:paraId="7926592D"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0.512</w:t>
            </w:r>
          </w:p>
        </w:tc>
      </w:tr>
      <w:tr w:rsidR="00AF5801" w:rsidRPr="00D6590B" w14:paraId="6246AC8F" w14:textId="77777777">
        <w:trPr>
          <w:jc w:val="center"/>
        </w:trPr>
        <w:tc>
          <w:tcPr>
            <w:tcW w:w="1002" w:type="pct"/>
            <w:tcBorders>
              <w:top w:val="nil"/>
              <w:left w:val="nil"/>
              <w:bottom w:val="single" w:sz="12" w:space="0" w:color="auto"/>
              <w:right w:val="nil"/>
            </w:tcBorders>
            <w:tcMar>
              <w:top w:w="-1" w:type="dxa"/>
              <w:left w:w="-1" w:type="dxa"/>
              <w:bottom w:w="-1" w:type="dxa"/>
              <w:right w:w="-1" w:type="dxa"/>
            </w:tcMar>
            <w:vAlign w:val="center"/>
          </w:tcPr>
          <w:p w14:paraId="33926E25"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Orthokeratology vs defocus spectacle lenses</w:t>
            </w:r>
          </w:p>
        </w:tc>
        <w:tc>
          <w:tcPr>
            <w:tcW w:w="774" w:type="pct"/>
            <w:tcBorders>
              <w:top w:val="nil"/>
              <w:left w:val="nil"/>
              <w:bottom w:val="single" w:sz="12" w:space="0" w:color="auto"/>
              <w:right w:val="nil"/>
            </w:tcBorders>
            <w:tcMar>
              <w:top w:w="-1" w:type="dxa"/>
              <w:left w:w="-1" w:type="dxa"/>
              <w:bottom w:w="-1" w:type="dxa"/>
              <w:right w:w="-1" w:type="dxa"/>
            </w:tcMar>
            <w:vAlign w:val="center"/>
          </w:tcPr>
          <w:p w14:paraId="13985883"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−0.047 (−0.081 to −0.012)</w:t>
            </w:r>
          </w:p>
        </w:tc>
        <w:tc>
          <w:tcPr>
            <w:tcW w:w="597" w:type="pct"/>
            <w:tcBorders>
              <w:top w:val="nil"/>
              <w:left w:val="nil"/>
              <w:bottom w:val="single" w:sz="12" w:space="0" w:color="auto"/>
              <w:right w:val="nil"/>
            </w:tcBorders>
            <w:tcMar>
              <w:top w:w="-1" w:type="dxa"/>
              <w:left w:w="-1" w:type="dxa"/>
              <w:bottom w:w="-1" w:type="dxa"/>
              <w:right w:w="-1" w:type="dxa"/>
            </w:tcMar>
            <w:vAlign w:val="center"/>
          </w:tcPr>
          <w:p w14:paraId="56884F9D"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0.043</w:t>
            </w:r>
          </w:p>
        </w:tc>
        <w:tc>
          <w:tcPr>
            <w:tcW w:w="715" w:type="pct"/>
            <w:tcBorders>
              <w:top w:val="nil"/>
              <w:left w:val="nil"/>
              <w:bottom w:val="single" w:sz="12" w:space="0" w:color="auto"/>
              <w:right w:val="nil"/>
            </w:tcBorders>
            <w:tcMar>
              <w:top w:w="-1" w:type="dxa"/>
              <w:left w:w="-1" w:type="dxa"/>
              <w:bottom w:w="-1" w:type="dxa"/>
              <w:right w:w="-1" w:type="dxa"/>
            </w:tcMar>
            <w:vAlign w:val="center"/>
          </w:tcPr>
          <w:p w14:paraId="46631273"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7.23 (3.42 to 11.04)</w:t>
            </w:r>
          </w:p>
        </w:tc>
        <w:tc>
          <w:tcPr>
            <w:tcW w:w="597" w:type="pct"/>
            <w:tcBorders>
              <w:top w:val="nil"/>
              <w:left w:val="nil"/>
              <w:bottom w:val="single" w:sz="12" w:space="0" w:color="auto"/>
              <w:right w:val="nil"/>
            </w:tcBorders>
            <w:tcMar>
              <w:top w:w="-1" w:type="dxa"/>
              <w:left w:w="-1" w:type="dxa"/>
              <w:bottom w:w="-1" w:type="dxa"/>
              <w:right w:w="-1" w:type="dxa"/>
            </w:tcMar>
            <w:vAlign w:val="center"/>
          </w:tcPr>
          <w:p w14:paraId="61C7AC81"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&lt;0.001</w:t>
            </w:r>
          </w:p>
        </w:tc>
        <w:tc>
          <w:tcPr>
            <w:tcW w:w="715" w:type="pct"/>
            <w:tcBorders>
              <w:top w:val="nil"/>
              <w:left w:val="nil"/>
              <w:bottom w:val="single" w:sz="12" w:space="0" w:color="auto"/>
              <w:right w:val="nil"/>
            </w:tcBorders>
            <w:tcMar>
              <w:top w:w="-1" w:type="dxa"/>
              <w:left w:w="-1" w:type="dxa"/>
              <w:bottom w:w="-1" w:type="dxa"/>
              <w:right w:w="-1" w:type="dxa"/>
            </w:tcMar>
            <w:vAlign w:val="center"/>
          </w:tcPr>
          <w:p w14:paraId="4431ABD4"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0.0028 (0.0004 to 0.0051)</w:t>
            </w:r>
          </w:p>
        </w:tc>
        <w:tc>
          <w:tcPr>
            <w:tcW w:w="597" w:type="pct"/>
            <w:tcBorders>
              <w:top w:val="nil"/>
              <w:left w:val="nil"/>
              <w:bottom w:val="single" w:sz="12" w:space="0" w:color="auto"/>
              <w:right w:val="nil"/>
            </w:tcBorders>
            <w:tcMar>
              <w:top w:w="-1" w:type="dxa"/>
              <w:left w:w="-1" w:type="dxa"/>
              <w:bottom w:w="-1" w:type="dxa"/>
              <w:right w:w="-1" w:type="dxa"/>
            </w:tcMar>
            <w:vAlign w:val="center"/>
          </w:tcPr>
          <w:p w14:paraId="4099AB1F"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0.083</w:t>
            </w:r>
          </w:p>
        </w:tc>
      </w:tr>
    </w:tbl>
    <w:p w14:paraId="4C56E428" w14:textId="77777777" w:rsidR="00AF5801" w:rsidRPr="00D6590B" w:rsidRDefault="00000000">
      <w:pPr>
        <w:autoSpaceDE w:val="0"/>
        <w:autoSpaceDN w:val="0"/>
        <w:adjustRightInd w:val="0"/>
        <w:spacing w:line="360" w:lineRule="auto"/>
        <w:rPr>
          <w:rFonts w:ascii="Times New Roman" w:eastAsia="宋体" w:hAnsi="Times New Roman" w:cs="Times New Roman"/>
          <w:color w:val="000000" w:themeColor="text1"/>
          <w:sz w:val="24"/>
        </w:rPr>
      </w:pPr>
      <w:r w:rsidRPr="00D6590B">
        <w:rPr>
          <w:rStyle w:val="a8"/>
          <w:rFonts w:ascii="Times New Roman" w:eastAsia="宋体" w:hAnsi="Times New Roman" w:cs="Times New Roman"/>
          <w:color w:val="000000" w:themeColor="text1"/>
          <w:sz w:val="24"/>
        </w:rPr>
        <w:t>Note:</w:t>
      </w:r>
      <w:r w:rsidRPr="00D6590B">
        <w:rPr>
          <w:rFonts w:ascii="Times New Roman" w:eastAsia="宋体" w:hAnsi="Times New Roman" w:cs="Times New Roman"/>
          <w:color w:val="000000" w:themeColor="text1"/>
          <w:sz w:val="24"/>
        </w:rPr>
        <w:t xml:space="preserve"> Mean differences were calculated as the first group minus the second group. Pairwise contrasts were estimated using generalized estimating equation models with a Gaussian distribution, identity link function, exchangeable working correlation structure, and robust sandwich standard errors. P values were adjusted separately for the six active-intervention comparisons within each outcome using the Holm method. CT, choroidal thickness; CVI, choroidal vascularity index; CI, confidence interval.</w:t>
      </w:r>
    </w:p>
    <w:p w14:paraId="3C7BB630" w14:textId="77777777" w:rsidR="00AF5801" w:rsidRPr="00D6590B" w:rsidRDefault="00AF5801">
      <w:pPr>
        <w:autoSpaceDE w:val="0"/>
        <w:autoSpaceDN w:val="0"/>
        <w:adjustRightInd w:val="0"/>
        <w:spacing w:line="360" w:lineRule="auto"/>
        <w:rPr>
          <w:rFonts w:ascii="Times New Roman" w:eastAsia="宋体" w:hAnsi="Times New Roman" w:cs="Times New Roman"/>
          <w:color w:val="000000" w:themeColor="text1"/>
          <w:sz w:val="24"/>
        </w:rPr>
      </w:pPr>
    </w:p>
    <w:p w14:paraId="7109193D" w14:textId="77777777" w:rsidR="00AF5801" w:rsidRPr="00D6590B" w:rsidRDefault="00000000">
      <w:pPr>
        <w:autoSpaceDE w:val="0"/>
        <w:autoSpaceDN w:val="0"/>
        <w:adjustRightInd w:val="0"/>
        <w:spacing w:line="360" w:lineRule="auto"/>
        <w:rPr>
          <w:rFonts w:ascii="Times New Roman" w:eastAsia="宋体" w:hAnsi="Times New Roman" w:cs="Times New Roman"/>
          <w:b/>
          <w:bCs/>
          <w:color w:val="000000" w:themeColor="text1"/>
          <w:sz w:val="24"/>
        </w:rPr>
      </w:pPr>
      <w:r w:rsidRPr="00D6590B">
        <w:rPr>
          <w:rFonts w:ascii="Times New Roman" w:eastAsia="宋体" w:hAnsi="Times New Roman" w:cs="Times New Roman"/>
          <w:b/>
          <w:bCs/>
          <w:color w:val="000000" w:themeColor="text1"/>
          <w:sz w:val="24"/>
        </w:rPr>
        <w:t>Supplementary Table S2. Sensitivity analyses of factors associated with rapid axial length growth using alternative thresholds</w:t>
      </w:r>
    </w:p>
    <w:tbl>
      <w:tblPr>
        <w:tblW w:w="5000" w:type="pct"/>
        <w:jc w:val="center"/>
        <w:tblLook w:val="04A0" w:firstRow="1" w:lastRow="0" w:firstColumn="1" w:lastColumn="0" w:noHBand="0" w:noVBand="1"/>
      </w:tblPr>
      <w:tblGrid>
        <w:gridCol w:w="3461"/>
        <w:gridCol w:w="939"/>
        <w:gridCol w:w="676"/>
        <w:gridCol w:w="939"/>
        <w:gridCol w:w="676"/>
        <w:gridCol w:w="939"/>
        <w:gridCol w:w="676"/>
      </w:tblGrid>
      <w:tr w:rsidR="00AF5801" w:rsidRPr="00D6590B" w14:paraId="581B01A3" w14:textId="77777777">
        <w:trPr>
          <w:tblHeader/>
          <w:jc w:val="center"/>
        </w:trPr>
        <w:tc>
          <w:tcPr>
            <w:tcW w:w="2157" w:type="pct"/>
            <w:tcBorders>
              <w:top w:val="single" w:sz="12" w:space="0" w:color="auto"/>
              <w:left w:val="nil"/>
              <w:bottom w:val="nil"/>
              <w:right w:val="nil"/>
            </w:tcBorders>
            <w:tcMar>
              <w:top w:w="-1" w:type="dxa"/>
              <w:left w:w="-1" w:type="dxa"/>
              <w:bottom w:w="-1" w:type="dxa"/>
              <w:right w:w="-1" w:type="dxa"/>
            </w:tcMar>
            <w:vAlign w:val="center"/>
          </w:tcPr>
          <w:p w14:paraId="051A3625" w14:textId="77777777" w:rsidR="00AF5801" w:rsidRPr="00D6590B" w:rsidRDefault="00000000">
            <w:pPr>
              <w:widowControl/>
              <w:snapToGrid w:val="0"/>
              <w:jc w:val="center"/>
              <w:textAlignment w:val="center"/>
              <w:rPr>
                <w:rFonts w:ascii="Times New Roman" w:eastAsia="宋体" w:hAnsi="Times New Roman" w:cs="Times New Roman"/>
                <w:b/>
                <w:color w:val="000000" w:themeColor="text1"/>
                <w:sz w:val="24"/>
              </w:rPr>
            </w:pPr>
            <w:r w:rsidRPr="00D6590B">
              <w:rPr>
                <w:rFonts w:ascii="Times New Roman" w:eastAsia="宋体" w:hAnsi="Times New Roman" w:cs="Times New Roman"/>
                <w:b/>
                <w:color w:val="000000" w:themeColor="text1"/>
                <w:kern w:val="0"/>
                <w:sz w:val="24"/>
                <w:lang w:bidi="ar"/>
              </w:rPr>
              <w:t>Variable</w:t>
            </w:r>
          </w:p>
        </w:tc>
        <w:tc>
          <w:tcPr>
            <w:tcW w:w="640" w:type="pct"/>
            <w:tcBorders>
              <w:top w:val="single" w:sz="12" w:space="0" w:color="auto"/>
              <w:left w:val="nil"/>
              <w:bottom w:val="nil"/>
              <w:right w:val="nil"/>
            </w:tcBorders>
            <w:tcMar>
              <w:top w:w="-1" w:type="dxa"/>
              <w:left w:w="-1" w:type="dxa"/>
              <w:bottom w:w="-1" w:type="dxa"/>
              <w:right w:w="-1" w:type="dxa"/>
            </w:tcMar>
            <w:vAlign w:val="center"/>
          </w:tcPr>
          <w:p w14:paraId="599BDC04" w14:textId="77777777" w:rsidR="00AF5801" w:rsidRPr="00D6590B" w:rsidRDefault="00000000">
            <w:pPr>
              <w:widowControl/>
              <w:snapToGrid w:val="0"/>
              <w:jc w:val="center"/>
              <w:textAlignment w:val="center"/>
              <w:rPr>
                <w:rFonts w:ascii="Times New Roman" w:eastAsia="宋体" w:hAnsi="Times New Roman" w:cs="Times New Roman"/>
                <w:b/>
                <w:color w:val="000000" w:themeColor="text1"/>
                <w:sz w:val="24"/>
              </w:rPr>
            </w:pPr>
            <w:r w:rsidRPr="00D6590B">
              <w:rPr>
                <w:rFonts w:ascii="Times New Roman" w:eastAsia="宋体" w:hAnsi="Times New Roman" w:cs="Times New Roman"/>
                <w:b/>
                <w:color w:val="000000" w:themeColor="text1"/>
                <w:kern w:val="0"/>
                <w:sz w:val="24"/>
                <w:lang w:bidi="ar"/>
              </w:rPr>
              <w:t>≥0.25 mm/year</w:t>
            </w:r>
            <w:r w:rsidRPr="00D6590B">
              <w:rPr>
                <w:rFonts w:ascii="Times New Roman" w:eastAsia="宋体" w:hAnsi="Times New Roman" w:cs="Times New Roman"/>
                <w:b/>
                <w:color w:val="000000" w:themeColor="text1"/>
                <w:kern w:val="0"/>
                <w:sz w:val="24"/>
                <w:lang w:bidi="ar"/>
              </w:rPr>
              <w:br/>
              <w:t>(149/300 events)</w:t>
            </w:r>
          </w:p>
        </w:tc>
        <w:tc>
          <w:tcPr>
            <w:tcW w:w="306" w:type="pct"/>
            <w:tcBorders>
              <w:top w:val="single" w:sz="12" w:space="0" w:color="auto"/>
              <w:left w:val="nil"/>
              <w:bottom w:val="nil"/>
              <w:right w:val="nil"/>
            </w:tcBorders>
            <w:tcMar>
              <w:top w:w="-1" w:type="dxa"/>
              <w:left w:w="-1" w:type="dxa"/>
              <w:bottom w:w="-1" w:type="dxa"/>
              <w:right w:w="-1" w:type="dxa"/>
            </w:tcMar>
            <w:vAlign w:val="center"/>
          </w:tcPr>
          <w:p w14:paraId="4B547698" w14:textId="77777777" w:rsidR="00AF5801" w:rsidRPr="00D6590B" w:rsidRDefault="00000000">
            <w:pPr>
              <w:widowControl/>
              <w:snapToGrid w:val="0"/>
              <w:jc w:val="center"/>
              <w:textAlignment w:val="center"/>
              <w:rPr>
                <w:rFonts w:ascii="Times New Roman" w:eastAsia="宋体" w:hAnsi="Times New Roman" w:cs="Times New Roman"/>
                <w:b/>
                <w:color w:val="000000" w:themeColor="text1"/>
                <w:sz w:val="24"/>
              </w:rPr>
            </w:pPr>
            <w:r w:rsidRPr="00D6590B">
              <w:rPr>
                <w:rFonts w:ascii="Times New Roman" w:eastAsia="宋体" w:hAnsi="Times New Roman" w:cs="Times New Roman"/>
                <w:b/>
                <w:i/>
                <w:iCs/>
                <w:color w:val="000000" w:themeColor="text1"/>
                <w:kern w:val="0"/>
                <w:sz w:val="24"/>
                <w:lang w:bidi="ar"/>
              </w:rPr>
              <w:t>P value</w:t>
            </w:r>
          </w:p>
        </w:tc>
        <w:tc>
          <w:tcPr>
            <w:tcW w:w="640" w:type="pct"/>
            <w:tcBorders>
              <w:top w:val="single" w:sz="12" w:space="0" w:color="auto"/>
              <w:left w:val="nil"/>
              <w:bottom w:val="nil"/>
              <w:right w:val="nil"/>
            </w:tcBorders>
            <w:tcMar>
              <w:top w:w="-1" w:type="dxa"/>
              <w:left w:w="-1" w:type="dxa"/>
              <w:bottom w:w="-1" w:type="dxa"/>
              <w:right w:w="-1" w:type="dxa"/>
            </w:tcMar>
            <w:vAlign w:val="center"/>
          </w:tcPr>
          <w:p w14:paraId="025689B4" w14:textId="77777777" w:rsidR="00AF5801" w:rsidRPr="00D6590B" w:rsidRDefault="00000000">
            <w:pPr>
              <w:widowControl/>
              <w:snapToGrid w:val="0"/>
              <w:jc w:val="center"/>
              <w:textAlignment w:val="center"/>
              <w:rPr>
                <w:rFonts w:ascii="Times New Roman" w:eastAsia="宋体" w:hAnsi="Times New Roman" w:cs="Times New Roman"/>
                <w:b/>
                <w:color w:val="000000" w:themeColor="text1"/>
                <w:sz w:val="24"/>
              </w:rPr>
            </w:pPr>
            <w:r w:rsidRPr="00D6590B">
              <w:rPr>
                <w:rFonts w:ascii="Times New Roman" w:eastAsia="宋体" w:hAnsi="Times New Roman" w:cs="Times New Roman"/>
                <w:b/>
                <w:color w:val="000000" w:themeColor="text1"/>
                <w:kern w:val="0"/>
                <w:sz w:val="24"/>
                <w:lang w:bidi="ar"/>
              </w:rPr>
              <w:t>≥0.30 mm/year</w:t>
            </w:r>
            <w:r w:rsidRPr="00D6590B">
              <w:rPr>
                <w:rFonts w:ascii="Times New Roman" w:eastAsia="宋体" w:hAnsi="Times New Roman" w:cs="Times New Roman"/>
                <w:b/>
                <w:color w:val="000000" w:themeColor="text1"/>
                <w:kern w:val="0"/>
                <w:sz w:val="24"/>
                <w:lang w:bidi="ar"/>
              </w:rPr>
              <w:br/>
              <w:t>(92/300 events)</w:t>
            </w:r>
          </w:p>
        </w:tc>
        <w:tc>
          <w:tcPr>
            <w:tcW w:w="306" w:type="pct"/>
            <w:tcBorders>
              <w:top w:val="single" w:sz="12" w:space="0" w:color="auto"/>
              <w:left w:val="nil"/>
              <w:bottom w:val="nil"/>
              <w:right w:val="nil"/>
            </w:tcBorders>
            <w:tcMar>
              <w:top w:w="-1" w:type="dxa"/>
              <w:left w:w="-1" w:type="dxa"/>
              <w:bottom w:w="-1" w:type="dxa"/>
              <w:right w:w="-1" w:type="dxa"/>
            </w:tcMar>
            <w:vAlign w:val="center"/>
          </w:tcPr>
          <w:p w14:paraId="4CED61C2" w14:textId="77777777" w:rsidR="00AF5801" w:rsidRPr="00D6590B" w:rsidRDefault="00000000">
            <w:pPr>
              <w:widowControl/>
              <w:snapToGrid w:val="0"/>
              <w:jc w:val="center"/>
              <w:textAlignment w:val="center"/>
              <w:rPr>
                <w:rFonts w:ascii="Times New Roman" w:eastAsia="宋体" w:hAnsi="Times New Roman" w:cs="Times New Roman"/>
                <w:b/>
                <w:color w:val="000000" w:themeColor="text1"/>
                <w:sz w:val="24"/>
              </w:rPr>
            </w:pPr>
            <w:r w:rsidRPr="00D6590B">
              <w:rPr>
                <w:rFonts w:ascii="Times New Roman" w:eastAsia="宋体" w:hAnsi="Times New Roman" w:cs="Times New Roman"/>
                <w:b/>
                <w:i/>
                <w:iCs/>
                <w:color w:val="000000" w:themeColor="text1"/>
                <w:kern w:val="0"/>
                <w:sz w:val="24"/>
                <w:lang w:bidi="ar"/>
              </w:rPr>
              <w:t>P value</w:t>
            </w:r>
          </w:p>
        </w:tc>
        <w:tc>
          <w:tcPr>
            <w:tcW w:w="640" w:type="pct"/>
            <w:tcBorders>
              <w:top w:val="single" w:sz="12" w:space="0" w:color="auto"/>
              <w:left w:val="nil"/>
              <w:bottom w:val="nil"/>
              <w:right w:val="nil"/>
            </w:tcBorders>
            <w:tcMar>
              <w:top w:w="-1" w:type="dxa"/>
              <w:left w:w="-1" w:type="dxa"/>
              <w:bottom w:w="-1" w:type="dxa"/>
              <w:right w:w="-1" w:type="dxa"/>
            </w:tcMar>
            <w:vAlign w:val="center"/>
          </w:tcPr>
          <w:p w14:paraId="49CC1F21" w14:textId="77777777" w:rsidR="00AF5801" w:rsidRPr="00D6590B" w:rsidRDefault="00000000">
            <w:pPr>
              <w:widowControl/>
              <w:snapToGrid w:val="0"/>
              <w:jc w:val="center"/>
              <w:textAlignment w:val="center"/>
              <w:rPr>
                <w:rFonts w:ascii="Times New Roman" w:eastAsia="宋体" w:hAnsi="Times New Roman" w:cs="Times New Roman"/>
                <w:b/>
                <w:color w:val="000000" w:themeColor="text1"/>
                <w:sz w:val="24"/>
              </w:rPr>
            </w:pPr>
            <w:r w:rsidRPr="00D6590B">
              <w:rPr>
                <w:rFonts w:ascii="Times New Roman" w:eastAsia="宋体" w:hAnsi="Times New Roman" w:cs="Times New Roman"/>
                <w:b/>
                <w:color w:val="000000" w:themeColor="text1"/>
                <w:kern w:val="0"/>
                <w:sz w:val="24"/>
                <w:lang w:bidi="ar"/>
              </w:rPr>
              <w:t>≥0.35 mm/year</w:t>
            </w:r>
            <w:r w:rsidRPr="00D6590B">
              <w:rPr>
                <w:rFonts w:ascii="Times New Roman" w:eastAsia="宋体" w:hAnsi="Times New Roman" w:cs="Times New Roman"/>
                <w:b/>
                <w:color w:val="000000" w:themeColor="text1"/>
                <w:kern w:val="0"/>
                <w:sz w:val="24"/>
                <w:lang w:bidi="ar"/>
              </w:rPr>
              <w:br/>
              <w:t>(59/300 events)</w:t>
            </w:r>
          </w:p>
        </w:tc>
        <w:tc>
          <w:tcPr>
            <w:tcW w:w="306" w:type="pct"/>
            <w:tcBorders>
              <w:top w:val="single" w:sz="12" w:space="0" w:color="auto"/>
              <w:left w:val="nil"/>
              <w:bottom w:val="nil"/>
              <w:right w:val="nil"/>
            </w:tcBorders>
            <w:tcMar>
              <w:top w:w="-1" w:type="dxa"/>
              <w:left w:w="-1" w:type="dxa"/>
              <w:bottom w:w="-1" w:type="dxa"/>
              <w:right w:w="-1" w:type="dxa"/>
            </w:tcMar>
            <w:vAlign w:val="center"/>
          </w:tcPr>
          <w:p w14:paraId="36D302B1" w14:textId="77777777" w:rsidR="00AF5801" w:rsidRPr="00D6590B" w:rsidRDefault="00000000">
            <w:pPr>
              <w:widowControl/>
              <w:snapToGrid w:val="0"/>
              <w:jc w:val="center"/>
              <w:textAlignment w:val="center"/>
              <w:rPr>
                <w:rFonts w:ascii="Times New Roman" w:eastAsia="宋体" w:hAnsi="Times New Roman" w:cs="Times New Roman"/>
                <w:b/>
                <w:color w:val="000000" w:themeColor="text1"/>
                <w:sz w:val="24"/>
              </w:rPr>
            </w:pPr>
            <w:r w:rsidRPr="00D6590B">
              <w:rPr>
                <w:rFonts w:ascii="Times New Roman" w:eastAsia="宋体" w:hAnsi="Times New Roman" w:cs="Times New Roman"/>
                <w:b/>
                <w:i/>
                <w:iCs/>
                <w:color w:val="000000" w:themeColor="text1"/>
                <w:kern w:val="0"/>
                <w:sz w:val="24"/>
                <w:lang w:bidi="ar"/>
              </w:rPr>
              <w:t>P value</w:t>
            </w:r>
          </w:p>
        </w:tc>
      </w:tr>
      <w:tr w:rsidR="00AF5801" w:rsidRPr="00D6590B" w14:paraId="08FF0D2E" w14:textId="77777777">
        <w:trPr>
          <w:jc w:val="center"/>
        </w:trPr>
        <w:tc>
          <w:tcPr>
            <w:tcW w:w="2157" w:type="pct"/>
            <w:tcBorders>
              <w:top w:val="single" w:sz="4" w:space="0" w:color="auto"/>
              <w:left w:val="nil"/>
              <w:bottom w:val="nil"/>
              <w:right w:val="nil"/>
            </w:tcBorders>
            <w:tcMar>
              <w:top w:w="-1" w:type="dxa"/>
              <w:left w:w="-1" w:type="dxa"/>
              <w:bottom w:w="-1" w:type="dxa"/>
              <w:right w:w="-1" w:type="dxa"/>
            </w:tcMar>
            <w:vAlign w:val="center"/>
          </w:tcPr>
          <w:p w14:paraId="1F1AB30B"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 xml:space="preserve">0.01% atropine vs single-vision </w:t>
            </w:r>
            <w:r w:rsidRPr="00D6590B">
              <w:rPr>
                <w:rFonts w:ascii="Times New Roman" w:eastAsia="宋体" w:hAnsi="Times New Roman" w:cs="Times New Roman"/>
                <w:color w:val="000000" w:themeColor="text1"/>
                <w:kern w:val="0"/>
                <w:sz w:val="24"/>
                <w:lang w:bidi="ar"/>
              </w:rPr>
              <w:lastRenderedPageBreak/>
              <w:t>spectacle lenses</w:t>
            </w:r>
          </w:p>
        </w:tc>
        <w:tc>
          <w:tcPr>
            <w:tcW w:w="640" w:type="pct"/>
            <w:tcBorders>
              <w:top w:val="single" w:sz="4" w:space="0" w:color="auto"/>
              <w:left w:val="nil"/>
              <w:bottom w:val="nil"/>
              <w:right w:val="nil"/>
            </w:tcBorders>
            <w:tcMar>
              <w:top w:w="-1" w:type="dxa"/>
              <w:left w:w="-1" w:type="dxa"/>
              <w:bottom w:w="-1" w:type="dxa"/>
              <w:right w:w="-1" w:type="dxa"/>
            </w:tcMar>
            <w:vAlign w:val="center"/>
          </w:tcPr>
          <w:p w14:paraId="5E5364E4"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lastRenderedPageBreak/>
              <w:t xml:space="preserve">0.084 </w:t>
            </w:r>
            <w:r w:rsidRPr="00D6590B">
              <w:rPr>
                <w:rFonts w:ascii="Times New Roman" w:eastAsia="宋体" w:hAnsi="Times New Roman" w:cs="Times New Roman"/>
                <w:color w:val="000000" w:themeColor="text1"/>
                <w:kern w:val="0"/>
                <w:sz w:val="24"/>
                <w:lang w:bidi="ar"/>
              </w:rPr>
              <w:lastRenderedPageBreak/>
              <w:t>(0.020–0.354)</w:t>
            </w:r>
          </w:p>
        </w:tc>
        <w:tc>
          <w:tcPr>
            <w:tcW w:w="306" w:type="pct"/>
            <w:tcBorders>
              <w:top w:val="single" w:sz="4" w:space="0" w:color="auto"/>
              <w:left w:val="nil"/>
              <w:bottom w:val="nil"/>
              <w:right w:val="nil"/>
            </w:tcBorders>
            <w:tcMar>
              <w:top w:w="-1" w:type="dxa"/>
              <w:left w:w="-1" w:type="dxa"/>
              <w:bottom w:w="-1" w:type="dxa"/>
              <w:right w:w="-1" w:type="dxa"/>
            </w:tcMar>
            <w:vAlign w:val="center"/>
          </w:tcPr>
          <w:p w14:paraId="40526C00"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lastRenderedPageBreak/>
              <w:t>&lt;0.001</w:t>
            </w:r>
          </w:p>
        </w:tc>
        <w:tc>
          <w:tcPr>
            <w:tcW w:w="640" w:type="pct"/>
            <w:tcBorders>
              <w:top w:val="single" w:sz="4" w:space="0" w:color="auto"/>
              <w:left w:val="nil"/>
              <w:bottom w:val="nil"/>
              <w:right w:val="nil"/>
            </w:tcBorders>
            <w:tcMar>
              <w:top w:w="-1" w:type="dxa"/>
              <w:left w:w="-1" w:type="dxa"/>
              <w:bottom w:w="-1" w:type="dxa"/>
              <w:right w:w="-1" w:type="dxa"/>
            </w:tcMar>
            <w:vAlign w:val="center"/>
          </w:tcPr>
          <w:p w14:paraId="3506086E"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 xml:space="preserve">0.141 </w:t>
            </w:r>
            <w:r w:rsidRPr="00D6590B">
              <w:rPr>
                <w:rFonts w:ascii="Times New Roman" w:eastAsia="宋体" w:hAnsi="Times New Roman" w:cs="Times New Roman"/>
                <w:color w:val="000000" w:themeColor="text1"/>
                <w:kern w:val="0"/>
                <w:sz w:val="24"/>
                <w:lang w:bidi="ar"/>
              </w:rPr>
              <w:lastRenderedPageBreak/>
              <w:t>(0.052–0.384)</w:t>
            </w:r>
          </w:p>
        </w:tc>
        <w:tc>
          <w:tcPr>
            <w:tcW w:w="306" w:type="pct"/>
            <w:tcBorders>
              <w:top w:val="single" w:sz="4" w:space="0" w:color="auto"/>
              <w:left w:val="nil"/>
              <w:bottom w:val="nil"/>
              <w:right w:val="nil"/>
            </w:tcBorders>
            <w:tcMar>
              <w:top w:w="-1" w:type="dxa"/>
              <w:left w:w="-1" w:type="dxa"/>
              <w:bottom w:w="-1" w:type="dxa"/>
              <w:right w:w="-1" w:type="dxa"/>
            </w:tcMar>
            <w:vAlign w:val="center"/>
          </w:tcPr>
          <w:p w14:paraId="437E21ED"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lastRenderedPageBreak/>
              <w:t>&lt;0.001</w:t>
            </w:r>
          </w:p>
        </w:tc>
        <w:tc>
          <w:tcPr>
            <w:tcW w:w="640" w:type="pct"/>
            <w:tcBorders>
              <w:top w:val="single" w:sz="4" w:space="0" w:color="auto"/>
              <w:left w:val="nil"/>
              <w:bottom w:val="nil"/>
              <w:right w:val="nil"/>
            </w:tcBorders>
            <w:tcMar>
              <w:top w:w="-1" w:type="dxa"/>
              <w:left w:w="-1" w:type="dxa"/>
              <w:bottom w:w="-1" w:type="dxa"/>
              <w:right w:w="-1" w:type="dxa"/>
            </w:tcMar>
            <w:vAlign w:val="center"/>
          </w:tcPr>
          <w:p w14:paraId="58E86341"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 xml:space="preserve">0.030 </w:t>
            </w:r>
            <w:r w:rsidRPr="00D6590B">
              <w:rPr>
                <w:rFonts w:ascii="Times New Roman" w:eastAsia="宋体" w:hAnsi="Times New Roman" w:cs="Times New Roman"/>
                <w:color w:val="000000" w:themeColor="text1"/>
                <w:kern w:val="0"/>
                <w:sz w:val="24"/>
                <w:lang w:bidi="ar"/>
              </w:rPr>
              <w:lastRenderedPageBreak/>
              <w:t>(0.006–0.141)</w:t>
            </w:r>
          </w:p>
        </w:tc>
        <w:tc>
          <w:tcPr>
            <w:tcW w:w="306" w:type="pct"/>
            <w:tcBorders>
              <w:top w:val="single" w:sz="4" w:space="0" w:color="auto"/>
              <w:left w:val="nil"/>
              <w:bottom w:val="nil"/>
              <w:right w:val="nil"/>
            </w:tcBorders>
            <w:tcMar>
              <w:top w:w="-1" w:type="dxa"/>
              <w:left w:w="-1" w:type="dxa"/>
              <w:bottom w:w="-1" w:type="dxa"/>
              <w:right w:w="-1" w:type="dxa"/>
            </w:tcMar>
            <w:vAlign w:val="center"/>
          </w:tcPr>
          <w:p w14:paraId="66348C81"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lastRenderedPageBreak/>
              <w:t>&lt;0.001</w:t>
            </w:r>
          </w:p>
        </w:tc>
      </w:tr>
      <w:tr w:rsidR="00AF5801" w:rsidRPr="00D6590B" w14:paraId="71BDCB2B" w14:textId="77777777">
        <w:trPr>
          <w:jc w:val="center"/>
        </w:trPr>
        <w:tc>
          <w:tcPr>
            <w:tcW w:w="2157" w:type="pct"/>
            <w:tcBorders>
              <w:top w:val="nil"/>
              <w:left w:val="nil"/>
              <w:bottom w:val="nil"/>
              <w:right w:val="nil"/>
            </w:tcBorders>
            <w:tcMar>
              <w:top w:w="-1" w:type="dxa"/>
              <w:left w:w="-1" w:type="dxa"/>
              <w:bottom w:w="-1" w:type="dxa"/>
              <w:right w:w="-1" w:type="dxa"/>
            </w:tcMar>
            <w:vAlign w:val="center"/>
          </w:tcPr>
          <w:p w14:paraId="3BA948CC"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Myopia-control multifocal soft contact lenses vs single-vision spectacle lenses</w:t>
            </w:r>
          </w:p>
        </w:tc>
        <w:tc>
          <w:tcPr>
            <w:tcW w:w="640" w:type="pct"/>
            <w:tcBorders>
              <w:top w:val="nil"/>
              <w:left w:val="nil"/>
              <w:bottom w:val="nil"/>
              <w:right w:val="nil"/>
            </w:tcBorders>
            <w:tcMar>
              <w:top w:w="-1" w:type="dxa"/>
              <w:left w:w="-1" w:type="dxa"/>
              <w:bottom w:w="-1" w:type="dxa"/>
              <w:right w:w="-1" w:type="dxa"/>
            </w:tcMar>
            <w:vAlign w:val="center"/>
          </w:tcPr>
          <w:p w14:paraId="685A7E97"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0.034 (0.008–0.147)</w:t>
            </w:r>
          </w:p>
        </w:tc>
        <w:tc>
          <w:tcPr>
            <w:tcW w:w="306" w:type="pct"/>
            <w:tcBorders>
              <w:top w:val="nil"/>
              <w:left w:val="nil"/>
              <w:bottom w:val="nil"/>
              <w:right w:val="nil"/>
            </w:tcBorders>
            <w:tcMar>
              <w:top w:w="-1" w:type="dxa"/>
              <w:left w:w="-1" w:type="dxa"/>
              <w:bottom w:w="-1" w:type="dxa"/>
              <w:right w:w="-1" w:type="dxa"/>
            </w:tcMar>
            <w:vAlign w:val="center"/>
          </w:tcPr>
          <w:p w14:paraId="72B767CE"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&lt;0.001</w:t>
            </w:r>
          </w:p>
        </w:tc>
        <w:tc>
          <w:tcPr>
            <w:tcW w:w="640" w:type="pct"/>
            <w:tcBorders>
              <w:top w:val="nil"/>
              <w:left w:val="nil"/>
              <w:bottom w:val="nil"/>
              <w:right w:val="nil"/>
            </w:tcBorders>
            <w:tcMar>
              <w:top w:w="-1" w:type="dxa"/>
              <w:left w:w="-1" w:type="dxa"/>
              <w:bottom w:w="-1" w:type="dxa"/>
              <w:right w:w="-1" w:type="dxa"/>
            </w:tcMar>
            <w:vAlign w:val="center"/>
          </w:tcPr>
          <w:p w14:paraId="01163AD5"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0.068 (0.023–0.200)</w:t>
            </w:r>
          </w:p>
        </w:tc>
        <w:tc>
          <w:tcPr>
            <w:tcW w:w="306" w:type="pct"/>
            <w:tcBorders>
              <w:top w:val="nil"/>
              <w:left w:val="nil"/>
              <w:bottom w:val="nil"/>
              <w:right w:val="nil"/>
            </w:tcBorders>
            <w:tcMar>
              <w:top w:w="-1" w:type="dxa"/>
              <w:left w:w="-1" w:type="dxa"/>
              <w:bottom w:w="-1" w:type="dxa"/>
              <w:right w:w="-1" w:type="dxa"/>
            </w:tcMar>
            <w:vAlign w:val="center"/>
          </w:tcPr>
          <w:p w14:paraId="4CDBAD8F"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&lt;0.001</w:t>
            </w:r>
          </w:p>
        </w:tc>
        <w:tc>
          <w:tcPr>
            <w:tcW w:w="640" w:type="pct"/>
            <w:tcBorders>
              <w:top w:val="nil"/>
              <w:left w:val="nil"/>
              <w:bottom w:val="nil"/>
              <w:right w:val="nil"/>
            </w:tcBorders>
            <w:tcMar>
              <w:top w:w="-1" w:type="dxa"/>
              <w:left w:w="-1" w:type="dxa"/>
              <w:bottom w:w="-1" w:type="dxa"/>
              <w:right w:w="-1" w:type="dxa"/>
            </w:tcMar>
            <w:vAlign w:val="center"/>
          </w:tcPr>
          <w:p w14:paraId="229E18ED"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0.040 (0.012–0.137)</w:t>
            </w:r>
          </w:p>
        </w:tc>
        <w:tc>
          <w:tcPr>
            <w:tcW w:w="306" w:type="pct"/>
            <w:tcBorders>
              <w:top w:val="nil"/>
              <w:left w:val="nil"/>
              <w:bottom w:val="nil"/>
              <w:right w:val="nil"/>
            </w:tcBorders>
            <w:tcMar>
              <w:top w:w="-1" w:type="dxa"/>
              <w:left w:w="-1" w:type="dxa"/>
              <w:bottom w:w="-1" w:type="dxa"/>
              <w:right w:w="-1" w:type="dxa"/>
            </w:tcMar>
            <w:vAlign w:val="center"/>
          </w:tcPr>
          <w:p w14:paraId="262EF01A"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&lt;0.001</w:t>
            </w:r>
          </w:p>
        </w:tc>
      </w:tr>
      <w:tr w:rsidR="00AF5801" w:rsidRPr="00D6590B" w14:paraId="60DC45C8" w14:textId="77777777">
        <w:trPr>
          <w:jc w:val="center"/>
        </w:trPr>
        <w:tc>
          <w:tcPr>
            <w:tcW w:w="2157" w:type="pct"/>
            <w:tcBorders>
              <w:top w:val="nil"/>
              <w:left w:val="nil"/>
              <w:bottom w:val="nil"/>
              <w:right w:val="nil"/>
            </w:tcBorders>
            <w:tcMar>
              <w:top w:w="-1" w:type="dxa"/>
              <w:left w:w="-1" w:type="dxa"/>
              <w:bottom w:w="-1" w:type="dxa"/>
              <w:right w:w="-1" w:type="dxa"/>
            </w:tcMar>
            <w:vAlign w:val="center"/>
          </w:tcPr>
          <w:p w14:paraId="19281387"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Overnight orthokeratology contact lenses vs single-vision spectacle lenses</w:t>
            </w:r>
          </w:p>
        </w:tc>
        <w:tc>
          <w:tcPr>
            <w:tcW w:w="640" w:type="pct"/>
            <w:tcBorders>
              <w:top w:val="nil"/>
              <w:left w:val="nil"/>
              <w:bottom w:val="nil"/>
              <w:right w:val="nil"/>
            </w:tcBorders>
            <w:tcMar>
              <w:top w:w="-1" w:type="dxa"/>
              <w:left w:w="-1" w:type="dxa"/>
              <w:bottom w:w="-1" w:type="dxa"/>
              <w:right w:w="-1" w:type="dxa"/>
            </w:tcMar>
            <w:vAlign w:val="center"/>
          </w:tcPr>
          <w:p w14:paraId="3181F2E4"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0.022 (0.004–0.104)</w:t>
            </w:r>
          </w:p>
        </w:tc>
        <w:tc>
          <w:tcPr>
            <w:tcW w:w="306" w:type="pct"/>
            <w:tcBorders>
              <w:top w:val="nil"/>
              <w:left w:val="nil"/>
              <w:bottom w:val="nil"/>
              <w:right w:val="nil"/>
            </w:tcBorders>
            <w:tcMar>
              <w:top w:w="-1" w:type="dxa"/>
              <w:left w:w="-1" w:type="dxa"/>
              <w:bottom w:w="-1" w:type="dxa"/>
              <w:right w:w="-1" w:type="dxa"/>
            </w:tcMar>
            <w:vAlign w:val="center"/>
          </w:tcPr>
          <w:p w14:paraId="614FEE4A"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&lt;0.001</w:t>
            </w:r>
          </w:p>
        </w:tc>
        <w:tc>
          <w:tcPr>
            <w:tcW w:w="640" w:type="pct"/>
            <w:tcBorders>
              <w:top w:val="nil"/>
              <w:left w:val="nil"/>
              <w:bottom w:val="nil"/>
              <w:right w:val="nil"/>
            </w:tcBorders>
            <w:tcMar>
              <w:top w:w="-1" w:type="dxa"/>
              <w:left w:w="-1" w:type="dxa"/>
              <w:bottom w:w="-1" w:type="dxa"/>
              <w:right w:w="-1" w:type="dxa"/>
            </w:tcMar>
            <w:vAlign w:val="center"/>
          </w:tcPr>
          <w:p w14:paraId="52758870"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0.053 (0.016–0.174)</w:t>
            </w:r>
          </w:p>
        </w:tc>
        <w:tc>
          <w:tcPr>
            <w:tcW w:w="306" w:type="pct"/>
            <w:tcBorders>
              <w:top w:val="nil"/>
              <w:left w:val="nil"/>
              <w:bottom w:val="nil"/>
              <w:right w:val="nil"/>
            </w:tcBorders>
            <w:tcMar>
              <w:top w:w="-1" w:type="dxa"/>
              <w:left w:w="-1" w:type="dxa"/>
              <w:bottom w:w="-1" w:type="dxa"/>
              <w:right w:w="-1" w:type="dxa"/>
            </w:tcMar>
            <w:vAlign w:val="center"/>
          </w:tcPr>
          <w:p w14:paraId="02001EB0"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&lt;0.001</w:t>
            </w:r>
          </w:p>
        </w:tc>
        <w:tc>
          <w:tcPr>
            <w:tcW w:w="640" w:type="pct"/>
            <w:tcBorders>
              <w:top w:val="nil"/>
              <w:left w:val="nil"/>
              <w:bottom w:val="nil"/>
              <w:right w:val="nil"/>
            </w:tcBorders>
            <w:tcMar>
              <w:top w:w="-1" w:type="dxa"/>
              <w:left w:w="-1" w:type="dxa"/>
              <w:bottom w:w="-1" w:type="dxa"/>
              <w:right w:w="-1" w:type="dxa"/>
            </w:tcMar>
            <w:vAlign w:val="center"/>
          </w:tcPr>
          <w:p w14:paraId="59A5EBED"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0.018 (0.004–0.090)</w:t>
            </w:r>
          </w:p>
        </w:tc>
        <w:tc>
          <w:tcPr>
            <w:tcW w:w="306" w:type="pct"/>
            <w:tcBorders>
              <w:top w:val="nil"/>
              <w:left w:val="nil"/>
              <w:bottom w:val="nil"/>
              <w:right w:val="nil"/>
            </w:tcBorders>
            <w:tcMar>
              <w:top w:w="-1" w:type="dxa"/>
              <w:left w:w="-1" w:type="dxa"/>
              <w:bottom w:w="-1" w:type="dxa"/>
              <w:right w:w="-1" w:type="dxa"/>
            </w:tcMar>
            <w:vAlign w:val="center"/>
          </w:tcPr>
          <w:p w14:paraId="4D58C076"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&lt;0.001</w:t>
            </w:r>
          </w:p>
        </w:tc>
      </w:tr>
      <w:tr w:rsidR="00AF5801" w:rsidRPr="00D6590B" w14:paraId="49209153" w14:textId="77777777">
        <w:trPr>
          <w:jc w:val="center"/>
        </w:trPr>
        <w:tc>
          <w:tcPr>
            <w:tcW w:w="2157" w:type="pct"/>
            <w:tcBorders>
              <w:top w:val="nil"/>
              <w:left w:val="nil"/>
              <w:bottom w:val="nil"/>
              <w:right w:val="nil"/>
            </w:tcBorders>
            <w:tcMar>
              <w:top w:w="-1" w:type="dxa"/>
              <w:left w:w="-1" w:type="dxa"/>
              <w:bottom w:w="-1" w:type="dxa"/>
              <w:right w:w="-1" w:type="dxa"/>
            </w:tcMar>
            <w:vAlign w:val="center"/>
          </w:tcPr>
          <w:p w14:paraId="7D6DFE77"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Defocus spectacle lenses vs single-vision spectacle lenses</w:t>
            </w:r>
          </w:p>
        </w:tc>
        <w:tc>
          <w:tcPr>
            <w:tcW w:w="640" w:type="pct"/>
            <w:tcBorders>
              <w:top w:val="nil"/>
              <w:left w:val="nil"/>
              <w:bottom w:val="nil"/>
              <w:right w:val="nil"/>
            </w:tcBorders>
            <w:tcMar>
              <w:top w:w="-1" w:type="dxa"/>
              <w:left w:w="-1" w:type="dxa"/>
              <w:bottom w:w="-1" w:type="dxa"/>
              <w:right w:w="-1" w:type="dxa"/>
            </w:tcMar>
            <w:vAlign w:val="center"/>
          </w:tcPr>
          <w:p w14:paraId="7FC8223F"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0.051 (0.011–0.227)</w:t>
            </w:r>
          </w:p>
        </w:tc>
        <w:tc>
          <w:tcPr>
            <w:tcW w:w="306" w:type="pct"/>
            <w:tcBorders>
              <w:top w:val="nil"/>
              <w:left w:val="nil"/>
              <w:bottom w:val="nil"/>
              <w:right w:val="nil"/>
            </w:tcBorders>
            <w:tcMar>
              <w:top w:w="-1" w:type="dxa"/>
              <w:left w:w="-1" w:type="dxa"/>
              <w:bottom w:w="-1" w:type="dxa"/>
              <w:right w:w="-1" w:type="dxa"/>
            </w:tcMar>
            <w:vAlign w:val="center"/>
          </w:tcPr>
          <w:p w14:paraId="3BD6D761"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&lt;0.001</w:t>
            </w:r>
          </w:p>
        </w:tc>
        <w:tc>
          <w:tcPr>
            <w:tcW w:w="640" w:type="pct"/>
            <w:tcBorders>
              <w:top w:val="nil"/>
              <w:left w:val="nil"/>
              <w:bottom w:val="nil"/>
              <w:right w:val="nil"/>
            </w:tcBorders>
            <w:tcMar>
              <w:top w:w="-1" w:type="dxa"/>
              <w:left w:w="-1" w:type="dxa"/>
              <w:bottom w:w="-1" w:type="dxa"/>
              <w:right w:w="-1" w:type="dxa"/>
            </w:tcMar>
            <w:vAlign w:val="center"/>
          </w:tcPr>
          <w:p w14:paraId="3C116DE5"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0.058 (0.018–0.182)</w:t>
            </w:r>
          </w:p>
        </w:tc>
        <w:tc>
          <w:tcPr>
            <w:tcW w:w="306" w:type="pct"/>
            <w:tcBorders>
              <w:top w:val="nil"/>
              <w:left w:val="nil"/>
              <w:bottom w:val="nil"/>
              <w:right w:val="nil"/>
            </w:tcBorders>
            <w:tcMar>
              <w:top w:w="-1" w:type="dxa"/>
              <w:left w:w="-1" w:type="dxa"/>
              <w:bottom w:w="-1" w:type="dxa"/>
              <w:right w:w="-1" w:type="dxa"/>
            </w:tcMar>
            <w:vAlign w:val="center"/>
          </w:tcPr>
          <w:p w14:paraId="03B1B2E0"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&lt;0.001</w:t>
            </w:r>
          </w:p>
        </w:tc>
        <w:tc>
          <w:tcPr>
            <w:tcW w:w="640" w:type="pct"/>
            <w:tcBorders>
              <w:top w:val="nil"/>
              <w:left w:val="nil"/>
              <w:bottom w:val="nil"/>
              <w:right w:val="nil"/>
            </w:tcBorders>
            <w:tcMar>
              <w:top w:w="-1" w:type="dxa"/>
              <w:left w:w="-1" w:type="dxa"/>
              <w:bottom w:w="-1" w:type="dxa"/>
              <w:right w:w="-1" w:type="dxa"/>
            </w:tcMar>
            <w:vAlign w:val="center"/>
          </w:tcPr>
          <w:p w14:paraId="5327F631"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0.046 (0.010–0.198)</w:t>
            </w:r>
          </w:p>
        </w:tc>
        <w:tc>
          <w:tcPr>
            <w:tcW w:w="306" w:type="pct"/>
            <w:tcBorders>
              <w:top w:val="nil"/>
              <w:left w:val="nil"/>
              <w:bottom w:val="nil"/>
              <w:right w:val="nil"/>
            </w:tcBorders>
            <w:tcMar>
              <w:top w:w="-1" w:type="dxa"/>
              <w:left w:w="-1" w:type="dxa"/>
              <w:bottom w:w="-1" w:type="dxa"/>
              <w:right w:w="-1" w:type="dxa"/>
            </w:tcMar>
            <w:vAlign w:val="center"/>
          </w:tcPr>
          <w:p w14:paraId="3F1CA632"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&lt;0.001</w:t>
            </w:r>
          </w:p>
        </w:tc>
      </w:tr>
      <w:tr w:rsidR="00AF5801" w:rsidRPr="00D6590B" w14:paraId="7EF5FA4E" w14:textId="77777777">
        <w:trPr>
          <w:jc w:val="center"/>
        </w:trPr>
        <w:tc>
          <w:tcPr>
            <w:tcW w:w="2157" w:type="pct"/>
            <w:tcBorders>
              <w:top w:val="nil"/>
              <w:left w:val="nil"/>
              <w:bottom w:val="nil"/>
              <w:right w:val="nil"/>
            </w:tcBorders>
            <w:tcMar>
              <w:top w:w="-1" w:type="dxa"/>
              <w:left w:w="-1" w:type="dxa"/>
              <w:bottom w:w="-1" w:type="dxa"/>
              <w:right w:w="-1" w:type="dxa"/>
            </w:tcMar>
            <w:vAlign w:val="center"/>
          </w:tcPr>
          <w:p w14:paraId="0173E9BC"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Change in choroidal thickness, per 10-μm increase</w:t>
            </w:r>
          </w:p>
        </w:tc>
        <w:tc>
          <w:tcPr>
            <w:tcW w:w="640" w:type="pct"/>
            <w:tcBorders>
              <w:top w:val="nil"/>
              <w:left w:val="nil"/>
              <w:bottom w:val="nil"/>
              <w:right w:val="nil"/>
            </w:tcBorders>
            <w:tcMar>
              <w:top w:w="-1" w:type="dxa"/>
              <w:left w:w="-1" w:type="dxa"/>
              <w:bottom w:w="-1" w:type="dxa"/>
              <w:right w:w="-1" w:type="dxa"/>
            </w:tcMar>
            <w:vAlign w:val="center"/>
          </w:tcPr>
          <w:p w14:paraId="56DA76D6"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0.757 (0.596–0.962)</w:t>
            </w:r>
          </w:p>
        </w:tc>
        <w:tc>
          <w:tcPr>
            <w:tcW w:w="306" w:type="pct"/>
            <w:tcBorders>
              <w:top w:val="nil"/>
              <w:left w:val="nil"/>
              <w:bottom w:val="nil"/>
              <w:right w:val="nil"/>
            </w:tcBorders>
            <w:tcMar>
              <w:top w:w="-1" w:type="dxa"/>
              <w:left w:w="-1" w:type="dxa"/>
              <w:bottom w:w="-1" w:type="dxa"/>
              <w:right w:w="-1" w:type="dxa"/>
            </w:tcMar>
            <w:vAlign w:val="center"/>
          </w:tcPr>
          <w:p w14:paraId="160DC9A9"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0.023</w:t>
            </w:r>
          </w:p>
        </w:tc>
        <w:tc>
          <w:tcPr>
            <w:tcW w:w="640" w:type="pct"/>
            <w:tcBorders>
              <w:top w:val="nil"/>
              <w:left w:val="nil"/>
              <w:bottom w:val="nil"/>
              <w:right w:val="nil"/>
            </w:tcBorders>
            <w:tcMar>
              <w:top w:w="-1" w:type="dxa"/>
              <w:left w:w="-1" w:type="dxa"/>
              <w:bottom w:w="-1" w:type="dxa"/>
              <w:right w:w="-1" w:type="dxa"/>
            </w:tcMar>
            <w:vAlign w:val="center"/>
          </w:tcPr>
          <w:p w14:paraId="29FE1623"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0.839 (0.654–1.078)</w:t>
            </w:r>
          </w:p>
        </w:tc>
        <w:tc>
          <w:tcPr>
            <w:tcW w:w="306" w:type="pct"/>
            <w:tcBorders>
              <w:top w:val="nil"/>
              <w:left w:val="nil"/>
              <w:bottom w:val="nil"/>
              <w:right w:val="nil"/>
            </w:tcBorders>
            <w:tcMar>
              <w:top w:w="-1" w:type="dxa"/>
              <w:left w:w="-1" w:type="dxa"/>
              <w:bottom w:w="-1" w:type="dxa"/>
              <w:right w:w="-1" w:type="dxa"/>
            </w:tcMar>
            <w:vAlign w:val="center"/>
          </w:tcPr>
          <w:p w14:paraId="13A409F8"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0.170</w:t>
            </w:r>
          </w:p>
        </w:tc>
        <w:tc>
          <w:tcPr>
            <w:tcW w:w="640" w:type="pct"/>
            <w:tcBorders>
              <w:top w:val="nil"/>
              <w:left w:val="nil"/>
              <w:bottom w:val="nil"/>
              <w:right w:val="nil"/>
            </w:tcBorders>
            <w:tcMar>
              <w:top w:w="-1" w:type="dxa"/>
              <w:left w:w="-1" w:type="dxa"/>
              <w:bottom w:w="-1" w:type="dxa"/>
              <w:right w:w="-1" w:type="dxa"/>
            </w:tcMar>
            <w:vAlign w:val="center"/>
          </w:tcPr>
          <w:p w14:paraId="171F2CFD"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0.858 (0.564–1.303)</w:t>
            </w:r>
          </w:p>
        </w:tc>
        <w:tc>
          <w:tcPr>
            <w:tcW w:w="306" w:type="pct"/>
            <w:tcBorders>
              <w:top w:val="nil"/>
              <w:left w:val="nil"/>
              <w:bottom w:val="nil"/>
              <w:right w:val="nil"/>
            </w:tcBorders>
            <w:tcMar>
              <w:top w:w="-1" w:type="dxa"/>
              <w:left w:w="-1" w:type="dxa"/>
              <w:bottom w:w="-1" w:type="dxa"/>
              <w:right w:w="-1" w:type="dxa"/>
            </w:tcMar>
            <w:vAlign w:val="center"/>
          </w:tcPr>
          <w:p w14:paraId="220D9ABD"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0.472</w:t>
            </w:r>
          </w:p>
        </w:tc>
      </w:tr>
      <w:tr w:rsidR="00AF5801" w:rsidRPr="00D6590B" w14:paraId="1C20D178" w14:textId="77777777">
        <w:trPr>
          <w:jc w:val="center"/>
        </w:trPr>
        <w:tc>
          <w:tcPr>
            <w:tcW w:w="2157" w:type="pct"/>
            <w:tcBorders>
              <w:top w:val="nil"/>
              <w:left w:val="nil"/>
              <w:bottom w:val="nil"/>
              <w:right w:val="nil"/>
            </w:tcBorders>
            <w:tcMar>
              <w:top w:w="-1" w:type="dxa"/>
              <w:left w:w="-1" w:type="dxa"/>
              <w:bottom w:w="-1" w:type="dxa"/>
              <w:right w:w="-1" w:type="dxa"/>
            </w:tcMar>
            <w:vAlign w:val="center"/>
          </w:tcPr>
          <w:p w14:paraId="3D9084A3"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Change in CVI, per 0.01 increase</w:t>
            </w:r>
          </w:p>
        </w:tc>
        <w:tc>
          <w:tcPr>
            <w:tcW w:w="640" w:type="pct"/>
            <w:tcBorders>
              <w:top w:val="nil"/>
              <w:left w:val="nil"/>
              <w:bottom w:val="nil"/>
              <w:right w:val="nil"/>
            </w:tcBorders>
            <w:tcMar>
              <w:top w:w="-1" w:type="dxa"/>
              <w:left w:w="-1" w:type="dxa"/>
              <w:bottom w:w="-1" w:type="dxa"/>
              <w:right w:w="-1" w:type="dxa"/>
            </w:tcMar>
            <w:vAlign w:val="center"/>
          </w:tcPr>
          <w:p w14:paraId="6C3D3642"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0.420 (0.265–0.667)</w:t>
            </w:r>
          </w:p>
        </w:tc>
        <w:tc>
          <w:tcPr>
            <w:tcW w:w="306" w:type="pct"/>
            <w:tcBorders>
              <w:top w:val="nil"/>
              <w:left w:val="nil"/>
              <w:bottom w:val="nil"/>
              <w:right w:val="nil"/>
            </w:tcBorders>
            <w:tcMar>
              <w:top w:w="-1" w:type="dxa"/>
              <w:left w:w="-1" w:type="dxa"/>
              <w:bottom w:w="-1" w:type="dxa"/>
              <w:right w:w="-1" w:type="dxa"/>
            </w:tcMar>
            <w:vAlign w:val="center"/>
          </w:tcPr>
          <w:p w14:paraId="0357620A"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&lt;0.001</w:t>
            </w:r>
          </w:p>
        </w:tc>
        <w:tc>
          <w:tcPr>
            <w:tcW w:w="640" w:type="pct"/>
            <w:tcBorders>
              <w:top w:val="nil"/>
              <w:left w:val="nil"/>
              <w:bottom w:val="nil"/>
              <w:right w:val="nil"/>
            </w:tcBorders>
            <w:tcMar>
              <w:top w:w="-1" w:type="dxa"/>
              <w:left w:w="-1" w:type="dxa"/>
              <w:bottom w:w="-1" w:type="dxa"/>
              <w:right w:w="-1" w:type="dxa"/>
            </w:tcMar>
            <w:vAlign w:val="center"/>
          </w:tcPr>
          <w:p w14:paraId="4A58C803"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0.442 (0.253–0.770)</w:t>
            </w:r>
          </w:p>
        </w:tc>
        <w:tc>
          <w:tcPr>
            <w:tcW w:w="306" w:type="pct"/>
            <w:tcBorders>
              <w:top w:val="nil"/>
              <w:left w:val="nil"/>
              <w:bottom w:val="nil"/>
              <w:right w:val="nil"/>
            </w:tcBorders>
            <w:tcMar>
              <w:top w:w="-1" w:type="dxa"/>
              <w:left w:w="-1" w:type="dxa"/>
              <w:bottom w:w="-1" w:type="dxa"/>
              <w:right w:w="-1" w:type="dxa"/>
            </w:tcMar>
            <w:vAlign w:val="center"/>
          </w:tcPr>
          <w:p w14:paraId="4AFE05A3"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0.004</w:t>
            </w:r>
          </w:p>
        </w:tc>
        <w:tc>
          <w:tcPr>
            <w:tcW w:w="640" w:type="pct"/>
            <w:tcBorders>
              <w:top w:val="nil"/>
              <w:left w:val="nil"/>
              <w:bottom w:val="nil"/>
              <w:right w:val="nil"/>
            </w:tcBorders>
            <w:tcMar>
              <w:top w:w="-1" w:type="dxa"/>
              <w:left w:w="-1" w:type="dxa"/>
              <w:bottom w:w="-1" w:type="dxa"/>
              <w:right w:w="-1" w:type="dxa"/>
            </w:tcMar>
            <w:vAlign w:val="center"/>
          </w:tcPr>
          <w:p w14:paraId="0E2B234C"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0.538 (0.270–1.073)</w:t>
            </w:r>
          </w:p>
        </w:tc>
        <w:tc>
          <w:tcPr>
            <w:tcW w:w="306" w:type="pct"/>
            <w:tcBorders>
              <w:top w:val="nil"/>
              <w:left w:val="nil"/>
              <w:bottom w:val="nil"/>
              <w:right w:val="nil"/>
            </w:tcBorders>
            <w:tcMar>
              <w:top w:w="-1" w:type="dxa"/>
              <w:left w:w="-1" w:type="dxa"/>
              <w:bottom w:w="-1" w:type="dxa"/>
              <w:right w:w="-1" w:type="dxa"/>
            </w:tcMar>
            <w:vAlign w:val="center"/>
          </w:tcPr>
          <w:p w14:paraId="27F5CF5C"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0.078</w:t>
            </w:r>
          </w:p>
        </w:tc>
      </w:tr>
      <w:tr w:rsidR="00AF5801" w:rsidRPr="00D6590B" w14:paraId="59D7E9B4" w14:textId="77777777">
        <w:trPr>
          <w:jc w:val="center"/>
        </w:trPr>
        <w:tc>
          <w:tcPr>
            <w:tcW w:w="2157" w:type="pct"/>
            <w:tcBorders>
              <w:top w:val="nil"/>
              <w:left w:val="nil"/>
              <w:bottom w:val="nil"/>
              <w:right w:val="nil"/>
            </w:tcBorders>
            <w:tcMar>
              <w:top w:w="-1" w:type="dxa"/>
              <w:left w:w="-1" w:type="dxa"/>
              <w:bottom w:w="-1" w:type="dxa"/>
              <w:right w:w="-1" w:type="dxa"/>
            </w:tcMar>
            <w:vAlign w:val="center"/>
          </w:tcPr>
          <w:p w14:paraId="3210A24A"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Age, per 1-year increase</w:t>
            </w:r>
          </w:p>
        </w:tc>
        <w:tc>
          <w:tcPr>
            <w:tcW w:w="640" w:type="pct"/>
            <w:tcBorders>
              <w:top w:val="nil"/>
              <w:left w:val="nil"/>
              <w:bottom w:val="nil"/>
              <w:right w:val="nil"/>
            </w:tcBorders>
            <w:tcMar>
              <w:top w:w="-1" w:type="dxa"/>
              <w:left w:w="-1" w:type="dxa"/>
              <w:bottom w:w="-1" w:type="dxa"/>
              <w:right w:w="-1" w:type="dxa"/>
            </w:tcMar>
            <w:vAlign w:val="center"/>
          </w:tcPr>
          <w:p w14:paraId="432EC57A"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0.965 (0.825–1.130)</w:t>
            </w:r>
          </w:p>
        </w:tc>
        <w:tc>
          <w:tcPr>
            <w:tcW w:w="306" w:type="pct"/>
            <w:tcBorders>
              <w:top w:val="nil"/>
              <w:left w:val="nil"/>
              <w:bottom w:val="nil"/>
              <w:right w:val="nil"/>
            </w:tcBorders>
            <w:tcMar>
              <w:top w:w="-1" w:type="dxa"/>
              <w:left w:w="-1" w:type="dxa"/>
              <w:bottom w:w="-1" w:type="dxa"/>
              <w:right w:w="-1" w:type="dxa"/>
            </w:tcMar>
            <w:vAlign w:val="center"/>
          </w:tcPr>
          <w:p w14:paraId="745AB5EE"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0.658</w:t>
            </w:r>
          </w:p>
        </w:tc>
        <w:tc>
          <w:tcPr>
            <w:tcW w:w="640" w:type="pct"/>
            <w:tcBorders>
              <w:top w:val="nil"/>
              <w:left w:val="nil"/>
              <w:bottom w:val="nil"/>
              <w:right w:val="nil"/>
            </w:tcBorders>
            <w:tcMar>
              <w:top w:w="-1" w:type="dxa"/>
              <w:left w:w="-1" w:type="dxa"/>
              <w:bottom w:w="-1" w:type="dxa"/>
              <w:right w:w="-1" w:type="dxa"/>
            </w:tcMar>
            <w:vAlign w:val="center"/>
          </w:tcPr>
          <w:p w14:paraId="570258C8"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0.851 (0.706–1.024)</w:t>
            </w:r>
          </w:p>
        </w:tc>
        <w:tc>
          <w:tcPr>
            <w:tcW w:w="306" w:type="pct"/>
            <w:tcBorders>
              <w:top w:val="nil"/>
              <w:left w:val="nil"/>
              <w:bottom w:val="nil"/>
              <w:right w:val="nil"/>
            </w:tcBorders>
            <w:tcMar>
              <w:top w:w="-1" w:type="dxa"/>
              <w:left w:w="-1" w:type="dxa"/>
              <w:bottom w:w="-1" w:type="dxa"/>
              <w:right w:w="-1" w:type="dxa"/>
            </w:tcMar>
            <w:vAlign w:val="center"/>
          </w:tcPr>
          <w:p w14:paraId="1014CB19"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0.088</w:t>
            </w:r>
          </w:p>
        </w:tc>
        <w:tc>
          <w:tcPr>
            <w:tcW w:w="640" w:type="pct"/>
            <w:tcBorders>
              <w:top w:val="nil"/>
              <w:left w:val="nil"/>
              <w:bottom w:val="nil"/>
              <w:right w:val="nil"/>
            </w:tcBorders>
            <w:tcMar>
              <w:top w:w="-1" w:type="dxa"/>
              <w:left w:w="-1" w:type="dxa"/>
              <w:bottom w:w="-1" w:type="dxa"/>
              <w:right w:w="-1" w:type="dxa"/>
            </w:tcMar>
            <w:vAlign w:val="center"/>
          </w:tcPr>
          <w:p w14:paraId="08C03AC7"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0.667 (0.546–0.816)</w:t>
            </w:r>
          </w:p>
        </w:tc>
        <w:tc>
          <w:tcPr>
            <w:tcW w:w="306" w:type="pct"/>
            <w:tcBorders>
              <w:top w:val="nil"/>
              <w:left w:val="nil"/>
              <w:bottom w:val="nil"/>
              <w:right w:val="nil"/>
            </w:tcBorders>
            <w:tcMar>
              <w:top w:w="-1" w:type="dxa"/>
              <w:left w:w="-1" w:type="dxa"/>
              <w:bottom w:w="-1" w:type="dxa"/>
              <w:right w:w="-1" w:type="dxa"/>
            </w:tcMar>
            <w:vAlign w:val="center"/>
          </w:tcPr>
          <w:p w14:paraId="519B9CB7"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&lt;0.001</w:t>
            </w:r>
          </w:p>
        </w:tc>
      </w:tr>
      <w:tr w:rsidR="00AF5801" w:rsidRPr="00D6590B" w14:paraId="5E161F3E" w14:textId="77777777">
        <w:trPr>
          <w:jc w:val="center"/>
        </w:trPr>
        <w:tc>
          <w:tcPr>
            <w:tcW w:w="2157" w:type="pct"/>
            <w:tcBorders>
              <w:top w:val="nil"/>
              <w:left w:val="nil"/>
              <w:bottom w:val="nil"/>
              <w:right w:val="nil"/>
            </w:tcBorders>
            <w:tcMar>
              <w:top w:w="-1" w:type="dxa"/>
              <w:left w:w="-1" w:type="dxa"/>
              <w:bottom w:w="-1" w:type="dxa"/>
              <w:right w:w="-1" w:type="dxa"/>
            </w:tcMar>
            <w:vAlign w:val="center"/>
          </w:tcPr>
          <w:p w14:paraId="4B2D7455"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Female vs male</w:t>
            </w:r>
          </w:p>
        </w:tc>
        <w:tc>
          <w:tcPr>
            <w:tcW w:w="640" w:type="pct"/>
            <w:tcBorders>
              <w:top w:val="nil"/>
              <w:left w:val="nil"/>
              <w:bottom w:val="nil"/>
              <w:right w:val="nil"/>
            </w:tcBorders>
            <w:tcMar>
              <w:top w:w="-1" w:type="dxa"/>
              <w:left w:w="-1" w:type="dxa"/>
              <w:bottom w:w="-1" w:type="dxa"/>
              <w:right w:w="-1" w:type="dxa"/>
            </w:tcMar>
            <w:vAlign w:val="center"/>
          </w:tcPr>
          <w:p w14:paraId="29D4C7D5"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0.827 (0.454–1.509)</w:t>
            </w:r>
          </w:p>
        </w:tc>
        <w:tc>
          <w:tcPr>
            <w:tcW w:w="306" w:type="pct"/>
            <w:tcBorders>
              <w:top w:val="nil"/>
              <w:left w:val="nil"/>
              <w:bottom w:val="nil"/>
              <w:right w:val="nil"/>
            </w:tcBorders>
            <w:tcMar>
              <w:top w:w="-1" w:type="dxa"/>
              <w:left w:w="-1" w:type="dxa"/>
              <w:bottom w:w="-1" w:type="dxa"/>
              <w:right w:w="-1" w:type="dxa"/>
            </w:tcMar>
            <w:vAlign w:val="center"/>
          </w:tcPr>
          <w:p w14:paraId="6302FFE2"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0.537</w:t>
            </w:r>
          </w:p>
        </w:tc>
        <w:tc>
          <w:tcPr>
            <w:tcW w:w="640" w:type="pct"/>
            <w:tcBorders>
              <w:top w:val="nil"/>
              <w:left w:val="nil"/>
              <w:bottom w:val="nil"/>
              <w:right w:val="nil"/>
            </w:tcBorders>
            <w:tcMar>
              <w:top w:w="-1" w:type="dxa"/>
              <w:left w:w="-1" w:type="dxa"/>
              <w:bottom w:w="-1" w:type="dxa"/>
              <w:right w:w="-1" w:type="dxa"/>
            </w:tcMar>
            <w:vAlign w:val="center"/>
          </w:tcPr>
          <w:p w14:paraId="051F6236"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0.651 (0.329–1.287)</w:t>
            </w:r>
          </w:p>
        </w:tc>
        <w:tc>
          <w:tcPr>
            <w:tcW w:w="306" w:type="pct"/>
            <w:tcBorders>
              <w:top w:val="nil"/>
              <w:left w:val="nil"/>
              <w:bottom w:val="nil"/>
              <w:right w:val="nil"/>
            </w:tcBorders>
            <w:tcMar>
              <w:top w:w="-1" w:type="dxa"/>
              <w:left w:w="-1" w:type="dxa"/>
              <w:bottom w:w="-1" w:type="dxa"/>
              <w:right w:w="-1" w:type="dxa"/>
            </w:tcMar>
            <w:vAlign w:val="center"/>
          </w:tcPr>
          <w:p w14:paraId="200774AE"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0.217</w:t>
            </w:r>
          </w:p>
        </w:tc>
        <w:tc>
          <w:tcPr>
            <w:tcW w:w="640" w:type="pct"/>
            <w:tcBorders>
              <w:top w:val="nil"/>
              <w:left w:val="nil"/>
              <w:bottom w:val="nil"/>
              <w:right w:val="nil"/>
            </w:tcBorders>
            <w:tcMar>
              <w:top w:w="-1" w:type="dxa"/>
              <w:left w:w="-1" w:type="dxa"/>
              <w:bottom w:w="-1" w:type="dxa"/>
              <w:right w:w="-1" w:type="dxa"/>
            </w:tcMar>
            <w:vAlign w:val="center"/>
          </w:tcPr>
          <w:p w14:paraId="5914007D"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0.606 (0.235–1.561)</w:t>
            </w:r>
          </w:p>
        </w:tc>
        <w:tc>
          <w:tcPr>
            <w:tcW w:w="306" w:type="pct"/>
            <w:tcBorders>
              <w:top w:val="nil"/>
              <w:left w:val="nil"/>
              <w:bottom w:val="nil"/>
              <w:right w:val="nil"/>
            </w:tcBorders>
            <w:tcMar>
              <w:top w:w="-1" w:type="dxa"/>
              <w:left w:w="-1" w:type="dxa"/>
              <w:bottom w:w="-1" w:type="dxa"/>
              <w:right w:w="-1" w:type="dxa"/>
            </w:tcMar>
            <w:vAlign w:val="center"/>
          </w:tcPr>
          <w:p w14:paraId="6F63ADF9"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0.300</w:t>
            </w:r>
          </w:p>
        </w:tc>
      </w:tr>
      <w:tr w:rsidR="00AF5801" w:rsidRPr="00D6590B" w14:paraId="0571C9D1" w14:textId="77777777">
        <w:trPr>
          <w:jc w:val="center"/>
        </w:trPr>
        <w:tc>
          <w:tcPr>
            <w:tcW w:w="2157" w:type="pct"/>
            <w:tcBorders>
              <w:top w:val="nil"/>
              <w:left w:val="nil"/>
              <w:bottom w:val="nil"/>
              <w:right w:val="nil"/>
            </w:tcBorders>
            <w:tcMar>
              <w:top w:w="-1" w:type="dxa"/>
              <w:left w:w="-1" w:type="dxa"/>
              <w:bottom w:w="-1" w:type="dxa"/>
              <w:right w:w="-1" w:type="dxa"/>
            </w:tcMar>
            <w:vAlign w:val="center"/>
          </w:tcPr>
          <w:p w14:paraId="11B97C0C"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Baseline cycloplegic spherical equivalent, per 1-D increase</w:t>
            </w:r>
          </w:p>
        </w:tc>
        <w:tc>
          <w:tcPr>
            <w:tcW w:w="640" w:type="pct"/>
            <w:tcBorders>
              <w:top w:val="nil"/>
              <w:left w:val="nil"/>
              <w:bottom w:val="nil"/>
              <w:right w:val="nil"/>
            </w:tcBorders>
            <w:tcMar>
              <w:top w:w="-1" w:type="dxa"/>
              <w:left w:w="-1" w:type="dxa"/>
              <w:bottom w:w="-1" w:type="dxa"/>
              <w:right w:w="-1" w:type="dxa"/>
            </w:tcMar>
            <w:vAlign w:val="center"/>
          </w:tcPr>
          <w:p w14:paraId="13D888C4"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0.954 (0.705–1.292)</w:t>
            </w:r>
          </w:p>
        </w:tc>
        <w:tc>
          <w:tcPr>
            <w:tcW w:w="306" w:type="pct"/>
            <w:tcBorders>
              <w:top w:val="nil"/>
              <w:left w:val="nil"/>
              <w:bottom w:val="nil"/>
              <w:right w:val="nil"/>
            </w:tcBorders>
            <w:tcMar>
              <w:top w:w="-1" w:type="dxa"/>
              <w:left w:w="-1" w:type="dxa"/>
              <w:bottom w:w="-1" w:type="dxa"/>
              <w:right w:w="-1" w:type="dxa"/>
            </w:tcMar>
            <w:vAlign w:val="center"/>
          </w:tcPr>
          <w:p w14:paraId="750387B7"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0.762</w:t>
            </w:r>
          </w:p>
        </w:tc>
        <w:tc>
          <w:tcPr>
            <w:tcW w:w="640" w:type="pct"/>
            <w:tcBorders>
              <w:top w:val="nil"/>
              <w:left w:val="nil"/>
              <w:bottom w:val="nil"/>
              <w:right w:val="nil"/>
            </w:tcBorders>
            <w:tcMar>
              <w:top w:w="-1" w:type="dxa"/>
              <w:left w:w="-1" w:type="dxa"/>
              <w:bottom w:w="-1" w:type="dxa"/>
              <w:right w:w="-1" w:type="dxa"/>
            </w:tcMar>
            <w:vAlign w:val="center"/>
          </w:tcPr>
          <w:p w14:paraId="237A6062"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0.994 (0.765–1.291)</w:t>
            </w:r>
          </w:p>
        </w:tc>
        <w:tc>
          <w:tcPr>
            <w:tcW w:w="306" w:type="pct"/>
            <w:tcBorders>
              <w:top w:val="nil"/>
              <w:left w:val="nil"/>
              <w:bottom w:val="nil"/>
              <w:right w:val="nil"/>
            </w:tcBorders>
            <w:tcMar>
              <w:top w:w="-1" w:type="dxa"/>
              <w:left w:w="-1" w:type="dxa"/>
              <w:bottom w:w="-1" w:type="dxa"/>
              <w:right w:w="-1" w:type="dxa"/>
            </w:tcMar>
            <w:vAlign w:val="center"/>
          </w:tcPr>
          <w:p w14:paraId="28D04E78"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0.963</w:t>
            </w:r>
          </w:p>
        </w:tc>
        <w:tc>
          <w:tcPr>
            <w:tcW w:w="640" w:type="pct"/>
            <w:tcBorders>
              <w:top w:val="nil"/>
              <w:left w:val="nil"/>
              <w:bottom w:val="nil"/>
              <w:right w:val="nil"/>
            </w:tcBorders>
            <w:tcMar>
              <w:top w:w="-1" w:type="dxa"/>
              <w:left w:w="-1" w:type="dxa"/>
              <w:bottom w:w="-1" w:type="dxa"/>
              <w:right w:w="-1" w:type="dxa"/>
            </w:tcMar>
            <w:vAlign w:val="center"/>
          </w:tcPr>
          <w:p w14:paraId="5A5F1447"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0.771 (0.495–1.199)</w:t>
            </w:r>
          </w:p>
        </w:tc>
        <w:tc>
          <w:tcPr>
            <w:tcW w:w="306" w:type="pct"/>
            <w:tcBorders>
              <w:top w:val="nil"/>
              <w:left w:val="nil"/>
              <w:bottom w:val="nil"/>
              <w:right w:val="nil"/>
            </w:tcBorders>
            <w:tcMar>
              <w:top w:w="-1" w:type="dxa"/>
              <w:left w:w="-1" w:type="dxa"/>
              <w:bottom w:w="-1" w:type="dxa"/>
              <w:right w:w="-1" w:type="dxa"/>
            </w:tcMar>
            <w:vAlign w:val="center"/>
          </w:tcPr>
          <w:p w14:paraId="0C99DAF6"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0.249</w:t>
            </w:r>
          </w:p>
        </w:tc>
      </w:tr>
      <w:tr w:rsidR="00AF5801" w:rsidRPr="00D6590B" w14:paraId="26A08F48" w14:textId="77777777">
        <w:trPr>
          <w:jc w:val="center"/>
        </w:trPr>
        <w:tc>
          <w:tcPr>
            <w:tcW w:w="2157" w:type="pct"/>
            <w:tcBorders>
              <w:top w:val="nil"/>
              <w:left w:val="nil"/>
              <w:bottom w:val="nil"/>
              <w:right w:val="nil"/>
            </w:tcBorders>
            <w:tcMar>
              <w:top w:w="-1" w:type="dxa"/>
              <w:left w:w="-1" w:type="dxa"/>
              <w:bottom w:w="-1" w:type="dxa"/>
              <w:right w:w="-1" w:type="dxa"/>
            </w:tcMar>
            <w:vAlign w:val="center"/>
          </w:tcPr>
          <w:p w14:paraId="7957FE1C"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Baseline axial length, per 1-mm increase</w:t>
            </w:r>
          </w:p>
        </w:tc>
        <w:tc>
          <w:tcPr>
            <w:tcW w:w="640" w:type="pct"/>
            <w:tcBorders>
              <w:top w:val="nil"/>
              <w:left w:val="nil"/>
              <w:bottom w:val="nil"/>
              <w:right w:val="nil"/>
            </w:tcBorders>
            <w:tcMar>
              <w:top w:w="-1" w:type="dxa"/>
              <w:left w:w="-1" w:type="dxa"/>
              <w:bottom w:w="-1" w:type="dxa"/>
              <w:right w:w="-1" w:type="dxa"/>
            </w:tcMar>
            <w:vAlign w:val="center"/>
          </w:tcPr>
          <w:p w14:paraId="3FBC784D"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0.622 (0.378–1.023)</w:t>
            </w:r>
          </w:p>
        </w:tc>
        <w:tc>
          <w:tcPr>
            <w:tcW w:w="306" w:type="pct"/>
            <w:tcBorders>
              <w:top w:val="nil"/>
              <w:left w:val="nil"/>
              <w:bottom w:val="nil"/>
              <w:right w:val="nil"/>
            </w:tcBorders>
            <w:tcMar>
              <w:top w:w="-1" w:type="dxa"/>
              <w:left w:w="-1" w:type="dxa"/>
              <w:bottom w:w="-1" w:type="dxa"/>
              <w:right w:w="-1" w:type="dxa"/>
            </w:tcMar>
            <w:vAlign w:val="center"/>
          </w:tcPr>
          <w:p w14:paraId="3C5FECD4"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0.061</w:t>
            </w:r>
          </w:p>
        </w:tc>
        <w:tc>
          <w:tcPr>
            <w:tcW w:w="640" w:type="pct"/>
            <w:tcBorders>
              <w:top w:val="nil"/>
              <w:left w:val="nil"/>
              <w:bottom w:val="nil"/>
              <w:right w:val="nil"/>
            </w:tcBorders>
            <w:tcMar>
              <w:top w:w="-1" w:type="dxa"/>
              <w:left w:w="-1" w:type="dxa"/>
              <w:bottom w:w="-1" w:type="dxa"/>
              <w:right w:w="-1" w:type="dxa"/>
            </w:tcMar>
            <w:vAlign w:val="center"/>
          </w:tcPr>
          <w:p w14:paraId="470D4619"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0.709 (0.454–1.108)</w:t>
            </w:r>
          </w:p>
        </w:tc>
        <w:tc>
          <w:tcPr>
            <w:tcW w:w="306" w:type="pct"/>
            <w:tcBorders>
              <w:top w:val="nil"/>
              <w:left w:val="nil"/>
              <w:bottom w:val="nil"/>
              <w:right w:val="nil"/>
            </w:tcBorders>
            <w:tcMar>
              <w:top w:w="-1" w:type="dxa"/>
              <w:left w:w="-1" w:type="dxa"/>
              <w:bottom w:w="-1" w:type="dxa"/>
              <w:right w:w="-1" w:type="dxa"/>
            </w:tcMar>
            <w:vAlign w:val="center"/>
          </w:tcPr>
          <w:p w14:paraId="6347190D"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0.131</w:t>
            </w:r>
          </w:p>
        </w:tc>
        <w:tc>
          <w:tcPr>
            <w:tcW w:w="640" w:type="pct"/>
            <w:tcBorders>
              <w:top w:val="nil"/>
              <w:left w:val="nil"/>
              <w:bottom w:val="nil"/>
              <w:right w:val="nil"/>
            </w:tcBorders>
            <w:tcMar>
              <w:top w:w="-1" w:type="dxa"/>
              <w:left w:w="-1" w:type="dxa"/>
              <w:bottom w:w="-1" w:type="dxa"/>
              <w:right w:w="-1" w:type="dxa"/>
            </w:tcMar>
            <w:vAlign w:val="center"/>
          </w:tcPr>
          <w:p w14:paraId="3998FE1C"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0.789 (0.427–1.459)</w:t>
            </w:r>
          </w:p>
        </w:tc>
        <w:tc>
          <w:tcPr>
            <w:tcW w:w="306" w:type="pct"/>
            <w:tcBorders>
              <w:top w:val="nil"/>
              <w:left w:val="nil"/>
              <w:bottom w:val="nil"/>
              <w:right w:val="nil"/>
            </w:tcBorders>
            <w:tcMar>
              <w:top w:w="-1" w:type="dxa"/>
              <w:left w:w="-1" w:type="dxa"/>
              <w:bottom w:w="-1" w:type="dxa"/>
              <w:right w:w="-1" w:type="dxa"/>
            </w:tcMar>
            <w:vAlign w:val="center"/>
          </w:tcPr>
          <w:p w14:paraId="3D5951B6"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0.450</w:t>
            </w:r>
          </w:p>
        </w:tc>
      </w:tr>
      <w:tr w:rsidR="00AF5801" w:rsidRPr="00D6590B" w14:paraId="4359A398" w14:textId="77777777">
        <w:trPr>
          <w:jc w:val="center"/>
        </w:trPr>
        <w:tc>
          <w:tcPr>
            <w:tcW w:w="2157" w:type="pct"/>
            <w:tcBorders>
              <w:top w:val="nil"/>
              <w:left w:val="nil"/>
              <w:bottom w:val="nil"/>
              <w:right w:val="nil"/>
            </w:tcBorders>
            <w:tcMar>
              <w:top w:w="-1" w:type="dxa"/>
              <w:left w:w="-1" w:type="dxa"/>
              <w:bottom w:w="-1" w:type="dxa"/>
              <w:right w:w="-1" w:type="dxa"/>
            </w:tcMar>
            <w:vAlign w:val="center"/>
          </w:tcPr>
          <w:p w14:paraId="78A580AA"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Outdoor activity time, per 1-h/day increase</w:t>
            </w:r>
          </w:p>
        </w:tc>
        <w:tc>
          <w:tcPr>
            <w:tcW w:w="640" w:type="pct"/>
            <w:tcBorders>
              <w:top w:val="nil"/>
              <w:left w:val="nil"/>
              <w:bottom w:val="nil"/>
              <w:right w:val="nil"/>
            </w:tcBorders>
            <w:tcMar>
              <w:top w:w="-1" w:type="dxa"/>
              <w:left w:w="-1" w:type="dxa"/>
              <w:bottom w:w="-1" w:type="dxa"/>
              <w:right w:w="-1" w:type="dxa"/>
            </w:tcMar>
            <w:vAlign w:val="center"/>
          </w:tcPr>
          <w:p w14:paraId="0045ECDA"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0.391 (0.212–0.722)</w:t>
            </w:r>
          </w:p>
        </w:tc>
        <w:tc>
          <w:tcPr>
            <w:tcW w:w="306" w:type="pct"/>
            <w:tcBorders>
              <w:top w:val="nil"/>
              <w:left w:val="nil"/>
              <w:bottom w:val="nil"/>
              <w:right w:val="nil"/>
            </w:tcBorders>
            <w:tcMar>
              <w:top w:w="-1" w:type="dxa"/>
              <w:left w:w="-1" w:type="dxa"/>
              <w:bottom w:w="-1" w:type="dxa"/>
              <w:right w:w="-1" w:type="dxa"/>
            </w:tcMar>
            <w:vAlign w:val="center"/>
          </w:tcPr>
          <w:p w14:paraId="159C1AAD"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0.003</w:t>
            </w:r>
          </w:p>
        </w:tc>
        <w:tc>
          <w:tcPr>
            <w:tcW w:w="640" w:type="pct"/>
            <w:tcBorders>
              <w:top w:val="nil"/>
              <w:left w:val="nil"/>
              <w:bottom w:val="nil"/>
              <w:right w:val="nil"/>
            </w:tcBorders>
            <w:tcMar>
              <w:top w:w="-1" w:type="dxa"/>
              <w:left w:w="-1" w:type="dxa"/>
              <w:bottom w:w="-1" w:type="dxa"/>
              <w:right w:w="-1" w:type="dxa"/>
            </w:tcMar>
            <w:vAlign w:val="center"/>
          </w:tcPr>
          <w:p w14:paraId="20B80A29"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0.635 (0.351–1.149)</w:t>
            </w:r>
          </w:p>
        </w:tc>
        <w:tc>
          <w:tcPr>
            <w:tcW w:w="306" w:type="pct"/>
            <w:tcBorders>
              <w:top w:val="nil"/>
              <w:left w:val="nil"/>
              <w:bottom w:val="nil"/>
              <w:right w:val="nil"/>
            </w:tcBorders>
            <w:tcMar>
              <w:top w:w="-1" w:type="dxa"/>
              <w:left w:w="-1" w:type="dxa"/>
              <w:bottom w:w="-1" w:type="dxa"/>
              <w:right w:w="-1" w:type="dxa"/>
            </w:tcMar>
            <w:vAlign w:val="center"/>
          </w:tcPr>
          <w:p w14:paraId="4F6A884A"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0.134</w:t>
            </w:r>
          </w:p>
        </w:tc>
        <w:tc>
          <w:tcPr>
            <w:tcW w:w="640" w:type="pct"/>
            <w:tcBorders>
              <w:top w:val="nil"/>
              <w:left w:val="nil"/>
              <w:bottom w:val="nil"/>
              <w:right w:val="nil"/>
            </w:tcBorders>
            <w:tcMar>
              <w:top w:w="-1" w:type="dxa"/>
              <w:left w:w="-1" w:type="dxa"/>
              <w:bottom w:w="-1" w:type="dxa"/>
              <w:right w:w="-1" w:type="dxa"/>
            </w:tcMar>
            <w:vAlign w:val="center"/>
          </w:tcPr>
          <w:p w14:paraId="44FB502E"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0.600 (0.283–1.270)</w:t>
            </w:r>
          </w:p>
        </w:tc>
        <w:tc>
          <w:tcPr>
            <w:tcW w:w="306" w:type="pct"/>
            <w:tcBorders>
              <w:top w:val="nil"/>
              <w:left w:val="nil"/>
              <w:bottom w:val="nil"/>
              <w:right w:val="nil"/>
            </w:tcBorders>
            <w:tcMar>
              <w:top w:w="-1" w:type="dxa"/>
              <w:left w:w="-1" w:type="dxa"/>
              <w:bottom w:w="-1" w:type="dxa"/>
              <w:right w:w="-1" w:type="dxa"/>
            </w:tcMar>
            <w:vAlign w:val="center"/>
          </w:tcPr>
          <w:p w14:paraId="783FD19E"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0.182</w:t>
            </w:r>
          </w:p>
        </w:tc>
      </w:tr>
      <w:tr w:rsidR="00AF5801" w:rsidRPr="00D6590B" w14:paraId="7FFC53EF" w14:textId="77777777">
        <w:trPr>
          <w:jc w:val="center"/>
        </w:trPr>
        <w:tc>
          <w:tcPr>
            <w:tcW w:w="2157" w:type="pct"/>
            <w:tcBorders>
              <w:top w:val="nil"/>
              <w:left w:val="nil"/>
              <w:bottom w:val="nil"/>
              <w:right w:val="nil"/>
            </w:tcBorders>
            <w:tcMar>
              <w:top w:w="-1" w:type="dxa"/>
              <w:left w:w="-1" w:type="dxa"/>
              <w:bottom w:w="-1" w:type="dxa"/>
              <w:right w:w="-1" w:type="dxa"/>
            </w:tcMar>
            <w:vAlign w:val="center"/>
          </w:tcPr>
          <w:p w14:paraId="60E5C82C"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Near-work time, per 1-h/day increase</w:t>
            </w:r>
          </w:p>
        </w:tc>
        <w:tc>
          <w:tcPr>
            <w:tcW w:w="640" w:type="pct"/>
            <w:tcBorders>
              <w:top w:val="nil"/>
              <w:left w:val="nil"/>
              <w:bottom w:val="nil"/>
              <w:right w:val="nil"/>
            </w:tcBorders>
            <w:tcMar>
              <w:top w:w="-1" w:type="dxa"/>
              <w:left w:w="-1" w:type="dxa"/>
              <w:bottom w:w="-1" w:type="dxa"/>
              <w:right w:w="-1" w:type="dxa"/>
            </w:tcMar>
            <w:vAlign w:val="center"/>
          </w:tcPr>
          <w:p w14:paraId="6A3D2489"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1.580 (1.084–2.303)</w:t>
            </w:r>
          </w:p>
        </w:tc>
        <w:tc>
          <w:tcPr>
            <w:tcW w:w="306" w:type="pct"/>
            <w:tcBorders>
              <w:top w:val="nil"/>
              <w:left w:val="nil"/>
              <w:bottom w:val="nil"/>
              <w:right w:val="nil"/>
            </w:tcBorders>
            <w:tcMar>
              <w:top w:w="-1" w:type="dxa"/>
              <w:left w:w="-1" w:type="dxa"/>
              <w:bottom w:w="-1" w:type="dxa"/>
              <w:right w:w="-1" w:type="dxa"/>
            </w:tcMar>
            <w:vAlign w:val="center"/>
          </w:tcPr>
          <w:p w14:paraId="46AF92D5"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0.017</w:t>
            </w:r>
          </w:p>
        </w:tc>
        <w:tc>
          <w:tcPr>
            <w:tcW w:w="640" w:type="pct"/>
            <w:tcBorders>
              <w:top w:val="nil"/>
              <w:left w:val="nil"/>
              <w:bottom w:val="nil"/>
              <w:right w:val="nil"/>
            </w:tcBorders>
            <w:tcMar>
              <w:top w:w="-1" w:type="dxa"/>
              <w:left w:w="-1" w:type="dxa"/>
              <w:bottom w:w="-1" w:type="dxa"/>
              <w:right w:w="-1" w:type="dxa"/>
            </w:tcMar>
            <w:vAlign w:val="center"/>
          </w:tcPr>
          <w:p w14:paraId="58A0C0E8"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1.087 (0.715–1.655)</w:t>
            </w:r>
          </w:p>
        </w:tc>
        <w:tc>
          <w:tcPr>
            <w:tcW w:w="306" w:type="pct"/>
            <w:tcBorders>
              <w:top w:val="nil"/>
              <w:left w:val="nil"/>
              <w:bottom w:val="nil"/>
              <w:right w:val="nil"/>
            </w:tcBorders>
            <w:tcMar>
              <w:top w:w="-1" w:type="dxa"/>
              <w:left w:w="-1" w:type="dxa"/>
              <w:bottom w:w="-1" w:type="dxa"/>
              <w:right w:w="-1" w:type="dxa"/>
            </w:tcMar>
            <w:vAlign w:val="center"/>
          </w:tcPr>
          <w:p w14:paraId="2A1561B8"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0.695</w:t>
            </w:r>
          </w:p>
        </w:tc>
        <w:tc>
          <w:tcPr>
            <w:tcW w:w="640" w:type="pct"/>
            <w:tcBorders>
              <w:top w:val="nil"/>
              <w:left w:val="nil"/>
              <w:bottom w:val="nil"/>
              <w:right w:val="nil"/>
            </w:tcBorders>
            <w:tcMar>
              <w:top w:w="-1" w:type="dxa"/>
              <w:left w:w="-1" w:type="dxa"/>
              <w:bottom w:w="-1" w:type="dxa"/>
              <w:right w:w="-1" w:type="dxa"/>
            </w:tcMar>
            <w:vAlign w:val="center"/>
          </w:tcPr>
          <w:p w14:paraId="115296BB"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0.945 (0.414–2.160)</w:t>
            </w:r>
          </w:p>
        </w:tc>
        <w:tc>
          <w:tcPr>
            <w:tcW w:w="306" w:type="pct"/>
            <w:tcBorders>
              <w:top w:val="nil"/>
              <w:left w:val="nil"/>
              <w:bottom w:val="nil"/>
              <w:right w:val="nil"/>
            </w:tcBorders>
            <w:tcMar>
              <w:top w:w="-1" w:type="dxa"/>
              <w:left w:w="-1" w:type="dxa"/>
              <w:bottom w:w="-1" w:type="dxa"/>
              <w:right w:w="-1" w:type="dxa"/>
            </w:tcMar>
            <w:vAlign w:val="center"/>
          </w:tcPr>
          <w:p w14:paraId="286D30F8"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0.894</w:t>
            </w:r>
          </w:p>
        </w:tc>
      </w:tr>
      <w:tr w:rsidR="00AF5801" w:rsidRPr="00D6590B" w14:paraId="6EAB2C9A" w14:textId="77777777">
        <w:trPr>
          <w:jc w:val="center"/>
        </w:trPr>
        <w:tc>
          <w:tcPr>
            <w:tcW w:w="2157" w:type="pct"/>
            <w:tcBorders>
              <w:top w:val="nil"/>
              <w:left w:val="nil"/>
              <w:bottom w:val="nil"/>
              <w:right w:val="nil"/>
            </w:tcBorders>
            <w:tcMar>
              <w:top w:w="-1" w:type="dxa"/>
              <w:left w:w="-1" w:type="dxa"/>
              <w:bottom w:w="-1" w:type="dxa"/>
              <w:right w:w="-1" w:type="dxa"/>
            </w:tcMar>
            <w:vAlign w:val="center"/>
          </w:tcPr>
          <w:p w14:paraId="0E2D00B9"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Screen time, per 1-h/day increase</w:t>
            </w:r>
          </w:p>
        </w:tc>
        <w:tc>
          <w:tcPr>
            <w:tcW w:w="640" w:type="pct"/>
            <w:tcBorders>
              <w:top w:val="nil"/>
              <w:left w:val="nil"/>
              <w:bottom w:val="nil"/>
              <w:right w:val="nil"/>
            </w:tcBorders>
            <w:tcMar>
              <w:top w:w="-1" w:type="dxa"/>
              <w:left w:w="-1" w:type="dxa"/>
              <w:bottom w:w="-1" w:type="dxa"/>
              <w:right w:w="-1" w:type="dxa"/>
            </w:tcMar>
            <w:vAlign w:val="center"/>
          </w:tcPr>
          <w:p w14:paraId="6F816749"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1.319 (0.816–2.132)</w:t>
            </w:r>
          </w:p>
        </w:tc>
        <w:tc>
          <w:tcPr>
            <w:tcW w:w="306" w:type="pct"/>
            <w:tcBorders>
              <w:top w:val="nil"/>
              <w:left w:val="nil"/>
              <w:bottom w:val="nil"/>
              <w:right w:val="nil"/>
            </w:tcBorders>
            <w:tcMar>
              <w:top w:w="-1" w:type="dxa"/>
              <w:left w:w="-1" w:type="dxa"/>
              <w:bottom w:w="-1" w:type="dxa"/>
              <w:right w:w="-1" w:type="dxa"/>
            </w:tcMar>
            <w:vAlign w:val="center"/>
          </w:tcPr>
          <w:p w14:paraId="5264508F"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0.259</w:t>
            </w:r>
          </w:p>
        </w:tc>
        <w:tc>
          <w:tcPr>
            <w:tcW w:w="640" w:type="pct"/>
            <w:tcBorders>
              <w:top w:val="nil"/>
              <w:left w:val="nil"/>
              <w:bottom w:val="nil"/>
              <w:right w:val="nil"/>
            </w:tcBorders>
            <w:tcMar>
              <w:top w:w="-1" w:type="dxa"/>
              <w:left w:w="-1" w:type="dxa"/>
              <w:bottom w:w="-1" w:type="dxa"/>
              <w:right w:w="-1" w:type="dxa"/>
            </w:tcMar>
            <w:vAlign w:val="center"/>
          </w:tcPr>
          <w:p w14:paraId="6D734D4C"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0.777 (0.449–1.346)</w:t>
            </w:r>
          </w:p>
        </w:tc>
        <w:tc>
          <w:tcPr>
            <w:tcW w:w="306" w:type="pct"/>
            <w:tcBorders>
              <w:top w:val="nil"/>
              <w:left w:val="nil"/>
              <w:bottom w:val="nil"/>
              <w:right w:val="nil"/>
            </w:tcBorders>
            <w:tcMar>
              <w:top w:w="-1" w:type="dxa"/>
              <w:left w:w="-1" w:type="dxa"/>
              <w:bottom w:w="-1" w:type="dxa"/>
              <w:right w:w="-1" w:type="dxa"/>
            </w:tcMar>
            <w:vAlign w:val="center"/>
          </w:tcPr>
          <w:p w14:paraId="7B694428"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0.368</w:t>
            </w:r>
          </w:p>
        </w:tc>
        <w:tc>
          <w:tcPr>
            <w:tcW w:w="640" w:type="pct"/>
            <w:tcBorders>
              <w:top w:val="nil"/>
              <w:left w:val="nil"/>
              <w:bottom w:val="nil"/>
              <w:right w:val="nil"/>
            </w:tcBorders>
            <w:tcMar>
              <w:top w:w="-1" w:type="dxa"/>
              <w:left w:w="-1" w:type="dxa"/>
              <w:bottom w:w="-1" w:type="dxa"/>
              <w:right w:w="-1" w:type="dxa"/>
            </w:tcMar>
            <w:vAlign w:val="center"/>
          </w:tcPr>
          <w:p w14:paraId="1068B3F0"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0.911 (0.413–2.011)</w:t>
            </w:r>
          </w:p>
        </w:tc>
        <w:tc>
          <w:tcPr>
            <w:tcW w:w="306" w:type="pct"/>
            <w:tcBorders>
              <w:top w:val="nil"/>
              <w:left w:val="nil"/>
              <w:bottom w:val="nil"/>
              <w:right w:val="nil"/>
            </w:tcBorders>
            <w:tcMar>
              <w:top w:w="-1" w:type="dxa"/>
              <w:left w:w="-1" w:type="dxa"/>
              <w:bottom w:w="-1" w:type="dxa"/>
              <w:right w:w="-1" w:type="dxa"/>
            </w:tcMar>
            <w:vAlign w:val="center"/>
          </w:tcPr>
          <w:p w14:paraId="1BCBA5FA"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0.818</w:t>
            </w:r>
          </w:p>
        </w:tc>
      </w:tr>
      <w:tr w:rsidR="00AF5801" w:rsidRPr="00D6590B" w14:paraId="6B8FFE74" w14:textId="77777777">
        <w:trPr>
          <w:jc w:val="center"/>
        </w:trPr>
        <w:tc>
          <w:tcPr>
            <w:tcW w:w="2157" w:type="pct"/>
            <w:tcBorders>
              <w:top w:val="nil"/>
              <w:left w:val="nil"/>
              <w:bottom w:val="nil"/>
              <w:right w:val="nil"/>
            </w:tcBorders>
            <w:tcMar>
              <w:top w:w="-1" w:type="dxa"/>
              <w:left w:w="-1" w:type="dxa"/>
              <w:bottom w:w="-1" w:type="dxa"/>
              <w:right w:w="-1" w:type="dxa"/>
            </w:tcMar>
            <w:vAlign w:val="center"/>
          </w:tcPr>
          <w:p w14:paraId="37DB0668"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Moderate adherence vs low adherence</w:t>
            </w:r>
          </w:p>
        </w:tc>
        <w:tc>
          <w:tcPr>
            <w:tcW w:w="640" w:type="pct"/>
            <w:tcBorders>
              <w:top w:val="nil"/>
              <w:left w:val="nil"/>
              <w:bottom w:val="nil"/>
              <w:right w:val="nil"/>
            </w:tcBorders>
            <w:tcMar>
              <w:top w:w="-1" w:type="dxa"/>
              <w:left w:w="-1" w:type="dxa"/>
              <w:bottom w:w="-1" w:type="dxa"/>
              <w:right w:w="-1" w:type="dxa"/>
            </w:tcMar>
            <w:vAlign w:val="center"/>
          </w:tcPr>
          <w:p w14:paraId="6891A45D"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0.214 (0.077–0.599)</w:t>
            </w:r>
          </w:p>
        </w:tc>
        <w:tc>
          <w:tcPr>
            <w:tcW w:w="306" w:type="pct"/>
            <w:tcBorders>
              <w:top w:val="nil"/>
              <w:left w:val="nil"/>
              <w:bottom w:val="nil"/>
              <w:right w:val="nil"/>
            </w:tcBorders>
            <w:tcMar>
              <w:top w:w="-1" w:type="dxa"/>
              <w:left w:w="-1" w:type="dxa"/>
              <w:bottom w:w="-1" w:type="dxa"/>
              <w:right w:w="-1" w:type="dxa"/>
            </w:tcMar>
            <w:vAlign w:val="center"/>
          </w:tcPr>
          <w:p w14:paraId="365B62CC"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0.003</w:t>
            </w:r>
          </w:p>
        </w:tc>
        <w:tc>
          <w:tcPr>
            <w:tcW w:w="640" w:type="pct"/>
            <w:tcBorders>
              <w:top w:val="nil"/>
              <w:left w:val="nil"/>
              <w:bottom w:val="nil"/>
              <w:right w:val="nil"/>
            </w:tcBorders>
            <w:tcMar>
              <w:top w:w="-1" w:type="dxa"/>
              <w:left w:w="-1" w:type="dxa"/>
              <w:bottom w:w="-1" w:type="dxa"/>
              <w:right w:w="-1" w:type="dxa"/>
            </w:tcMar>
            <w:vAlign w:val="center"/>
          </w:tcPr>
          <w:p w14:paraId="6AE9EBDF"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0.191 (0.066–0.555)</w:t>
            </w:r>
          </w:p>
        </w:tc>
        <w:tc>
          <w:tcPr>
            <w:tcW w:w="306" w:type="pct"/>
            <w:tcBorders>
              <w:top w:val="nil"/>
              <w:left w:val="nil"/>
              <w:bottom w:val="nil"/>
              <w:right w:val="nil"/>
            </w:tcBorders>
            <w:tcMar>
              <w:top w:w="-1" w:type="dxa"/>
              <w:left w:w="-1" w:type="dxa"/>
              <w:bottom w:w="-1" w:type="dxa"/>
              <w:right w:w="-1" w:type="dxa"/>
            </w:tcMar>
            <w:vAlign w:val="center"/>
          </w:tcPr>
          <w:p w14:paraId="2B0AB9F5"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0.002</w:t>
            </w:r>
          </w:p>
        </w:tc>
        <w:tc>
          <w:tcPr>
            <w:tcW w:w="640" w:type="pct"/>
            <w:tcBorders>
              <w:top w:val="nil"/>
              <w:left w:val="nil"/>
              <w:bottom w:val="nil"/>
              <w:right w:val="nil"/>
            </w:tcBorders>
            <w:tcMar>
              <w:top w:w="-1" w:type="dxa"/>
              <w:left w:w="-1" w:type="dxa"/>
              <w:bottom w:w="-1" w:type="dxa"/>
              <w:right w:w="-1" w:type="dxa"/>
            </w:tcMar>
            <w:vAlign w:val="center"/>
          </w:tcPr>
          <w:p w14:paraId="558CADDD"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0.229 (0.075–0.701)</w:t>
            </w:r>
          </w:p>
        </w:tc>
        <w:tc>
          <w:tcPr>
            <w:tcW w:w="306" w:type="pct"/>
            <w:tcBorders>
              <w:top w:val="nil"/>
              <w:left w:val="nil"/>
              <w:bottom w:val="nil"/>
              <w:right w:val="nil"/>
            </w:tcBorders>
            <w:tcMar>
              <w:top w:w="-1" w:type="dxa"/>
              <w:left w:w="-1" w:type="dxa"/>
              <w:bottom w:w="-1" w:type="dxa"/>
              <w:right w:w="-1" w:type="dxa"/>
            </w:tcMar>
            <w:vAlign w:val="center"/>
          </w:tcPr>
          <w:p w14:paraId="10F6EA87"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0.010</w:t>
            </w:r>
          </w:p>
        </w:tc>
      </w:tr>
      <w:tr w:rsidR="00AF5801" w:rsidRPr="00D6590B" w14:paraId="73401668" w14:textId="77777777">
        <w:trPr>
          <w:jc w:val="center"/>
        </w:trPr>
        <w:tc>
          <w:tcPr>
            <w:tcW w:w="2157" w:type="pct"/>
            <w:tcBorders>
              <w:top w:val="nil"/>
              <w:left w:val="nil"/>
              <w:bottom w:val="nil"/>
              <w:right w:val="nil"/>
            </w:tcBorders>
            <w:tcMar>
              <w:top w:w="-1" w:type="dxa"/>
              <w:left w:w="-1" w:type="dxa"/>
              <w:bottom w:w="-1" w:type="dxa"/>
              <w:right w:w="-1" w:type="dxa"/>
            </w:tcMar>
            <w:vAlign w:val="center"/>
          </w:tcPr>
          <w:p w14:paraId="0E2197F0"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High adherence vs low adherence</w:t>
            </w:r>
          </w:p>
        </w:tc>
        <w:tc>
          <w:tcPr>
            <w:tcW w:w="640" w:type="pct"/>
            <w:tcBorders>
              <w:top w:val="nil"/>
              <w:left w:val="nil"/>
              <w:bottom w:val="nil"/>
              <w:right w:val="nil"/>
            </w:tcBorders>
            <w:tcMar>
              <w:top w:w="-1" w:type="dxa"/>
              <w:left w:w="-1" w:type="dxa"/>
              <w:bottom w:w="-1" w:type="dxa"/>
              <w:right w:w="-1" w:type="dxa"/>
            </w:tcMar>
            <w:vAlign w:val="center"/>
          </w:tcPr>
          <w:p w14:paraId="39CE85F7"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0.066 (0.022–0.203)</w:t>
            </w:r>
          </w:p>
        </w:tc>
        <w:tc>
          <w:tcPr>
            <w:tcW w:w="306" w:type="pct"/>
            <w:tcBorders>
              <w:top w:val="nil"/>
              <w:left w:val="nil"/>
              <w:bottom w:val="nil"/>
              <w:right w:val="nil"/>
            </w:tcBorders>
            <w:tcMar>
              <w:top w:w="-1" w:type="dxa"/>
              <w:left w:w="-1" w:type="dxa"/>
              <w:bottom w:w="-1" w:type="dxa"/>
              <w:right w:w="-1" w:type="dxa"/>
            </w:tcMar>
            <w:vAlign w:val="center"/>
          </w:tcPr>
          <w:p w14:paraId="42F61BEA"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&lt;0.001</w:t>
            </w:r>
          </w:p>
        </w:tc>
        <w:tc>
          <w:tcPr>
            <w:tcW w:w="640" w:type="pct"/>
            <w:tcBorders>
              <w:top w:val="nil"/>
              <w:left w:val="nil"/>
              <w:bottom w:val="nil"/>
              <w:right w:val="nil"/>
            </w:tcBorders>
            <w:tcMar>
              <w:top w:w="-1" w:type="dxa"/>
              <w:left w:w="-1" w:type="dxa"/>
              <w:bottom w:w="-1" w:type="dxa"/>
              <w:right w:w="-1" w:type="dxa"/>
            </w:tcMar>
            <w:vAlign w:val="center"/>
          </w:tcPr>
          <w:p w14:paraId="7699A8E9"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0.110 (0.039–0.309)</w:t>
            </w:r>
          </w:p>
        </w:tc>
        <w:tc>
          <w:tcPr>
            <w:tcW w:w="306" w:type="pct"/>
            <w:tcBorders>
              <w:top w:val="nil"/>
              <w:left w:val="nil"/>
              <w:bottom w:val="nil"/>
              <w:right w:val="nil"/>
            </w:tcBorders>
            <w:tcMar>
              <w:top w:w="-1" w:type="dxa"/>
              <w:left w:w="-1" w:type="dxa"/>
              <w:bottom w:w="-1" w:type="dxa"/>
              <w:right w:w="-1" w:type="dxa"/>
            </w:tcMar>
            <w:vAlign w:val="center"/>
          </w:tcPr>
          <w:p w14:paraId="7FF1E8BA"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&lt;0.001</w:t>
            </w:r>
          </w:p>
        </w:tc>
        <w:tc>
          <w:tcPr>
            <w:tcW w:w="640" w:type="pct"/>
            <w:tcBorders>
              <w:top w:val="nil"/>
              <w:left w:val="nil"/>
              <w:bottom w:val="nil"/>
              <w:right w:val="nil"/>
            </w:tcBorders>
            <w:tcMar>
              <w:top w:w="-1" w:type="dxa"/>
              <w:left w:w="-1" w:type="dxa"/>
              <w:bottom w:w="-1" w:type="dxa"/>
              <w:right w:w="-1" w:type="dxa"/>
            </w:tcMar>
            <w:vAlign w:val="center"/>
          </w:tcPr>
          <w:p w14:paraId="7E7A31F6"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0.060 (0.015–0.243)</w:t>
            </w:r>
          </w:p>
        </w:tc>
        <w:tc>
          <w:tcPr>
            <w:tcW w:w="306" w:type="pct"/>
            <w:tcBorders>
              <w:top w:val="nil"/>
              <w:left w:val="nil"/>
              <w:bottom w:val="nil"/>
              <w:right w:val="nil"/>
            </w:tcBorders>
            <w:tcMar>
              <w:top w:w="-1" w:type="dxa"/>
              <w:left w:w="-1" w:type="dxa"/>
              <w:bottom w:w="-1" w:type="dxa"/>
              <w:right w:w="-1" w:type="dxa"/>
            </w:tcMar>
            <w:vAlign w:val="center"/>
          </w:tcPr>
          <w:p w14:paraId="30DB9717" w14:textId="77777777" w:rsidR="00AF5801" w:rsidRPr="00D6590B" w:rsidRDefault="00000000">
            <w:pPr>
              <w:widowControl/>
              <w:snapToGrid w:val="0"/>
              <w:jc w:val="center"/>
              <w:textAlignment w:val="center"/>
              <w:rPr>
                <w:rFonts w:ascii="Times New Roman" w:eastAsia="宋体" w:hAnsi="Times New Roman" w:cs="Times New Roman"/>
                <w:color w:val="000000" w:themeColor="text1"/>
                <w:sz w:val="24"/>
              </w:rPr>
            </w:pPr>
            <w:r w:rsidRPr="00D6590B">
              <w:rPr>
                <w:rFonts w:ascii="Times New Roman" w:eastAsia="宋体" w:hAnsi="Times New Roman" w:cs="Times New Roman"/>
                <w:color w:val="000000" w:themeColor="text1"/>
                <w:kern w:val="0"/>
                <w:sz w:val="24"/>
                <w:lang w:bidi="ar"/>
              </w:rPr>
              <w:t>&lt;0.001</w:t>
            </w:r>
          </w:p>
        </w:tc>
      </w:tr>
      <w:tr w:rsidR="00AF5801" w:rsidRPr="00D6590B" w14:paraId="300B72F2" w14:textId="77777777">
        <w:trPr>
          <w:jc w:val="center"/>
        </w:trPr>
        <w:tc>
          <w:tcPr>
            <w:tcW w:w="2157" w:type="pct"/>
            <w:tcBorders>
              <w:top w:val="nil"/>
              <w:left w:val="nil"/>
              <w:bottom w:val="single" w:sz="12" w:space="0" w:color="auto"/>
              <w:right w:val="nil"/>
            </w:tcBorders>
            <w:tcMar>
              <w:top w:w="-1" w:type="dxa"/>
              <w:left w:w="-1" w:type="dxa"/>
              <w:bottom w:w="-1" w:type="dxa"/>
              <w:right w:w="-1" w:type="dxa"/>
            </w:tcMar>
            <w:vAlign w:val="center"/>
          </w:tcPr>
          <w:p w14:paraId="7CA897CD" w14:textId="77777777" w:rsidR="00AF5801" w:rsidRPr="00D6590B" w:rsidRDefault="00AF5801">
            <w:pPr>
              <w:snapToGrid w:val="0"/>
              <w:jc w:val="center"/>
              <w:rPr>
                <w:rFonts w:ascii="Times New Roman" w:eastAsia="宋体" w:hAnsi="Times New Roman" w:cs="Times New Roman"/>
                <w:color w:val="000000" w:themeColor="text1"/>
                <w:sz w:val="24"/>
              </w:rPr>
            </w:pPr>
          </w:p>
        </w:tc>
        <w:tc>
          <w:tcPr>
            <w:tcW w:w="640" w:type="pct"/>
            <w:tcBorders>
              <w:top w:val="nil"/>
              <w:left w:val="nil"/>
              <w:bottom w:val="single" w:sz="12" w:space="0" w:color="auto"/>
              <w:right w:val="nil"/>
            </w:tcBorders>
            <w:tcMar>
              <w:top w:w="-1" w:type="dxa"/>
              <w:left w:w="-1" w:type="dxa"/>
              <w:bottom w:w="-1" w:type="dxa"/>
              <w:right w:w="-1" w:type="dxa"/>
            </w:tcMar>
            <w:vAlign w:val="center"/>
          </w:tcPr>
          <w:p w14:paraId="6AD495C5" w14:textId="77777777" w:rsidR="00AF5801" w:rsidRPr="00D6590B" w:rsidRDefault="00AF5801">
            <w:pPr>
              <w:snapToGrid w:val="0"/>
              <w:jc w:val="center"/>
              <w:rPr>
                <w:rFonts w:ascii="Times New Roman" w:eastAsia="宋体" w:hAnsi="Times New Roman" w:cs="Times New Roman"/>
                <w:color w:val="000000" w:themeColor="text1"/>
                <w:sz w:val="24"/>
              </w:rPr>
            </w:pPr>
          </w:p>
        </w:tc>
        <w:tc>
          <w:tcPr>
            <w:tcW w:w="306" w:type="pct"/>
            <w:tcBorders>
              <w:top w:val="nil"/>
              <w:left w:val="nil"/>
              <w:bottom w:val="single" w:sz="12" w:space="0" w:color="auto"/>
              <w:right w:val="nil"/>
            </w:tcBorders>
            <w:tcMar>
              <w:top w:w="-1" w:type="dxa"/>
              <w:left w:w="-1" w:type="dxa"/>
              <w:bottom w:w="-1" w:type="dxa"/>
              <w:right w:w="-1" w:type="dxa"/>
            </w:tcMar>
            <w:vAlign w:val="center"/>
          </w:tcPr>
          <w:p w14:paraId="7882A1F8" w14:textId="77777777" w:rsidR="00AF5801" w:rsidRPr="00D6590B" w:rsidRDefault="00AF5801">
            <w:pPr>
              <w:snapToGrid w:val="0"/>
              <w:jc w:val="center"/>
              <w:rPr>
                <w:rFonts w:ascii="Times New Roman" w:eastAsia="宋体" w:hAnsi="Times New Roman" w:cs="Times New Roman"/>
                <w:color w:val="000000" w:themeColor="text1"/>
                <w:sz w:val="24"/>
              </w:rPr>
            </w:pPr>
          </w:p>
        </w:tc>
        <w:tc>
          <w:tcPr>
            <w:tcW w:w="640" w:type="pct"/>
            <w:tcBorders>
              <w:top w:val="nil"/>
              <w:left w:val="nil"/>
              <w:bottom w:val="single" w:sz="12" w:space="0" w:color="auto"/>
              <w:right w:val="nil"/>
            </w:tcBorders>
            <w:tcMar>
              <w:top w:w="-1" w:type="dxa"/>
              <w:left w:w="-1" w:type="dxa"/>
              <w:bottom w:w="-1" w:type="dxa"/>
              <w:right w:w="-1" w:type="dxa"/>
            </w:tcMar>
            <w:vAlign w:val="center"/>
          </w:tcPr>
          <w:p w14:paraId="468CAD97" w14:textId="77777777" w:rsidR="00AF5801" w:rsidRPr="00D6590B" w:rsidRDefault="00AF5801">
            <w:pPr>
              <w:snapToGrid w:val="0"/>
              <w:jc w:val="center"/>
              <w:rPr>
                <w:rFonts w:ascii="Times New Roman" w:eastAsia="宋体" w:hAnsi="Times New Roman" w:cs="Times New Roman"/>
                <w:color w:val="000000" w:themeColor="text1"/>
                <w:sz w:val="24"/>
              </w:rPr>
            </w:pPr>
          </w:p>
        </w:tc>
        <w:tc>
          <w:tcPr>
            <w:tcW w:w="306" w:type="pct"/>
            <w:tcBorders>
              <w:top w:val="nil"/>
              <w:left w:val="nil"/>
              <w:bottom w:val="single" w:sz="12" w:space="0" w:color="auto"/>
              <w:right w:val="nil"/>
            </w:tcBorders>
            <w:tcMar>
              <w:top w:w="-1" w:type="dxa"/>
              <w:left w:w="-1" w:type="dxa"/>
              <w:bottom w:w="-1" w:type="dxa"/>
              <w:right w:w="-1" w:type="dxa"/>
            </w:tcMar>
            <w:vAlign w:val="center"/>
          </w:tcPr>
          <w:p w14:paraId="1DEC557F" w14:textId="77777777" w:rsidR="00AF5801" w:rsidRPr="00D6590B" w:rsidRDefault="00AF5801">
            <w:pPr>
              <w:snapToGrid w:val="0"/>
              <w:jc w:val="center"/>
              <w:rPr>
                <w:rFonts w:ascii="Times New Roman" w:eastAsia="宋体" w:hAnsi="Times New Roman" w:cs="Times New Roman"/>
                <w:color w:val="000000" w:themeColor="text1"/>
                <w:sz w:val="24"/>
              </w:rPr>
            </w:pPr>
          </w:p>
        </w:tc>
        <w:tc>
          <w:tcPr>
            <w:tcW w:w="640" w:type="pct"/>
            <w:tcBorders>
              <w:top w:val="nil"/>
              <w:left w:val="nil"/>
              <w:bottom w:val="single" w:sz="12" w:space="0" w:color="auto"/>
              <w:right w:val="nil"/>
            </w:tcBorders>
            <w:tcMar>
              <w:top w:w="-1" w:type="dxa"/>
              <w:left w:w="-1" w:type="dxa"/>
              <w:bottom w:w="-1" w:type="dxa"/>
              <w:right w:w="-1" w:type="dxa"/>
            </w:tcMar>
            <w:vAlign w:val="center"/>
          </w:tcPr>
          <w:p w14:paraId="0E98A23C" w14:textId="77777777" w:rsidR="00AF5801" w:rsidRPr="00D6590B" w:rsidRDefault="00AF5801">
            <w:pPr>
              <w:snapToGrid w:val="0"/>
              <w:jc w:val="center"/>
              <w:rPr>
                <w:rFonts w:ascii="Times New Roman" w:eastAsia="宋体" w:hAnsi="Times New Roman" w:cs="Times New Roman"/>
                <w:color w:val="000000" w:themeColor="text1"/>
                <w:sz w:val="24"/>
              </w:rPr>
            </w:pPr>
          </w:p>
        </w:tc>
        <w:tc>
          <w:tcPr>
            <w:tcW w:w="306" w:type="pct"/>
            <w:tcBorders>
              <w:top w:val="nil"/>
              <w:left w:val="nil"/>
              <w:bottom w:val="single" w:sz="12" w:space="0" w:color="auto"/>
              <w:right w:val="nil"/>
            </w:tcBorders>
            <w:tcMar>
              <w:top w:w="-1" w:type="dxa"/>
              <w:left w:w="-1" w:type="dxa"/>
              <w:bottom w:w="-1" w:type="dxa"/>
              <w:right w:w="-1" w:type="dxa"/>
            </w:tcMar>
            <w:vAlign w:val="center"/>
          </w:tcPr>
          <w:p w14:paraId="10949B03" w14:textId="77777777" w:rsidR="00AF5801" w:rsidRPr="00D6590B" w:rsidRDefault="00AF5801">
            <w:pPr>
              <w:snapToGrid w:val="0"/>
              <w:jc w:val="center"/>
              <w:rPr>
                <w:rFonts w:ascii="Times New Roman" w:eastAsia="宋体" w:hAnsi="Times New Roman" w:cs="Times New Roman"/>
                <w:color w:val="000000" w:themeColor="text1"/>
                <w:sz w:val="24"/>
              </w:rPr>
            </w:pPr>
          </w:p>
        </w:tc>
      </w:tr>
    </w:tbl>
    <w:p w14:paraId="42D0E8F5" w14:textId="7CCA0574" w:rsidR="00AF5801" w:rsidRPr="00D6590B" w:rsidRDefault="00000000" w:rsidP="00D6590B">
      <w:pPr>
        <w:autoSpaceDE w:val="0"/>
        <w:autoSpaceDN w:val="0"/>
        <w:adjustRightInd w:val="0"/>
        <w:spacing w:line="360" w:lineRule="auto"/>
        <w:rPr>
          <w:rFonts w:ascii="Times New Roman" w:eastAsia="宋体" w:hAnsi="Times New Roman" w:cs="Times New Roman" w:hint="eastAsia"/>
          <w:color w:val="000000" w:themeColor="text1"/>
          <w:sz w:val="24"/>
        </w:rPr>
      </w:pPr>
      <w:r w:rsidRPr="00D6590B">
        <w:rPr>
          <w:rStyle w:val="a8"/>
          <w:rFonts w:ascii="Times New Roman" w:eastAsia="宋体" w:hAnsi="Times New Roman" w:cs="Times New Roman"/>
          <w:color w:val="000000" w:themeColor="text1"/>
          <w:sz w:val="24"/>
        </w:rPr>
        <w:lastRenderedPageBreak/>
        <w:t>Note:</w:t>
      </w:r>
      <w:r w:rsidRPr="00D6590B">
        <w:rPr>
          <w:rFonts w:ascii="Times New Roman" w:eastAsia="宋体" w:hAnsi="Times New Roman" w:cs="Times New Roman"/>
          <w:color w:val="000000" w:themeColor="text1"/>
          <w:sz w:val="24"/>
        </w:rPr>
        <w:t xml:space="preserve"> Rapid axial length growth was defined using thresholds of ≥0.25, ≥0.30, and ≥0.35 mm/year. All models were fitted using generalized estimating equations with a binomial distribution, logit link function, exchangeable working correlation structure, and robust sandwich standard errors to account for inter-eye correlation. The same covariates were included in each model. Single-vision spectacle lenses, male sex, and low adherence were used as the reference categories. OR, odds ratio; CI, confidence interval; CVI, choroidal vascularity index.</w:t>
      </w:r>
    </w:p>
    <w:sectPr w:rsidR="00AF5801" w:rsidRPr="00D6590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A92D6" w14:textId="77777777" w:rsidR="00E83D07" w:rsidRDefault="00E83D07" w:rsidP="00D6590B">
      <w:r>
        <w:separator/>
      </w:r>
    </w:p>
  </w:endnote>
  <w:endnote w:type="continuationSeparator" w:id="0">
    <w:p w14:paraId="01086C20" w14:textId="77777777" w:rsidR="00E83D07" w:rsidRDefault="00E83D07" w:rsidP="00D659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95789" w14:textId="77777777" w:rsidR="00E83D07" w:rsidRDefault="00E83D07" w:rsidP="00D6590B">
      <w:r>
        <w:separator/>
      </w:r>
    </w:p>
  </w:footnote>
  <w:footnote w:type="continuationSeparator" w:id="0">
    <w:p w14:paraId="157A104E" w14:textId="77777777" w:rsidR="00E83D07" w:rsidRDefault="00E83D07" w:rsidP="00D6590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documentProtection w:edit="readOnly" w:enforcement="0"/>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 ADDIN NE.CacheBib" w:val="{\rtf1\ansi\ansicpg936\pard\plain{\fonttbl{\f0\fnil\fcharset0\fprq2 Times New Roman;}}{\colortbl;\red0\green0\blue0;}\par\pard\plain \qc{\f0\fs40\b\cf1 References:}\par\pard\plain \qj{\f0\fs20\cf1  }{\f0\fs20\cf1 [}{\f0\fs20\cf1 1}{\f0\fs20\cf1 ].\tab }{\bkmkstart _neb54CC308D_E8D4_4775_9858_B66540759969}{\f0\fs20\cf1 Liang, J.}{\f0\fs20\cf1 , et al.}{\f0\fs20\cf1 , }{\f0\fs20\cf1 Global prevalence, trend and projection of myopia in children and adolescents  from 1990 to 2050: a comprehensive systematic review and meta-analysis}{\f0\fs20\cf1 . }{\f0\fs20\cf1 Br J Ophthalmol}{\f0\fs20\cf1 , }{\f0\fs20\cf1 2025}{\f0\fs20\cf1 . }{\f0\fs20\cf1 109}{\f0\fs20\cf1 (}{\f0\fs20\cf1 3}{\f0\fs20\cf1 )}{\f0\fs20\cf1 : p. }{\f0\fs20\cf1 362-371}{\f0\fs20\cf1 .}{\bkmkend _neb54CC308D_E8D4_4775_9858_B66540759969}\par\pard\plain \qj{\f0\fs20\cf1  }{\f0\fs20\cf1 [}{\f0\fs20\cf1 2}{\f0\fs20\cf1 ].\tab }{\bkmkstart _nebA76B02B2_B7F8_4CD6_9054_662FFBE8DC38}{\f0\fs20\cf1 Yii, F.}{\f0\fs20\cf1 , et al.}{\f0\fs20\cf1 , }{\f0\fs20\cf1 Factors associated with pathologic myopia onset and progression: A systematic  review and meta-analysis}{\f0\fs20\cf1 . }{\f0\fs20\cf1 Ophthalmic Physiol Opt}{\f0\fs20\cf1 , }{\f0\fs20\cf1 2024}{\f0\fs20\cf1 . }{\f0\fs20\cf1 44}{\f0\fs20\cf1 (}{\f0\fs20\cf1 5}{\f0\fs20\cf1 )}{\f0\fs20\cf1 : p. }{\f0\fs20\cf1 963-976}{\f0\fs20\cf1 .}{\bkmkend _nebA76B02B2_B7F8_4CD6_9054_662FFBE8DC38}\par\pard\plain \qj{\f0\fs20\cf1  }{\f0\fs20\cf1 [}{\f0\fs20\cf1 3}{\f0\fs20\cf1 ].\tab }{\bkmkstart _nebD38EF380_D4E5_4A51_812A_01A55A57CB11}{\f0\fs20\cf1 Mu, T.}{\f0\fs20\cf1 , et al.}{\f0\fs20\cf1 , }{\f0\fs20\cf1 Axial length as a predictor of myopic macular degeneration: a meta-analysis and  clinical study}{\f0\fs20\cf1 . }{\f0\fs20\cf1 Eye (Lond)}{\f0\fs20\cf1 , }{\f0\fs20\cf1 2025}{\f0\fs20\cf1 . }{\f0\fs20\cf1 39}{\f0\fs20\cf1 (}{\f0\fs20\cf1 10}{\f0\fs20\cf1 )}{\f0\fs20\cf1 : p. }{\f0\fs20\cf1 2073-2082}{\f0\fs20\cf1 .}{\bkmkend _nebD38EF380_D4E5_4A51_812A_01A55A57CB11}\par\pard\plain \qj{\f0\fs20\cf1  }{\f0\fs20\cf1 [}{\f0\fs20\cf1 4}{\f0\fs20\cf1 ].\tab }{\bkmkstart _neb8B814E44_ADB5_4AD1_BD26_F3796B36DE10}{\f0\fs20\cf1 Xu, Y.}{\f0\fs20\cf1 , et al.}{\f0\fs20\cf1 , }{\f0\fs20\cf1 Outcomes in randomized controlled trials on slowing myopia: A systematic review}{\f0\fs20\cf1 . }{\f0\fs20\cf1 J Optom}{\f0\fs20\cf1 , }{\f0\fs20\cf1 2026}{\f0\fs20\cf1 . }{\f0\fs20\cf1 19}{\f0\fs20\cf1 (}{\f0\fs20\cf1 1}{\f0\fs20\cf1 )}{\f0\fs20\cf1 : p. }{\f0\fs20\cf1 100562}{\f0\fs20\cf1 .}{\bkmkend _neb8B814E44_ADB5_4AD1_BD26_F3796B36DE10}\par\pard\plain \qj{\f0\fs20\cf1  }{\f0\fs20\cf1 [}{\f0\fs20\cf1 5}{\f0\fs20\cf1 ].\tab }{\bkmkstart _neb8FEF1283_E048_4F24_BAAC_52CE29873453}{\f0\fs20\cf1 Lawrenson, J.G.}{\f0\fs20\cf1 , et al.}{\f0\fs20\cf1 , }{\f0\fs20\cf1 Interventions for myopia control in children: a living systematic review and  network meta-analysis}{\f0\fs20\cf1 . }{\f0\fs20\cf1 Cochrane Database Syst Rev}{\f0\fs20\cf1 , }{\f0\fs20\cf1 2025}{\f0\fs20\cf1 . }{\f0\fs20\cf1 2}{\f0\fs20\cf1 (}{\f0\fs20\cf1 2}{\f0\fs20\cf1 )}{\f0\fs20\cf1 : p. }{\f0\fs20\cf1 CD014758}{\f0\fs20\cf1 .}{\bkmkend _neb8FEF1283_E048_4F24_BAAC_52CE29873453}\par\pard\plain \qj{\f0\fs20\cf1  }{\f0\fs20\cf1 [}{\f0\fs20\cf1 6}{\f0\fs20\cf1 ].\tab }{\bkmkstart _nebA044B318_DFFD_45C4_A35A_E9A917B877E3}{\f0\fs20\cf1 Xu, Y.}{\f0\fs20\cf1 , et al.}{\f0\fs20\cf1 , }{\f0\fs20\cf1 Repeated Low-Level Red Light Therapy for Myopia Control in High Myopia Children  and Adolescents: A Randomized Clinical Trial}{\f0\fs20\cf1 . }{\f0\fs20\cf1 Ophthalmology}{\f0\fs20\cf1 , }{\f0\fs20\cf1 2024}{\f0\fs20\cf1 . }{\f0\fs20\cf1 131}{\f0\fs20\cf1 (}{\f0\fs20\cf1 11}{\f0\fs20\cf1 )}{\f0\fs20\cf1 : p. }{\f0\fs20\cf1 1314-1323}{\f0\fs20\cf1 .}{\bkmkend _nebA044B318_DFFD_45C4_A35A_E9A917B877E3}\par\pard\plain \qj{\f0\fs20\cf1  }{\f0\fs20\cf1 [}{\f0\fs20\cf1 7}{\f0\fs20\cf1 ].\tab }{\bkmkstart _neb38634EE1_F864_406B_A781_DC359764DCB7}{\f0\fs20\cf1 Zhang, X.J.}{\f0\fs20\cf1 , et al.}{\f0\fs20\cf1 , }{\f0\fs20\cf1 Advances in myopia control strategies for children}{\f0\fs20\cf1 . }{\f0\fs20\cf1 Br J Ophthalmol}{\f0\fs20\cf1 , }{\f0\fs20\cf1 2025}{\f0\fs20\cf1 . }{\f0\fs20\cf1 109}{\f0\fs20\cf1 (}{\f0\fs20\cf1 2}{\f0\fs20\cf1 )}{\f0\fs20\cf1 : p. }{\f0\fs20\cf1 165-176}{\f0\fs20\cf1 .}{\bkmkend _neb38634EE1_F864_406B_A781_DC359764DCB7}\par\pard\plain \qj{\f0\fs20\cf1  }{\f0\fs20\cf1 [}{\f0\fs20\cf1 8}{\f0\fs20\cf1 ].\tab }{\bkmkstart _neb0326963F_D8BF_4B77_B234_EB5DF6D1233D}{\f0\fs20\cf1 Zaabaar, E.}{\f0\fs20\cf1 , et al.}{\f0\fs20\cf1 , }{\f0\fs20\cf1 Myopia control strategies: A systematic review and meta-meta-analysis}{\f0\fs20\cf1 . }{\f0\fs20\cf1 Ophthalmic Physiol Opt}{\f0\fs20\cf1 , }{\f0\fs20\cf1 2025}{\f0\fs20\cf1 . }{\f0\fs20\cf1 45}{\f0\fs20\cf1 (}{\f0\fs20\cf1 1}{\f0\fs20\cf1 )}{\f0\fs20\cf1 : p. }{\f0\fs20\cf1 160-176}{\f0\fs20\cf1 .}{\bkmkend _neb0326963F_D8BF_4B77_B234_EB5DF6D1233D}\par\pard\plain \qj{\f0\fs20\cf1  }{\f0\fs20\cf1 [}{\f0\fs20\cf1 9}{\f0\fs20\cf1 ].\tab }{\bkmkstart _neb9B382FB8_C15F_41C1_80DD_B47714D4AA5F}{\f0\fs20\cf1 Huang, Z.}{\f0\fs20\cf1 , et al.}{\f0\fs20\cf1 , }{\f0\fs20\cf1 Factors influencing axial elongation in myopic children using overnight  orthokeratology}{\f0\fs20\cf1 . }{\f0\fs20\cf1 Sci Rep}{\f0\fs20\cf1 , }{\f0\fs20\cf1 2023}{\f0\fs20\cf1 . }{\f0\fs20\cf1 13}{\f0\fs20\cf1 (}{\f0\fs20\cf1 1}{\f0\fs20\cf1 )}{\f0\fs20\cf1 : p. }{\f0\fs20\cf1 7715}{\f0\fs20\cf1 .}{\bkmkend _neb9B382FB8_C15F_41C1_80DD_B47714D4AA5F}\par\pard\plain \qj{\f0\fs20\cf1 [}{\f0\fs20\cf1 10}{\f0\fs20\cf1 ].\tab }{\bkmkstart _neb9E4D73F5_CCBB_475D_A529_8D84A11EBC35}{\f0\fs20\cf1 Weise, K.K.}{\f0\fs20\cf1 , et al.}{\f0\fs20\cf1 , }{\f0\fs20\cf1 Baseline factors associated with myopia progression and axial elongation over 30  months in children 5 to 12 years of age}{\f0\fs20\cf1 . }{\f0\fs20\cf1 Optom Vis Sci}{\f0\fs20\cf1 , }{\f0\fs20\cf1 2024}{\f0\fs20\cf1 . }{\f0\fs20\cf1 101}{\f0\fs20\cf1 (}{\f0\fs20\cf1 10}{\f0\fs20\cf1 )}{\f0\fs20\cf1 : p. }{\f0\fs20\cf1 619-626}{\f0\fs20\cf1 .}{\bkmkend _neb9E4D73F5_CCBB_475D_A529_8D84A11EBC35}\par\pard\plain \qj{\f0\fs20\cf1 [}{\f0\fs20\cf1 11}{\f0\fs20\cf1 ].\tab }{\bkmkstart _nebF8CE1B41_ED16_4933_94EE_4A2F39C3D210}{\f0\fs20\cf1 Zhang, W.}{\f0\fs20\cf1 , et al.}{\f0\fs20\cf1 , }{\f0\fs20\cf1 The structure and function of the human choroid}{\f0\fs20\cf1 . }{\f0\fs20\cf1 Ann Anat}{\f0\fs20\cf1 , }{\f0\fs20\cf1 2024}{\f0\fs20\cf1 . }{\f0\fs20\cf1 254}{\f0\fs20\cf1 : p. }{\f0\fs20\cf1 152239}{\f0\fs20\cf1 .}{\bkmkend _nebF8CE1B41_ED16_4933_94EE_4A2F39C3D210}\par\pard\plain \qj{\f0\fs20\cf1 [}{\f0\fs20\cf1 12}{\f0\fs20\cf1 ].\tab }{\bkmkstart _neb06F9B5B1_5241_4F98_ABA4_F8780FE5E69F}{\f0\fs20\cf1 Xuan, M.}{\f0\fs20\cf1 , et al.}{\f0\fs20\cf1 , }{\f0\fs20\cf1 Choroidal Vascularity and Axial Length Elongation in Highly Myopic Children: A  2-Year Longitudinal Investigation}{\f0\fs20\cf1 . }{\f0\fs20\cf1 Invest Ophthalmol Vis Sci}{\f0\fs20\cf1 , }{\f0\fs20\cf1 2024}{\f0\fs20\cf1 . }{\f0\fs20\cf1 65}{\f0\fs20\cf1 (}{\f0\fs20\cf1 10}{\f0\fs20\cf1 )}{\f0\fs20\cf1 : p. }{\f0\fs20\cf1 7}{\f0\fs20\cf1 .}{\bkmkend _neb06F9B5B1_5241_4F98_ABA4_F8780FE5E69F}\par\pard\plain \qj{\f0\fs20\cf1 [}{\f0\fs20\cf1 13}{\f0\fs20\cf1 ].\tab }{\bkmkstart _nebDA9DAE8B_379A_46A9_939C_874683B8338F}{\f0\fs20\cf1 Di Pippo, M.}{\f0\fs20\cf1 , et al.}{\f0\fs20\cf1 , }{\f0\fs20\cf1 The Choroidal Vascularity Index Versus Optical Coherence Tomography Angiography  in the Evaluation of the Choroid with a Focus on Age-Related Macular  Degeneration}{\f0\fs20\cf1 . }{\f0\fs20\cf1 Tomography}{\f0\fs20\cf1 , }{\f0\fs20\cf1 2023}{\f0\fs20\cf1 . }{\f0\fs20\cf1 9}{\f0\fs20\cf1 (}{\f0\fs20\cf1 4}{\f0\fs20\cf1 )}{\f0\fs20\cf1 : p. }{\f0\fs20\cf1 1456-1470}{\f0\fs20\cf1 .}{\bkmkend _nebDA9DAE8B_379A_46A9_939C_874683B8338F}\par\pard\plain \qj{\f0\fs20\cf1 [}{\f0\fs20\cf1 14}{\f0\fs20\cf1 ].\tab }{\bkmkstart _nebEADF5F9F_581C_4CC2_84E2_358434F1A676}{\f0\fs20\cf1 Kumar, M.}{\f0\fs20\cf1 , et al.}{\f0\fs20\cf1 , }{\f0\fs20\cf1 Choroidal vascularity index is independent of ocular and image-based factors in  healthy eyes: a systematic review and meta-analysis}{\f0\fs20\cf1 . }{\f0\fs20\cf1 Sci Rep}{\f0\fs20\cf1 , }{\f0\fs20\cf1 2025}{\f0\fs20\cf1 . }{\f0\fs20\cf1 15}{\f0\fs20\cf1 (}{\f0\fs20\cf1 1}{\f0\fs20\cf1 )}{\f0\fs20\cf1 : p. }{\f0\fs20\cf1 27782}{\f0\fs20\cf1 .}{\bkmkend _nebEADF5F9F_581C_4CC2_84E2_358434F1A676}\par\pard\plain \qj{\f0\fs20\cf1 [}{\f0\fs20\cf1 15}{\f0\fs20\cf1 ].\tab }{\bkmkstart _neb2788F4D1_156A_4A9E_A3B6_CAD726DE0736}{\f0\fs20\cf1 Svamo, N.T.{\u216 ?}.}{\f0\fs20\cf1 , et al.}{\f0\fs20\cf1 , }{\f0\fs20\cf1 Adolescents' voices on self-engagement in mental health treatment: a scoping  review}{\f0\fs20\cf1 . }{\f0\fs20\cf1 Eur Child Adolesc Psychiatry}{\f0\fs20\cf1 , }{\f0\fs20\cf1 2024}{\f0\fs20\cf1 . }{\f0\fs20\cf1 33}{\f0\fs20\cf1 (}{\f0\fs20\cf1 12}{\f0\fs20\cf1 )}{\f0\fs20\cf1 : p. }{\f0\fs20\cf1 4083-4095}{\f0\fs20\cf1 .}{\bkmkend _neb2788F4D1_156A_4A9E_A3B6_CAD726DE0736}\par\pard\plain \qj{\f0\fs20\cf1 [}{\f0\fs20\cf1 16}{\f0\fs20\cf1 ].\tab }{\bkmkstart _neb333DD5D4_C851_484B_B6C2_CB1148E7267C}{\f0\fs20\cf1 Yam, J.C.}{\f0\fs20\cf1 , et al.}{\f0\fs20\cf1 , }{\f0\fs20\cf1 Low-Concentration Atropine for Myopia Progression (LAMP) Study: A Randomized,  Double-Blinded, Placebo-Controlled Trial of 0.05%, 0.025%, and 0.01% Atropine Eye  Drops in Myopia Control}{\f0\fs20\cf1 . }{\f0\fs20\cf1 Ophthalmology}{\f0\fs20\cf1 , }{\f0\fs20\cf1 2019}{\f0\fs20\cf1 . }{\f0\fs20\cf1 126}{\f0\fs20\cf1 (}{\f0\fs20\cf1 1}{\f0\fs20\cf1 )}{\f0\fs20\cf1 : p. }{\f0\fs20\cf1 113-124}{\f0\fs20\cf1 .}{\bkmkend _neb333DD5D4_C851_484B_B6C2_CB1148E7267C}\par\pard\plain \qj{\f0\fs20\cf1 [}{\f0\fs20\cf1 17}{\f0\fs20\cf1 ].\tab }{\bkmkstart _neb486044A5_575E_4DDF_AE97_6B26577A7B3C}{\f0\fs20\cf1 Sun, H.}{\f0\fs20\cf1 , et al.}{\f0\fs20\cf1 , }{\f0\fs20\cf1 Incidence of Adverse Events Induced by Atropine in Myopic Children: A  Meta-Analysis}{\f0\fs20\cf1 . }{\f0\fs20\cf1 J Clin Pharmacol}{\f0\fs20\cf1 , }{\f0\fs20\cf1 2023}{\f0\fs20\cf1 . }{\f0\fs20\cf1 63}{\f0\fs20\cf1 (}{\f0\fs20\cf1 12}{\f0\fs20\cf1 )}{\f0\fs20\cf1 : p. }{\f0\fs20\cf1 1377-1386}{\f0\fs20\cf1 .}{\bkmkend _neb486044A5_575E_4DDF_AE97_6B26577A7B3C}\par\pard\plain \qj{\f0\fs20\cf1 [}{\f0\fs20\cf1 18}{\f0\fs20\cf1 ].\tab }{\bkmkstart _nebA521266C_FDAB_4553_A7B5_104198723909}{\f0\fs20\cf1 Gifford, K.L.}{\f0\fs20\cf1 , et al.}{\f0\fs20\cf1 , }{\f0\fs20\cf1 IMI - Clinical Management Guidelines Report}{\f0\fs20\cf1 . }{\f0\fs20\cf1 Invest Ophthalmol Vis Sci}{\f0\fs20\cf1 , }{\f0\fs20\cf1 2019}{\f0\fs20\cf1 . }{\f0\fs20\cf1 60}{\f0\fs20\cf1 (}{\f0\fs20\cf1 3}{\f0\fs20\cf1 )}{\f0\fs20\cf1 : p. }{\f0\fs20\cf1 M184-M203}{\f0\fs20\cf1 .}{\bkmkend _nebA521266C_FDAB_4553_A7B5_104198723909}\par\pard\plain \qj{\f0\fs20\cf1 [}{\f0\fs20\cf1 19}{\f0\fs20\cf1 ].\tab }{\bkmkstart _neb17BCB169_B1D5_4253_B9AD_DDCDD0ACA6EE}{\f0\fs20\cf1 Holladay, J.T.}{\f0\fs20\cf1 , }{\f0\fs20\cf1 Proper method for calculating average visual acuity}{\f0\fs20\cf1 . }{\f0\fs20\cf1 J Refract Surg}{\f0\fs20\cf1 , }{\f0\fs20\cf1 1997}{\f0\fs20\cf1 . }{\f0\fs20\cf1 13}{\f0\fs20\cf1 (}{\f0\fs20\cf1 4}{\f0\fs20\cf1 )}{\f0\fs20\cf1 : p. }{\f0\fs20\cf1 388-91}{\f0\fs20\cf1 .}{\bkmkend _neb17BCB169_B1D5_4253_B9AD_DDCDD0ACA6EE}\par\pard\plain \qj{\f0\fs20\cf1 [}{\f0\fs20\cf1 20}{\f0\fs20\cf1 ].\tab }{\bkmkstart _neb39F43A76_2C10_4649_914C_E9603D3DE4BF}{\f0\fs20\cf1 Schmidt, D.C.}{\f0\fs20\cf1 , et al.}{\f0\fs20\cf1 , }{\f0\fs20\cf1 Efficacy of interventions for myopia control in children: A{\u160 ?}systematic review  with network meta-analyses}{\f0\fs20\cf1 . }{\f0\fs20\cf1 Acta Ophthalmol}{\f0\fs20\cf1 , }{\f0\fs20\cf1 2025}{\f0\fs20\cf1 . }{\f0\fs20\cf1 103}{\f0\fs20\cf1 (}{\f0\fs20\cf1 8}{\f0\fs20\cf1 )}{\f0\fs20\cf1 : p. }{\f0\fs20\cf1 939-965}{\f0\fs20\cf1 .}{\bkmkend _neb39F43A76_2C10_4649_914C_E9603D3DE4BF}\par\pard\plain \qj{\f0\fs20\cf1 [}{\f0\fs20\cf1 21}{\f0\fs20\cf1 ].\tab }{\bkmkstart _neb16AF223D_E9C5_47E7_B8BA_15837B0E4701}{\f0\fs20\cf1 Wang, J.}{\f0\fs20\cf1 , et al.}{\f0\fs20\cf1 , }{\f0\fs20\cf1 Effects of atropine eyedrops at ten different concentrations for myopia control  in children: A systematic review on meta-analysis}{\f0\fs20\cf1 . }{\f0\fs20\cf1 Eur J Ophthalmol}{\f0\fs20\cf1 , }{\f0\fs20\cf1 2024}{\f0\fs20\cf1 . }{\f0\fs20\cf1 34}{\f0\fs20\cf1 (}{\f0\fs20\cf1 5}{\f0\fs20\cf1 )}{\f0\fs20\cf1 : p. }{\f0\fs20\cf1 1355-1364}{\f0\fs20\cf1 .}{\bkmkend _neb16AF223D_E9C5_47E7_B8BA_15837B0E4701}\par\pard\plain \qj{\f0\fs20\cf1 [}{\f0\fs20\cf1 22}{\f0\fs20\cf1 ].\tab }{\bkmkstart _nebEAD5FCFB_D79F_46A2_A37E_07C6D20A7DC5}{\f0\fs20\cf1 Song, D.}{\f0\fs20\cf1 , et al.}{\f0\fs20\cf1 , }{\f0\fs20\cf1 Efficacy and adverse reactions of peripheral add multifocal soft contact lenses  in childhood myopia: a meta-analysis}{\f0\fs20\cf1 . }{\f0\fs20\cf1 BMC Ophthalmol}{\f0\fs20\cf1 , }{\f0\fs20\cf1 2024}{\f0\fs20\cf1 . }{\f0\fs20\cf1 24}{\f0\fs20\cf1 (}{\f0\fs20\cf1 1}{\f0\fs20\cf1 )}{\f0\fs20\cf1 : p. }{\f0\fs20\cf1 173}{\f0\fs20\cf1 .}{\bkmkend _nebEAD5FCFB_D79F_46A2_A37E_07C6D20A7DC5}\par\pard\plain \qj{\f0\fs20\cf1 [}{\f0\fs20\cf1 23}{\f0\fs20\cf1 ].\tab }{\bkmkstart _nebB909D2CC_ECA7_4191_A21C_8FC3D4C78FB9}{\f0\fs20\cf1 Khanal, S.}{\f0\fs20\cf1 , }{\f0\fs20\cf1 E.S. Tomiyama}{\f0\fs20\cf1  and }{\f0\fs20\cf1 S.C. Harrington}{\f0\fs20\cf1 , }{\f0\fs20\cf1 Childhood Myopia Part II: Treatment Mechanisms, Emerging Options, and  Considerations}{\f0\fs20\cf1 . }{\f0\fs20\cf1 Invest Ophthalmol Vis Sci}{\f0\fs20\cf1 , }{\f0\fs20\cf1 2025}{\f0\fs20\cf1 . }{\f0\fs20\cf1 66}{\f0\fs20\cf1 (}{\f0\fs20\cf1 7}{\f0\fs20\cf1 )}{\f0\fs20\cf1 : p. }{\f0\fs20\cf1 7}{\f0\fs20\cf1 .}{\bkmkend _nebB909D2CC_ECA7_4191_A21C_8FC3D4C78FB9}\par\pard\plain \qj{\f0\fs20\cf1 [}{\f0\fs20\cf1 24}{\f0\fs20\cf1 ].\tab }{\bkmkstart _neb765B5EC9_9112_49EC_A599_08AEBBD4286B}{\f0\fs20\cf1 Chiu, Y.}{\f0\fs20\cf1 , et al.}{\f0\fs20\cf1 , }{\f0\fs20\cf1 Systematic Review of Myopia Progression after Cessation of Optical Interventions  for Myopia Control}{\f0\fs20\cf1 . }{\f0\fs20\cf1 J Clin Med}{\f0\fs20\cf1 , }{\f0\fs20\cf1 2023}{\f0\fs20\cf1 . }{\f0\fs20\cf1 13}{\f0\fs20\cf1 (}{\f0\fs20\cf1 1}{\f0\fs20\cf1 )}{\f0\fs20\cf1 .}{\bkmkend _neb765B5EC9_9112_49EC_A599_08AEBBD4286B}\par\pard\plain \qj{\f0\fs20\cf1 [}{\f0\fs20\cf1 25}{\f0\fs20\cf1 ].\tab }{\bkmkstart _neb6966F419_C612_4638_A166_0C75732A8817}{\f0\fs20\cf1 Huang, L.}{\f0\fs20\cf1 , }{\f0\fs20\cf1 J. Zhang}{\f0\fs20\cf1  and }{\f0\fs20\cf1 Y. Luo}{\f0\fs20\cf1 , }{\f0\fs20\cf1 The role of atropine in myopia control: insights into choroidal and scleral  mechanisms}{\f0\fs20\cf1 . }{\f0\fs20\cf1 Front Pharmacol}{\f0\fs20\cf1 , }{\f0\fs20\cf1 2025}{\f0\fs20\cf1 . }{\f0\fs20\cf1 16}{\f0\fs20\cf1 : p. }{\f0\fs20\cf1 1509196}{\f0\fs20\cf1 .}{\bkmkend _neb6966F419_C612_4638_A166_0C75732A8817}\par\pard\plain \qj}"/>
    <w:docVar w:name=" ADDIN NE.CacheRef.{00FE1015-2418-4B12-82E3-4A3E7ED92619}" w:val="{\rtf1\ansi\ansicpg936\pard\plain{\fonttbl{\f0\fnil\fcharset0\fprq2 Times New Roman;}}{\colortbl;\red8\green0\blue0;}{\f0\fs24\cf1 [}{\f0\fs24\cf1 20}{\f0\fs24\cf1 -}{\f0\fs24\cf1 22}{\f0\fs24\cf1 ]}}"/>
    <w:docVar w:name=" ADDIN NE.CacheRef.{04B9C3CD-785A-4CB5-824D-EF60DDAD66B7}" w:val="{\rtf1\ansi\ansicpg936\pard\plain{\fonttbl{\f0\fnil\fcharset0\fprq2 Times New Roman;}}{\colortbl;\red8\green0\blue0;}{\f0\fs24\cf1 [}{\f0\fs24\cf1 13}{\f0\fs24\cf1 , }{\f0\fs24\cf1 14}{\f0\fs24\cf1 ]}}"/>
    <w:docVar w:name=" ADDIN NE.CacheRef.{0F8FB95F-C609-4EEB-8A01-9618024967BE}" w:val="{\rtf1\ansi\ansicpg936\pard\plain{\fonttbl{\f0\fnil\fcharset0\fprq2 Times New Roman;}}{\colortbl;\red8\green0\blue0;}{\f0\fs24\cf1 [}{\f0\fs24\cf1 15}{\f0\fs24\cf1 ]}}"/>
    <w:docVar w:name=" ADDIN NE.CacheRef.{1825AE94-787A-44FC-9C00-C700134D4990}" w:val="{\rtf1\ansi\ansicpg936\pard\plain{\fonttbl{\f0\fnil\fcharset0\fprq2 Times New Roman;}}{\colortbl;\red8\green0\blue0;}{\f0\fs24\cf1 [}{\f0\fs24\cf1 20}{\f0\fs24\cf1 , }{\f0\fs24\cf1 21}{\f0\fs24\cf1 ]}}"/>
    <w:docVar w:name=" ADDIN NE.CacheRef.{1E6D7BB2-F447-4F1F-B9CD-CCA6BF4BB9FD}" w:val="{\rtf1\ansi\ansicpg936\pard\plain{\fonttbl{\f0\fnil\fcharset0\fprq2 Times New Roman;}}{\colortbl;\red8\green0\blue0;}{\f0\fs24\cf1 [}{\f0\fs24\cf1 16}{\f0\fs24\cf1 , }{\f0\fs24\cf1 17}{\f0\fs24\cf1 ]}}"/>
    <w:docVar w:name=" ADDIN NE.CacheRef.{1F05FF51-D670-48DE-B0A8-0CD34704B43B}" w:val="{\rtf1\ansi\ansicpg936\pard\plain{\fonttbl{\f0\fnil\fcharset0\fprq2 Times New Roman;}}{\colortbl;\red8\green0\blue0;}{\f0\fs24\cf1 [}{\f0\fs24\cf1 12}{\f0\fs24\cf1 ]}}"/>
    <w:docVar w:name=" ADDIN NE.CacheRef.{211D258D-C6BD-4315-B55E-F7E72129E5F4}" w:val="{\rtf1\ansi\ansicpg936\pard\plain{\fonttbl{\f0\fnil\fcharset0\fprq2 Times New Roman;}}{\colortbl;\red8\green0\blue0;}{\f0\fs24\cf1 [}{\f0\fs24\cf1 18}{\f0\fs24\cf1 ]}}"/>
    <w:docVar w:name=" ADDIN NE.CacheRef.{223B2036-A4E2-49D8-853F-D6BC59736560}" w:val="{\rtf1\ansi\ansicpg936\pard\plain{\fonttbl{\f0\fnil\fcharset0\fprq2 Times New Roman;}}{\colortbl;\red8\green0\blue0;}{\f0\fs24\cf1 [}{\f0\fs24\cf1 17}{\f0\fs24\cf1 ]}}"/>
    <w:docVar w:name=" ADDIN NE.CacheRef.{3176648B-B5AE-44C1-B2E6-861DCD4F279C}" w:val="{\rtf1\ansi\ansicpg936\pard\plain{\fonttbl{\f0\fnil\fcharset0\fprq2 Times New Roman;}}{\colortbl;\red8\green0\blue0;}{\f0\fs24\cf1 [}{\f0\fs24\cf1 15}{\f0\fs24\cf1 ]}}"/>
    <w:docVar w:name=" ADDIN NE.CacheRef.{374AEFAB-15E5-4730-89E2-CF9561DCB5D4}" w:val="{\rtf1\ansi\ansicpg936\pard\plain{\fonttbl{\f0\fnil\fcharset0\fprq2 Times New Roman;}}{\colortbl;\red8\green0\blue0;}{\f0\fs24\cf1 [}{\f0\fs24\cf1 10}{\f0\fs24\cf1 ]}}"/>
    <w:docVar w:name=" ADDIN NE.CacheRef.{41E198C9-67F4-4A18-A551-D1E8D7619B0D}" w:val="{\rtf1\ansi\ansicpg936\pard\plain{\fonttbl{\f0\fnil\fcharset0\fprq2 Times New Roman;}}{\colortbl;\red8\green0\blue0;}{\f0\fs24\cf1 [}{\f0\fs24\cf1 12}{\f0\fs24\cf1 ]}}"/>
    <w:docVar w:name=" ADDIN NE.CacheRef.{47BCBF93-F85F-4726-A08F-681F9F0D9716}" w:val="{\rtf1\ansi\ansicpg936\pard\plain{\fonttbl{\f0\fnil\fcharset0\fprq2 Times New Roman;}}{\colortbl;\red8\green0\blue0;}{\f0\fs24\cf1 [}{\f0\fs24\cf1 4}{\f0\fs24\cf1 ]}}"/>
    <w:docVar w:name=" ADDIN NE.CacheRef.{4A92C1F6-67BC-46B7-9ED1-22DC62C43EC2}" w:val="{\rtf1\ansi\ansicpg936\pard\plain{\fonttbl{\f0\fnil\fcharset0\fprq2 Times New Roman;}}{\colortbl;\red8\green0\blue0;}{\f0\fs24\cf1 [}{\f0\fs24\cf1 8}{\f0\fs24\cf1 , }{\f0\fs24\cf1 18}{\f0\fs24\cf1 , }{\f0\fs24\cf1 19}{\f0\fs24\cf1 ]}}"/>
    <w:docVar w:name=" ADDIN NE.CacheRef.{5DB8A1C7-B4FE-49C0-9DF9-1652D7CE9E11}" w:val="{\rtf1\ansi\ansicpg936\pard\plain{\fonttbl{\f0\fnil\fcharset0\fprq2 Times New Roman;}}{\colortbl;\red8\green0\blue0;}{\f0\fs24\cf1 [}{\f0\fs24\cf1 4}{\f0\fs24\cf1 -}{\f0\fs24\cf1 6}{\f0\fs24\cf1 ]}}"/>
    <w:docVar w:name=" ADDIN NE.CacheRef.{5DDC101B-66E5-410D-AF15-B6F97FB40E21}" w:val="{\rtf1\ansi\ansicpg936\pard\plain{\fonttbl{\f0\fnil\fcharset0\fprq2 Times New Roman;}}{\colortbl;\red8\green0\blue0;}{\f0\fs24\cf1 [}{\f0\fs24\cf1 1}{\f0\fs24\cf1 -}{\f0\fs24\cf1 3}{\f0\fs24\cf1 ]}}"/>
    <w:docVar w:name=" ADDIN NE.CacheRef.{651878C6-C06D-4426-9BB0-8DC5EB80ECF8}" w:val="{\rtf1\ansi\ansicpg936\pard\plain{\fonttbl{\f0\fnil\fcharset0\fprq2 Times New Roman;}}{\colortbl;\red8\green0\blue0;}{\f0\fs24\cf1 [}{\f0\fs24\cf1 7}{\f0\fs24\cf1 , }{\f0\fs24\cf1 8}{\f0\fs24\cf1 ]}}"/>
    <w:docVar w:name=" ADDIN NE.CacheRef.{84BC69F0-EE64-4A27-9B64-132BA4D7EFDA}" w:val="{\rtf1\ansi\ansicpg936\pard\plain{\fonttbl{\f0\fnil\fcharset0\fprq2 Times New Roman;}}{\colortbl;\red8\green0\blue0;}{\f0\fs24\cf1 [}{\f0\fs24\cf1 16}{\f0\fs24\cf1 ]}}"/>
    <w:docVar w:name=" ADDIN NE.CacheRef.{8BA10888-CB87-4369-8E30-983AB7C735FB}" w:val="{\rtf1\ansi\ansicpg936\pard\plain{\fonttbl{\f0\fnil\fcharset0\fprq2 Times New Roman;}}{\colortbl;\red8\green0\blue0;}{\f0\fs24\cf1 [}{\f0\fs24\cf1 9}{\f0\fs24\cf1 , }{\f0\fs24\cf1 10}{\f0\fs24\cf1 ]}}"/>
    <w:docVar w:name=" ADDIN NE.CacheRef.{8C5BD56C-6B14-4ED0-A2DF-C8C08B767B57}" w:val="{\rtf1\ansi\ansicpg936\pard\plain{\fonttbl{\f0\fnil\fcharset0\fprq2 Times New Roman;}}{\colortbl;\red8\green0\blue0;}{\f0\fs24\cf1 [}{\f0\fs24\cf1 9}{\f0\fs24\cf1 ]}}"/>
    <w:docVar w:name=" ADDIN NE.CacheRef.{8D73B62C-299D-4806-9142-578EC6A87587}" w:val="{\rtf1\ansi\ansicpg936\pard\plain{\fonttbl{\f0\fnil\fcharset0\fprq2 Times New Roman;}}{\colortbl;\red8\green0\blue0;}{\f0\fs24\cf1 [}{\f0\fs24\cf1 4}{\f0\fs24\cf1 , }{\f0\fs24\cf1 5}{\f0\fs24\cf1 ]}}"/>
    <w:docVar w:name=" ADDIN NE.CacheRef.{909013CB-9999-4353-B857-62CD50A588C7}" w:val="{\rtf1\ansi\ansicpg936\pard\plain{\fonttbl{\f0\fnil\fcharset0\fprq2 Times New Roman;}}{\colortbl;\red8\green0\blue0;}{\f0\fs24\cf1 [}{\f0\fs24\cf1 6}{\f0\fs24\cf1 , }{\f0\fs24\cf1 7}{\f0\fs24\cf1 ]}}"/>
    <w:docVar w:name=" ADDIN NE.CacheRef.{9B7448D1-090E-49D9-A71D-5E6C416B811D}" w:val="{\rtf1\ansi\ansicpg936\pard\plain{\fonttbl{\f0\fnil\fcharset0\fprq2 Times New Roman;}}{\colortbl;\red8\green0\blue0;}{\f0\fs24\cf1 [}{\f0\fs24\cf1 19}{\f0\fs24\cf1 ]}}"/>
    <w:docVar w:name=" ADDIN NE.CacheRef.{A979E06D-9F2A-4CCF-B2B9-E16283D3FD3E}" w:val="{\rtf1\ansi\ansicpg936\pard\plain{\fonttbl{\f0\fnil\fcharset0\fprq2 Times New Roman;}}{\colortbl;\red8\green0\blue0;}{\f0\fs24\cf1 [}{\f0\fs24\cf1 5}{\f0\fs24\cf1 ]}}"/>
    <w:docVar w:name=" ADDIN NE.CacheRef.{A9B47126-BFF6-4B92-BB0B-5CB7FC75A5C8}" w:val="{\rtf1\ansi\ansicpg936\pard\plain{\fonttbl{\f0\fnil\fcharset0\fprq2 Times New Roman;}}{\colortbl;\red8\green0\blue0;}{\f0\fs24\cf1 [}{\f0\fs24\cf1 1}{\f0\fs24\cf1 -}{\f0\fs24\cf1 3}{\f0\fs24\cf1 ]}}"/>
    <w:docVar w:name=" ADDIN NE.CacheRef.{ABC8BA90-0C23-49E1-A7F0-8C9C96C457CF}" w:val="{\rtf1\ansi\ansicpg936\pard\plain{\fonttbl{\f0\fnil\fcharset0\fprq2 Times New Roman;}}{\colortbl;\red8\green0\blue0;}{\f0\fs24\cf1 [}{\f0\fs24\cf1 14}{\f0\fs24\cf1 ]}}"/>
    <w:docVar w:name=" ADDIN NE.CacheRef.{B359631A-1C96-4058-97DA-86A15D6953C9}" w:val="{\rtf1\ansi\ansicpg936\pard\plain{\fonttbl{\f0\fnil\fcharset0\fprq2 Times New Roman;}}{\colortbl;\red8\green0\blue0;}{\f0\fs24\cf1 [}{\f0\fs24\cf1 8}{\f0\fs24\cf1 ]}}"/>
    <w:docVar w:name=" ADDIN NE.CacheRef.{BB94BF53-8374-4B59-B017-1BD77070DAEB}" w:val="{\rtf1\ansi\ansicpg936\pard\plain{\fonttbl{\f0\fnil\fcharset0\fprq2 Times New Roman;}}{\colortbl;\red8\green0\blue0;}{\f0\fs24\cf1 [}{\f0\fs24\cf1 23}{\f0\fs24\cf1 -}{\f0\fs24\cf1 25}{\f0\fs24\cf1 ]}}"/>
    <w:docVar w:name=" ADDIN NE.CacheRef.{C4A85B2C-3686-4790-89D5-1210554DA8DC}" w:val="{\rtf1\ansi\ansicpg936\pard\plain{\fonttbl{\f0\fnil\fcharset0\fprq2 Times New Roman;}}{\colortbl;\red8\green0\blue0;}{\f0\fs24\cf1 [}{\f0\fs24\cf1 14}{\f0\fs24\cf1 , }{\f0\fs24\cf1 22}{\f0\fs24\cf1 , }{\f0\fs24\cf1 23}{\f0\fs24\cf1 ]}}"/>
    <w:docVar w:name=" ADDIN NE.CacheRef.{CDE2016A-2C2B-42C4-BCCA-689F62A77EC7}" w:val="{\rtf1\ansi\ansicpg936\pard\plain{\fonttbl{\f0\fnil\fcharset0\fprq2 Times New Roman;}}{\colortbl;\red8\green0\blue0;}{\f0\fs24\cf1 [}{\f0\fs24\cf1 11}{\f0\fs24\cf1 ]}}"/>
    <w:docVar w:name=" ADDIN NE.CacheRef.{D1965F7E-BEB6-4A56-825D-B325FFD3B00C}" w:val="{\rtf1\ansi\ansicpg936\pard\plain{\fonttbl{\f0\fnil\fcharset0\fprq2 Times New Roman;}}{\colortbl;\red8\green0\blue0;}{\f0\fs24\cf1 [}{\f0\fs24\cf1 11}{\f0\fs24\cf1 ]}}"/>
    <w:docVar w:name=" ADDIN NE.CacheRef.{DD4327B6-C892-4750-BBA7-04BC887A0FD3}" w:val="{\rtf1\ansi\ansicpg936\pard\plain{\fonttbl{\f0\fnil\fcharset0\fprq2 Times New Roman;}}{\colortbl;\red8\green0\blue0;}{\f0\fs24\cf1 [}{\f0\fs24\cf1 14}{\f0\fs24\cf1 ]}}"/>
    <w:docVar w:name=" ADDIN NE.CacheRef.{F453BA4F-AA19-4EB9-987A-6218B454E48F}" w:val="{\rtf1\ansi\ansicpg936\pard\plain{\fonttbl{\f0\fnil\fcharset0\fprq2 Times New Roman;}}{\colortbl;\red8\green0\blue0;}{\f0\fs24\cf1 [}{\f0\fs24\cf1 13}{\f0\fs24\cf1 ]}}"/>
    <w:docVar w:name="NE.Ref{00FE1015-2418-4B12-82E3-4A3E7ED92619}" w:val=" ADDIN NE.Ref.{00FE1015-2418-4B12-82E3-4A3E7ED92619}&lt;Citation&gt;&lt;Group&gt;&lt;References&gt;&lt;Item&gt;&lt;ID&gt;4097&lt;/ID&gt;&lt;UID&gt;{39F43A76-2C10-4649-914C-E9603D3DE4BF}&lt;/UID&gt;&lt;Title&gt;Efficacy of interventions for myopia control in children: A systematic review  with network meta-analyses&lt;/Title&gt;&lt;Template&gt;Journal Article&lt;/Template&gt;&lt;Star&gt;0&lt;/Star&gt;&lt;Tag&gt;0&lt;/Tag&gt;&lt;Author&gt;Schmidt, Diana Chabané; Hvid-Hansen, Anders; Jacobsen, Nina; Jakobsen, Trine Møldrup; Larsen, Per Michael; Lindblad, Kjersti Kristin; Møller, Flemming; Slyngborg, Annette; Subhi, Yousif; Kessel, Line&lt;/Author&gt;&lt;Year&gt;2025&lt;/Year&gt;&lt;Details&gt;&lt;_accession_num&gt;40219611&lt;/_accession_num&gt;&lt;_author_adr&gt;Department of Ophthalmology, Copenhagen University Hospital - Rigshospitalet,  Glostrup, Denmark.; Department of Ophthalmology, Copenhagen University Hospital - Rigshospitalet,  Glostrup, Denmark.; Department of Ophthalmology, Copenhagen University Hospital - Rigshospitalet,  Glostrup, Denmark.; Scandinavian Eye Centre, Hellerup, Denmark.; Department of Ophthalmology, Vejle Hospital, University Hospital of Southern  Denmark, Vejle, Denmark.; The Danish Optometric Association, Copenhagen, Denmark.; Copenhagen School of Design and Technology, Copenhagen, Denmark.; Department of Ophthalmology, Vejle Hospital, University Hospital of Southern  Denmark, Vejle, Denmark.; Øjenklinikken Kårstad &amp;amp; Møller, Esbjerg, Denmark.; Synoptik A/S, Herlev, Denmark.; Department of Ophthalmology, Copenhagen University Hospital - Rigshospitalet,  Glostrup, Denmark.; Department of Clinical Research, University of Southern Denmark, Odense, Denmark.; Department of Clinical Medicine, University of Copenhagen, Copenhagen, Denmark.; Department of Ophthalmology, Copenhagen University Hospital - Rigshospitalet,  Glostrup, Denmark.; Department of Clinical Medicine, University of Copenhagen, Copenhagen, Denmark.&lt;/_author_adr&gt;&lt;_date_display&gt;2025 Dec&lt;/_date_display&gt;&lt;_date&gt;2025-12-01&lt;/_date&gt;&lt;_doi&gt;10.1111/aos.17496&lt;/_doi&gt;&lt;_isbn&gt;1755-3768 (Electronic); 1755-375X (Print); 1755-375X (Linking)&lt;/_isbn&gt;&lt;_issue&gt;8&lt;/_issue&gt;&lt;_journal&gt;Acta Ophthalmol&lt;/_journal&gt;&lt;_keywords&gt;axial length; efficacy comparison; myopia control; network meta‐analysis&lt;/_keywords&gt;&lt;_language&gt;English&lt;/_language&gt;&lt;_ori_publication&gt;© 2025 The Author(s). Acta Ophthalmologica published by John Wiley &amp;amp; Sons Ltd on _x000d__x000a_      behalf of Acta Ophthalmologica Scandinavica Foundation.&lt;/_ori_publication&gt;&lt;_pages&gt;939-965&lt;/_pages&gt;&lt;_subject_headings&gt;Adolescent; Child; Humans; Atropine; Axial Length, Eye; Disease Progression; *Eyeglasses; *Myopia/therapy/physiopathology; *Orthokeratologic Procedures/methods; *Refraction, Ocular/physiology; *Visual Acuity&lt;/_subject_headings&gt;&lt;_tertiary_title&gt;Acta ophthalmologica&lt;/_tertiary_title&gt;&lt;_type_work&gt;Journal Article; Network Meta-Analysis; Systematic Review&lt;/_type_work&gt;&lt;_url&gt;http://www.ncbi.nlm.nih.gov/entrez/query.fcgi?cmd=Retrieve&amp;amp;db=pubmed&amp;amp;dopt=Abstract&amp;amp;list_uids=40219611&amp;amp;query_hl=1&lt;/_url&gt;&lt;_volume&gt;103&lt;/_volume&gt;&lt;_created&gt;66563457&lt;/_created&gt;&lt;_modified&gt;66563457&lt;/_modified&gt;&lt;_impact_factor&gt;   2.800&lt;/_impact_factor&gt;&lt;_social_category&gt;眼科学(2)&lt;/_social_category&gt;&lt;_collection_scope&gt;SCIE&lt;/_collection_scope&gt;&lt;/Details&gt;&lt;Extra&gt;&lt;DBUID&gt;{4639BE48-E8DA-433D-936E-D6A27A715D41}&lt;/DBUID&gt;&lt;/Extra&gt;&lt;/Item&gt;&lt;/References&gt;&lt;/Group&gt;&lt;Group&gt;&lt;References&gt;&lt;Item&gt;&lt;ID&gt;4098&lt;/ID&gt;&lt;UID&gt;{16AF223D-E9C5-47E7-B8BA-15837B0E4701}&lt;/UID&gt;&lt;Title&gt;Effects of atropine eyedrops at ten different concentrations for myopia control  in children: A systematic review on meta-analysis&lt;/Title&gt;&lt;Template&gt;Journal Article&lt;/Template&gt;&lt;Star&gt;0&lt;/Star&gt;&lt;Tag&gt;0&lt;/Tag&gt;&lt;Author&gt;Wang, Jin-Da; Liu, Mei-Rui; Chen, Chang-Xi; Cao, Kai; Zhang, Yun; Zhu, Xiao-Hong; Wan, Xiu-Hua&lt;/Author&gt;&lt;Year&gt;2024&lt;/Year&gt;&lt;Details&gt;&lt;_accession_num&gt;38377951&lt;/_accession_num&gt;&lt;_author_adr&gt;Beijing Tongren Eye Center, Beijing Tongren Hospital, Capital Medical University,  Beijing, China.; School of Public Health, North China University of Science and Technology, Hebei,  Beijing, China. RINGGOLD: 128790; Beijing Institute of Ophthalmology, Beijing Tongren Hospital, Capital Medical  University, Beijing, China. RINGGOLD: 117902; Beijing Institute of Ophthalmology, Beijing Tongren Hospital, Capital Medical  University, Beijing, China. RINGGOLD: 117902; Jianguomen Community Health Service Center, Beijing, China.; Xicheng District Maternal and Child Health Hospital of Beijing, Beijing, China.; Beijing Tongren Eye Center, Beijing Tongren Hospital, Capital Medical University,  Beijing, China.&lt;/_author_adr&gt;&lt;_date_display&gt;2024 Sep&lt;/_date_display&gt;&lt;_date&gt;2024-09-01&lt;/_date&gt;&lt;_doi&gt;10.1177/11206721241229317&lt;/_doi&gt;&lt;_isbn&gt;1724-6016 (Electronic); 1120-6721 (Linking)&lt;/_isbn&gt;&lt;_issue&gt;5&lt;/_issue&gt;&lt;_journal&gt;Eur J Ophthalmol&lt;/_journal&gt;&lt;_keywords&gt;Myopia; atropine; different concentrations; network meta-analysis&lt;/_keywords&gt;&lt;_language&gt;English&lt;/_language&gt;&lt;_pages&gt;1355-1364&lt;/_pages&gt;&lt;_subject_headings&gt;Child; Humans; *Atropine/administration &amp;amp; dosage; *Axial Length, Eye/drug effects/physiopathology; Bayes Theorem; Dose-Response Relationship, Drug; *Mydriatics/administration &amp;amp; dosage; *Myopia/physiopathology/drug therapy; *Ophthalmic Solutions/administration &amp;amp; dosage; Randomized Controlled Trials as Topic; *Refraction, Ocular/drug effects/physiology&lt;/_subject_headings&gt;&lt;_tertiary_title&gt;European journal of ophthalmology&lt;/_tertiary_title&gt;&lt;_type_work&gt;Journal Article; Network Meta-Analysis; Systematic Review&lt;/_type_work&gt;&lt;_url&gt;http://www.ncbi.nlm.nih.gov/entrez/query.fcgi?cmd=Retrieve&amp;amp;db=pubmed&amp;amp;dopt=Abstract&amp;amp;list_uids=38377951&amp;amp;query_hl=1&lt;/_url&gt;&lt;_volume&gt;34&lt;/_volume&gt;&lt;_created&gt;66563457&lt;/_created&gt;&lt;_modified&gt;66563457&lt;/_modified&gt;&lt;_impact_factor&gt;   1.400&lt;/_impact_factor&gt;&lt;_social_category&gt;眼科学(4)&lt;/_social_category&gt;&lt;_collection_scope&gt;SCIE&lt;/_collection_scope&gt;&lt;/Details&gt;&lt;Extra&gt;&lt;DBUID&gt;{4639BE48-E8DA-433D-936E-D6A27A715D41}&lt;/DBUID&gt;&lt;/Extra&gt;&lt;/Item&gt;&lt;/References&gt;&lt;/Group&gt;&lt;Group&gt;&lt;References&gt;&lt;Item&gt;&lt;ID&gt;4099&lt;/ID&gt;&lt;UID&gt;{EAD5FCFB-D79F-46A2-A37E-07C6D20A7DC5}&lt;/UID&gt;&lt;Title&gt;Efficacy and adverse reactions of peripheral add multifocal soft contact lenses  in childhood myopia: a meta-analysis&lt;/Title&gt;&lt;Template&gt;Journal Article&lt;/Template&gt;&lt;Star&gt;0&lt;/Star&gt;&lt;Tag&gt;0&lt;/Tag&gt;&lt;Author&gt;Song, Desheng; Qiu, Wen; Jiang, Ting; Chen, Zhijun; Chen, Juan&lt;/Author&gt;&lt;Year&gt;2024&lt;/Year&gt;&lt;Details&gt;&lt;_accession_num&gt;38627653&lt;/_accession_num&gt;&lt;_author_adr&gt;Department of Ophthalmology, Children&amp;apos;s Hospital of Nanjing Medical University,  72 Guangzhou Road, Gulou District, 210008, Nanjing, Jiangsu Province, China.; Department of Nursing, Children&amp;apos;s Hospital of Nanjing Medical University, 210008,  Nanjing, Jiangsu Province, China.; Department of Nursing, Children&amp;apos;s Hospital of Nanjing Medical University, 210008,  Nanjing, Jiangsu Province, China.; Department of Ophthalmology, Children&amp;apos;s Hospital of Nanjing Medical University,  72 Guangzhou Road, Gulou District, 210008, Nanjing, Jiangsu Province, China.  18951769678@163.com.; Department of Ophthalmology, Children&amp;apos;s Hospital of Nanjing Medical University,  72 Guangzhou Road, Gulou District, 210008, Nanjing, Jiangsu Province, China.  l13221468@126.com.&lt;/_author_adr&gt;&lt;_date_display&gt;2024 Apr 16&lt;/_date_display&gt;&lt;_date&gt;2024-04-16&lt;/_date&gt;&lt;_doi&gt;10.1186/s12886-024-03408-7&lt;/_doi&gt;&lt;_isbn&gt;1471-2415 (Electronic); 1471-2415 (Linking)&lt;/_isbn&gt;&lt;_issue&gt;1&lt;/_issue&gt;&lt;_journal&gt;BMC Ophthalmol&lt;/_journal&gt;&lt;_keywords&gt;Children; Meta-analysis; Myopia; Soft contact lens&lt;/_keywords&gt;&lt;_language&gt;eng&lt;/_language&gt;&lt;_ori_publication&gt;© 2024. The Author(s).&lt;/_ori_publication&gt;&lt;_pages&gt;173&lt;/_pages&gt;&lt;_subject_headings&gt;Humans; *Contact Lenses, Hydrophilic; *Visual Acuity/physiology; Child; *Refraction, Ocular/physiology; *Myopia/physiopathology/therapy; Disease Progression&lt;/_subject_headings&gt;&lt;_tertiary_title&gt;BMC ophthalmology&lt;/_tertiary_title&gt;&lt;_type_work&gt;Journal Article; Meta-Analysis; Systematic Review&lt;/_type_work&gt;&lt;_url&gt;http://www.ncbi.nlm.nih.gov/entrez/query.fcgi?cmd=Retrieve&amp;amp;db=pubmed&amp;amp;dopt=Abstract&amp;amp;list_uids=38627653&amp;amp;query_hl=1&lt;/_url&gt;&lt;_volume&gt;24&lt;/_volume&gt;&lt;_created&gt;66563457&lt;/_created&gt;&lt;_modified&gt;66563457&lt;/_modified&gt;&lt;_impact_factor&gt;   1.700&lt;/_impact_factor&gt;&lt;_social_category&gt;眼科学(3)&lt;/_social_category&gt;&lt;_collection_scope&gt;SCIE&lt;/_collection_scope&gt;&lt;/Details&gt;&lt;Extra&gt;&lt;DBUID&gt;{4639BE48-E8DA-433D-936E-D6A27A715D41}&lt;/DBUID&gt;&lt;/Extra&gt;&lt;/Item&gt;&lt;/References&gt;&lt;/Group&gt;&lt;/Citation&gt;_x000a_"/>
    <w:docVar w:name="NE.Ref{04B9C3CD-785A-4CB5-824D-EF60DDAD66B7}" w:val=" ADDIN NE.Ref.{04B9C3CD-785A-4CB5-824D-EF60DDAD66B7}&lt;Citation&gt;&lt;Group&gt;&lt;References&gt;&lt;Item&gt;&lt;ID&gt;4091&lt;/ID&gt;&lt;UID&gt;{DA9DAE8B-379A-46A9-939C-874683B8338F}&lt;/UID&gt;&lt;Title&gt;The Choroidal Vascularity Index Versus Optical Coherence Tomography Angiography  in the Evaluation of the Choroid with a Focus on Age-Related Macular  Degeneration&lt;/Title&gt;&lt;Template&gt;Journal Article&lt;/Template&gt;&lt;Star&gt;0&lt;/Star&gt;&lt;Tag&gt;0&lt;/Tag&gt;&lt;Author&gt;Di Pippo, Mariachiara; Santia, Claudia; Rullo, Daria; Ciancimino, Chiara; Grassi, Flaminia; Abdolrahimzadeh, Solmaz&lt;/Author&gt;&lt;Year&gt;2023&lt;/Year&gt;&lt;Details&gt;&lt;_accession_num&gt;37624109&lt;/_accession_num&gt;&lt;_author_adr&gt;Ophthalmology Unit, Neurosciences, Mental Health, and Sense Organs (NESMOS)  Department, Faculty of Medicine and Psychology, University of Rome Sapienza, St.  Andrea Hospital, 00189 Rome, Italy.; Ophthalmology Unit, Neurosciences, Mental Health, and Sense Organs (NESMOS)  Department, Faculty of Medicine and Psychology, University of Rome Sapienza, St.  Andrea Hospital, 00189 Rome, Italy.; Ophthalmology Unit, Neurosciences, Mental Health, and Sense Organs (NESMOS)  Department, Faculty of Medicine and Psychology, University of Rome Sapienza, St.  Andrea Hospital, 00189 Rome, Italy.; Ophthalmology Unit, Neurosciences, Mental Health, and Sense Organs (NESMOS)  Department, Faculty of Medicine and Psychology, University of Rome Sapienza, St.  Andrea Hospital, 00189 Rome, Italy.; Ophthalmology Unit, Neurosciences, Mental Health, and Sense Organs (NESMOS)  Department, Faculty of Medicine and Psychology, University of Rome Sapienza, St.  Andrea Hospital, 00189 Rome, Italy.; Ophthalmology Unit, Neurosciences, Mental Health, and Sense Organs (NESMOS)  Department, Faculty of Medicine and Psychology, University of Rome Sapienza, St.  Andrea Hospital, 00189 Rome, Italy.&lt;/_author_adr&gt;&lt;_date_display&gt;2023 Aug 4&lt;/_date_display&gt;&lt;_date&gt;2023-08-04&lt;/_date&gt;&lt;_doi&gt;10.3390/tomography9040116&lt;/_doi&gt;&lt;_isbn&gt;2379-139X (Electronic); 2379-1381 (Print); 2379-1381 (Linking)&lt;/_isbn&gt;&lt;_issue&gt;4&lt;/_issue&gt;&lt;_journal&gt;Tomography&lt;/_journal&gt;&lt;_keywords&gt;age-related macular degeneration; choroid; choroidal vascularity index; multimodal retinal imaging; optical coherence tomography angiography; spectral-domain optical coherence tomography&lt;/_keywords&gt;&lt;_language&gt;English&lt;/_language&gt;&lt;_pages&gt;1456-1470&lt;/_pages&gt;&lt;_subject_headings&gt;Humans; *Tomography, Optical Coherence; *Macular Degeneration/diagnostic imaging; Choroid/diagnostic imaging; Angiography; Neovascularization, Pathologic&lt;/_subject_headings&gt;&lt;_tertiary_title&gt;Tomography (Ann Arbor, Mich.)&lt;/_tertiary_title&gt;&lt;_type_work&gt;Journal Article; Review&lt;/_type_work&gt;&lt;_url&gt;http://www.ncbi.nlm.nih.gov/entrez/query.fcgi?cmd=Retrieve&amp;amp;db=pubmed&amp;amp;dopt=Abstract&amp;amp;list_uids=37624109&amp;amp;query_hl=1&lt;/_url&gt;&lt;_volume&gt;9&lt;/_volume&gt;&lt;_created&gt;66563449&lt;/_created&gt;&lt;_modified&gt;66563449&lt;/_modified&gt;&lt;_impact_factor&gt;   2.200&lt;/_impact_factor&gt;&lt;_social_category&gt;核医学(4)&lt;/_social_category&gt;&lt;_collection_scope&gt;SCIE&lt;/_collection_scope&gt;&lt;/Details&gt;&lt;Extra&gt;&lt;DBUID&gt;{4639BE48-E8DA-433D-936E-D6A27A715D41}&lt;/DBUID&gt;&lt;/Extra&gt;&lt;/Item&gt;&lt;/References&gt;&lt;/Group&gt;&lt;Group&gt;&lt;References&gt;&lt;Item&gt;&lt;ID&gt;4092&lt;/ID&gt;&lt;UID&gt;{EADF5F9F-581C-4CC2-84E2-358434F1A676}&lt;/UID&gt;&lt;Title&gt;Choroidal vascularity index is independent of ocular and image-based factors in  healthy eyes: a systematic review and meta-analysis&lt;/Title&gt;&lt;Template&gt;Journal Article&lt;/Template&gt;&lt;Star&gt;0&lt;/Star&gt;&lt;Tag&gt;0&lt;/Tag&gt;&lt;Author&gt;Kumar, Meenakshi; Khuu, Sieu K; Trinh, Matt; Madigan, Michele C; Agrawal, Rupesh; Rojas-Carabali, William; Nivison-Smith, Lisa&lt;/Author&gt;&lt;Year&gt;2025&lt;/Year&gt;&lt;Details&gt;&lt;_accession_num&gt;40739311&lt;/_accession_num&gt;&lt;_author_adr&gt;School of Optometry and Vision Science, University of New South Wales (UNSW  Australia), Sydney, NSW, 2052, Australia.; Centre for Eye Health, University of New South Wales, Sydney, 2052, Australia.; School of Optometry and Vision Science, University of New South Wales (UNSW  Australia), Sydney, NSW, 2052, Australia.; School of Optometry and Vision Science, University of New South Wales (UNSW  Australia), Sydney, NSW, 2052, Australia.; Centre for Eye Health, University of New South Wales, Sydney, 2052, Australia.; School of Optometry and Vision Science, University of New South Wales (UNSW  Australia), Sydney, NSW, 2052, Australia.; National Healthcare Group Eye Institute, Tan Tock Seng Hospital, Singapore,  Singapore.; Lee Kong Chian School of Medicine, Nanyang Technological University, Singapore,  308433, Singapore.; Singapore Eye Research Institute and Singapore National Eye Centre, Singapore,  Singapore.; Duke NUS Medical School, Singapore, Singapore.; National Healthcare Group Eye Institute, Tan Tock Seng Hospital, Singapore,  Singapore.; Lee Kong Chian School of Medicine, Nanyang Technological University, Singapore,  308433, Singapore.; School of Optometry and Vision Science, University of New South Wales (UNSW  Australia), Sydney, NSW, 2052, Australia. l.nivison-smith@unsw.edu.au.; Centre for Eye Health, University of New South Wales, Sydney, 2052, Australia.  l.nivison-smith@unsw.edu.au.&lt;/_author_adr&gt;&lt;_date_display&gt;2025 Jul 30&lt;/_date_display&gt;&lt;_date&gt;2025-07-30&lt;/_date&gt;&lt;_doi&gt;10.1038/s41598-025-10384-5&lt;/_doi&gt;&lt;_isbn&gt;2045-2322 (Electronic); 2045-2322 (Linking)&lt;/_isbn&gt;&lt;_issue&gt;1&lt;/_issue&gt;&lt;_journal&gt;Sci Rep&lt;/_journal&gt;&lt;_keywords&gt;CVI; Choroid; Normative value; Vessel lumen&lt;/_keywords&gt;&lt;_language&gt;eng&lt;/_language&gt;&lt;_ori_publication&gt;© 2025. The Author(s).&lt;/_ori_publication&gt;&lt;_pages&gt;27782&lt;/_pages&gt;&lt;_subject_headings&gt;Humans; *Choroid/blood supply/diagnostic imaging; Intraocular Pressure/physiology; Visual Acuity/physiology; Tomography, Optical Coherence&lt;/_subject_headings&gt;&lt;_tertiary_title&gt;Scientific reports&lt;/_tertiary_title&gt;&lt;_type_work&gt;Journal Article; Meta-Analysis; Systematic Review&lt;/_type_work&gt;&lt;_url&gt;http://www.ncbi.nlm.nih.gov/entrez/query.fcgi?cmd=Retrieve&amp;amp;db=pubmed&amp;amp;dopt=Abstract&amp;amp;list_uids=40739311&amp;amp;query_hl=1&lt;/_url&gt;&lt;_volume&gt;15&lt;/_volume&gt;&lt;_created&gt;66563449&lt;/_created&gt;&lt;_modified&gt;66563449&lt;/_modified&gt;&lt;_impact_factor&gt;   3.900&lt;/_impact_factor&gt;&lt;_social_category&gt;综合性期刊(3)&lt;/_social_category&gt;&lt;_collection_scope&gt;SCIE&lt;/_collection_scope&gt;&lt;/Details&gt;&lt;Extra&gt;&lt;DBUID&gt;{4639BE48-E8DA-433D-936E-D6A27A715D41}&lt;/DBUID&gt;&lt;/Extra&gt;&lt;/Item&gt;&lt;/References&gt;&lt;/Group&gt;&lt;/Citation&gt;_x000a_"/>
    <w:docVar w:name="NE.Ref{0F8FB95F-C609-4EEB-8A01-9618024967BE}" w:val=" ADDIN NE.Ref.{0F8FB95F-C609-4EEB-8A01-9618024967BE}&lt;Citation&gt;&lt;Group&gt;&lt;References&gt;&lt;Item&gt;&lt;ID&gt;4103&lt;/ID&gt;&lt;UID&gt;{2788F4D1-156A-4A9E-A3B6-CAD726DE0736}&lt;/UID&gt;&lt;Title&gt;Adolescents&amp;apos; voices on self-engagement in mental health treatment: a scoping  review&lt;/Title&gt;&lt;Template&gt;Journal Article&lt;/Template&gt;&lt;Star&gt;0&lt;/Star&gt;&lt;Tag&gt;0&lt;/Tag&gt;&lt;Author&gt;Svamo, Nina Therese Øversveen; Haug, Sigrid Helene Kjørven; DeMarinis, Valerie; Hertzberg, Urd&lt;/Author&gt;&lt;Year&gt;2024&lt;/Year&gt;&lt;Details&gt;&lt;_accession_num&gt;38538878&lt;/_accession_num&gt;&lt;_author_adr&gt;Research Center for Existential Health, Innlandet Hospital Trust, Brumunddal,  Norway. Nina.Therese.Oversveen.Svamo@sykehuset-innlandet.no.; Inland Norway University of Applied Sciences, Lillehammer, Norway.  Nina.Therese.Oversveen.Svamo@sykehuset-innlandet.no.; Research Center for Existential Health, Innlandet Hospital Trust, Brumunddal,  Norway.; Inland Norway University of Applied Sciences, Elverum, Norway.; Research Center for Existential Health, Innlandet Hospital Trust, Brumunddal,  Norway.; Department of Public Health and Clinical Medicine, Umeå University, Umeå, Sweden.; Medical Library, Innlandet Hospital Trust, Brumunddal, Norway.&lt;/_author_adr&gt;&lt;_date_display&gt;2024 Dec&lt;/_date_display&gt;&lt;_date&gt;2024-12-01&lt;/_date&gt;&lt;_doi&gt;10.1007/s00787-024-02425-7&lt;/_doi&gt;&lt;_isbn&gt;1435-165X (Electronic); 1018-8827 (Print); 1018-8827 (Linking)&lt;/_isbn&gt;&lt;_issue&gt;12&lt;/_issue&gt;&lt;_journal&gt;Eur Child Adolesc Psychiatry&lt;/_journal&gt;&lt;_keywords&gt;Adolescents; Mental health treatment; Person-centered care; Scoping review; Self-engagement&lt;/_keywords&gt;&lt;_language&gt;eng&lt;/_language&gt;&lt;_ori_publication&gt;© 2024. The Author(s).&lt;/_ori_publication&gt;&lt;_pages&gt;4083-4095&lt;/_pages&gt;&lt;_subject_headings&gt;Humans; Adolescent; *Mental Health Services; Mental Disorders/therapy/psychology; Therapeutic Alliance; Patient Participation/psychology&lt;/_subject_headings&gt;&lt;_tertiary_title&gt;European child &amp;amp; adolescent psychiatry&lt;/_tertiary_title&gt;&lt;_type_work&gt;Journal Article; Scoping Review&lt;/_type_work&gt;&lt;_url&gt;http://www.ncbi.nlm.nih.gov/entrez/query.fcgi?cmd=Retrieve&amp;amp;db=pubmed&amp;amp;dopt=Abstract&amp;amp;list_uids=38538878&amp;amp;query_hl=1&lt;/_url&gt;&lt;_volume&gt;33&lt;/_volume&gt;&lt;_created&gt;66563464&lt;/_created&gt;&lt;_modified&gt;66563464&lt;/_modified&gt;&lt;_impact_factor&gt;   4.900&lt;/_impact_factor&gt;&lt;_social_category&gt;儿科(2) &amp;amp; 精神病学(2) &amp;amp; 心理学：发育(3)&lt;/_social_category&gt;&lt;_collection_scope&gt;SCIE;SSCI&lt;/_collection_scope&gt;&lt;/Details&gt;&lt;Extra&gt;&lt;DBUID&gt;{4639BE48-E8DA-433D-936E-D6A27A715D41}&lt;/DBUID&gt;&lt;/Extra&gt;&lt;/Item&gt;&lt;/References&gt;&lt;/Group&gt;&lt;/Citation&gt;_x000a_"/>
    <w:docVar w:name="NE.Ref{1825AE94-787A-44FC-9C00-C700134D4990}" w:val=" ADDIN NE.Ref.{1825AE94-787A-44FC-9C00-C700134D4990}&lt;Citation&gt;&lt;Group&gt;&lt;References&gt;&lt;Item&gt;&lt;ID&gt;2705&lt;/ID&gt;&lt;UID&gt;{76076822-817B-4F12-A4F6-19656926B0F6}&lt;/UID&gt;&lt;Title&gt;Peripheral Defocus in Orthokeratology Myopia Correction: Systematic Review and  Meta-Analysis&lt;/Title&gt;&lt;Template&gt;Journal Article&lt;/Template&gt;&lt;Star&gt;0&lt;/Star&gt;&lt;Tag&gt;0&lt;/Tag&gt;&lt;Author&gt;Queirós, António; Pinheiro, Inês; Fernandes, Paulo&lt;/Author&gt;&lt;Year&gt;2025&lt;/Year&gt;&lt;Details&gt;&lt;_accession_num&gt;39941333&lt;/_accession_num&gt;&lt;_author_adr&gt;Clinical and Experimental Optometry Research Lab (CEORLab), School of Science,  University of Minho, 4710-057 Braga, Portugal.; Physics Center of Minho and Porto Universities, CF-UM-UP, 4710-057 Braga,  Portugal.; Clinical and Experimental Optometry Research Lab (CEORLab), School of Science,  University of Minho, 4710-057 Braga, Portugal.; Clinical and Experimental Optometry Research Lab (CEORLab), School of Science,  University of Minho, 4710-057 Braga, Portugal.; Physics Center of Minho and Porto Universities, CF-UM-UP, 4710-057 Braga,  Portugal.&lt;/_author_adr&gt;&lt;_collection_scope&gt;SCIE&lt;/_collection_scope&gt;&lt;_created&gt;66445849&lt;/_created&gt;&lt;_date&gt;2025-01-21&lt;/_date&gt;&lt;_date_display&gt;2025 Jan 21&lt;/_date_display&gt;&lt;_doi&gt;10.3390/jcm14030662&lt;/_doi&gt;&lt;_impact_factor&gt;   2.900&lt;/_impact_factor&gt;&lt;_isbn&gt;2077-0383 (Print); 2077-0383 (Electronic); 2077-0383 (Linking)&lt;/_isbn&gt;&lt;_issue&gt;3&lt;/_issue&gt;&lt;_journal&gt;J Clin Med&lt;/_journal&gt;&lt;_keywords&gt;myopia progression; myopic defocus; orthokeratology; peripheral refraction&lt;/_keywords&gt;&lt;_language&gt;English&lt;/_language&gt;&lt;_modified&gt;66445849&lt;/_modified&gt;&lt;_social_category&gt;医学：内科(3)&lt;/_social_category&gt;&lt;_tertiary_title&gt;Journal of clinical medicine&lt;/_tertiary_title&gt;&lt;_type_work&gt;Journal Article; Review&lt;/_type_work&gt;&lt;_url&gt;http://www.ncbi.nlm.nih.gov/entrez/query.fcgi?cmd=Retrieve&amp;amp;db=pubmed&amp;amp;dopt=Abstract&amp;amp;list_uids=39941333&amp;amp;query_hl=1&lt;/_url&gt;&lt;_volume&gt;14&lt;/_volume&gt;&lt;/Details&gt;&lt;Extra&gt;&lt;DBUID&gt;{4639BE48-E8DA-433D-936E-D6A27A715D41}&lt;/DBUID&gt;&lt;/Extra&gt;&lt;/Item&gt;&lt;/References&gt;&lt;/Group&gt;&lt;Group&gt;&lt;References&gt;&lt;Item&gt;&lt;ID&gt;2706&lt;/ID&gt;&lt;UID&gt;{9384C8A4-2E22-437B-A7C9-34C98482B91D}&lt;/UID&gt;&lt;Title&gt;The relationship between relative peripheral refraction and axial length elongation in myopic children wearing orthokeratology lenses using a novel wide-angle multispectral refraction topographer&lt;/Title&gt;&lt;Template&gt;Journal Article&lt;/Template&gt;&lt;Star&gt;0&lt;/Star&gt;&lt;Tag&gt;0&lt;/Tag&gt;&lt;Author&gt;Mandantuoya; Ao, Mingxin; Zhang, Yu&lt;/Author&gt;&lt;Year&gt;2026&lt;/Year&gt;&lt;Details&gt;&lt;_alternate_title&gt;Contact Lens and Anterior Eye&lt;/_alternate_title&gt;&lt;_created&gt;66445850&lt;/_created&gt;&lt;_date&gt;2026-01-01&lt;/_date&gt;&lt;_date_display&gt;2026&lt;/_date_display&gt;&lt;_doi&gt;https://doi.org/10.1016/j.clae.2025.102517&lt;/_doi&gt;&lt;_impact_factor&gt;   3.700&lt;/_impact_factor&gt;&lt;_isbn&gt;1367-0484&lt;/_isbn&gt;&lt;_issue&gt;1&lt;/_issue&gt;&lt;_journal&gt;Contact Lens and Anterior Eye&lt;/_journal&gt;&lt;_keywords&gt;OK lenses; Multispectral refraction topographer; Retinal relative defocus values; Wide-angle relative peripheral refraction; Axial length&lt;/_keywords&gt;&lt;_modified&gt;66445850&lt;/_modified&gt;&lt;_pages&gt;102517&lt;/_pages&gt;&lt;_social_category&gt;眼科学(3)&lt;/_social_category&gt;&lt;_url&gt;https://www.sciencedirect.com/science/article/pii/S1367048425001511&lt;/_url&gt;&lt;_volume&gt;49&lt;/_volume&gt;&lt;_language&gt;English&lt;/_language&gt;&lt;/Details&gt;&lt;Extra&gt;&lt;DBUID&gt;{4639BE48-E8DA-433D-936E-D6A27A715D41}&lt;/DBUID&gt;&lt;/Extra&gt;&lt;/Item&gt;&lt;/References&gt;&lt;/Group&gt;&lt;/Citation&gt;_x000a_"/>
    <w:docVar w:name="NE.Ref{1E6D7BB2-F447-4F1F-B9CD-CCA6BF4BB9FD}" w:val=" ADDIN NE.Ref.{1E6D7BB2-F447-4F1F-B9CD-CCA6BF4BB9FD}&lt;Citation&gt;&lt;Group&gt;&lt;References&gt;&lt;Item&gt;&lt;ID&gt;4093&lt;/ID&gt;&lt;UID&gt;{333DD5D4-C851-484B-B6C2-CB1148E7267C}&lt;/UID&gt;&lt;Title&gt;Low-Concentration Atropine for Myopia Progression (LAMP) Study: A Randomized,  Double-Blinded, Placebo-Controlled Trial of 0.05%, 0.025%, and 0.01% Atropine Eye  Drops in Myopia Control&lt;/Title&gt;&lt;Template&gt;Journal Article&lt;/Template&gt;&lt;Star&gt;0&lt;/Star&gt;&lt;Tag&gt;0&lt;/Tag&gt;&lt;Author&gt;Yam, Jason C; Jiang, Yuning; Tang, Shu Min; Law, Antony K P; Chan, Joyce J; Wong, Emily; Ko, Simon T; Young, Alvin L; Tham, Clement C; Chen, Li Jia; Pang, Chi Pui&lt;/Author&gt;&lt;Year&gt;2019&lt;/Year&gt;&lt;Details&gt;&lt;_accession_num&gt;30514630&lt;/_accession_num&gt;&lt;_author_adr&gt;Department of Ophthalmology and Visual Sciences, The Chinese University of Hong  Kong, Hong Kong. Electronic address: yamcheuksing@cuhk.edu.hk.; Department of Ophthalmology and Visual Sciences, The Chinese University of Hong  Kong, Hong Kong.; Department of Ophthalmology and Visual Sciences, The Chinese University of Hong  Kong, Hong Kong.; Department of Ophthalmology and Visual Sciences, The Chinese University of Hong  Kong, Hong Kong.; Department of Ophthalmology and Visual Sciences, The Chinese University of Hong  Kong, Hong Kong.; Department of Ophthalmology and Visual Sciences, The Chinese University of Hong  Kong, Hong Kong.; Department of Ophthalmology, Tung Wah Eastern Hospital, Hong Kong.; Department of Ophthalmology and Visual Sciences, The Chinese University of Hong  Kong, Hong Kong; Department of Ophthalmology and Visual Sciences, Prince of Wales  Hospital, Hong Kong.; Department of Ophthalmology and Visual Sciences, The Chinese University of Hong  Kong, Hong Kong.; Department of Ophthalmology and Visual Sciences, The Chinese University of Hong  Kong, Hong Kong; Department of Ophthalmology and Visual Sciences, Prince of Wales  Hospital, Hong Kong.; Department of Ophthalmology and Visual Sciences, The Chinese University of Hong  Kong, Hong Kong.&lt;/_author_adr&gt;&lt;_date_display&gt;2019 Jan&lt;/_date_display&gt;&lt;_date&gt;2019-01-01&lt;/_date&gt;&lt;_doi&gt;10.1016/j.ophtha.2018.05.029&lt;/_doi&gt;&lt;_isbn&gt;1549-4713 (Electronic); 0161-6420 (Linking)&lt;/_isbn&gt;&lt;_issue&gt;1&lt;/_issue&gt;&lt;_journal&gt;Ophthalmology&lt;/_journal&gt;&lt;_language&gt;English&lt;/_language&gt;&lt;_ori_publication&gt;Copyright © 2018 American Academy of Ophthalmology. Published by Elsevier Inc. _x000d__x000a_      All rights reserved.&lt;/_ori_publication&gt;&lt;_pages&gt;113-124&lt;/_pages&gt;&lt;_subject_headings&gt;Accommodation, Ocular/physiology; Administration, Ophthalmic; Atropine/*administration &amp;amp; dosage; Axial Length, Eye; Child; Child, Preschool; Disease Progression; Dose-Response Relationship, Drug; Double-Blind Method; Female; Humans; Male; Muscarinic Antagonists/*administration &amp;amp; dosage; Myopia/diagnosis/*drug therapy/physiopathology; Ophthalmic Solutions; Quality of Life; Refraction, Ocular/physiology; Surveys and Questionnaires; Vision Tests; Visual Acuity/physiology&lt;/_subject_headings&gt;&lt;_tertiary_title&gt;Ophthalmology&lt;/_tertiary_title&gt;&lt;_type_work&gt;Clinical Trial, Phase I; Journal Article; Randomized Controlled Trial; Research Support, Non-U.S. Gov&amp;apos;t&lt;/_type_work&gt;&lt;_url&gt;http://www.ncbi.nlm.nih.gov/entrez/query.fcgi?cmd=Retrieve&amp;amp;db=pubmed&amp;amp;dopt=Abstract&amp;amp;list_uids=30514630&amp;amp;query_hl=1&lt;/_url&gt;&lt;_volume&gt;126&lt;/_volume&gt;&lt;_created&gt;66563450&lt;/_created&gt;&lt;_modified&gt;66563450&lt;/_modified&gt;&lt;_impact_factor&gt;   9.500&lt;/_impact_factor&gt;&lt;_social_category&gt;眼科学(1)&lt;/_social_category&gt;&lt;_collection_scope&gt;SCIE&lt;/_collection_scope&gt;&lt;/Details&gt;&lt;Extra&gt;&lt;DBUID&gt;{4639BE48-E8DA-433D-936E-D6A27A715D41}&lt;/DBUID&gt;&lt;/Extra&gt;&lt;/Item&gt;&lt;/References&gt;&lt;/Group&gt;&lt;Group&gt;&lt;References&gt;&lt;Item&gt;&lt;ID&gt;4094&lt;/ID&gt;&lt;UID&gt;{486044A5-575E-4DDF-AE97-6B26577A7B3C}&lt;/UID&gt;&lt;Title&gt;Incidence of Adverse Events Induced by Atropine in Myopic Children: A  Meta-Analysis&lt;/Title&gt;&lt;Template&gt;Journal Article&lt;/Template&gt;&lt;Star&gt;0&lt;/Star&gt;&lt;Tag&gt;0&lt;/Tag&gt;&lt;Author&gt;Sun, Hong; Bu, Fengjiao; Xin, Xiu; Yan, Jingchao&lt;/Author&gt;&lt;Year&gt;2023&lt;/Year&gt;&lt;Details&gt;&lt;_accession_num&gt;37492894&lt;/_accession_num&gt;&lt;_author_adr&gt;Department of Pharmacy, Eye &amp;amp; ENT Hospital, Fudan University, Shanghai, China.; Department of Pharmacy, Eye &amp;amp; ENT Hospital, Fudan University, Shanghai, China.; Department of Pharmacy, Eye &amp;amp; ENT Hospital, Fudan University, Shanghai, China.; Department of Pharmacy, Eye &amp;amp; ENT Hospital, Fudan University, Shanghai, China.&lt;/_author_adr&gt;&lt;_date_display&gt;2023 Dec&lt;/_date_display&gt;&lt;_date&gt;2023-12-01&lt;/_date&gt;&lt;_doi&gt;10.1002/jcph.2320&lt;/_doi&gt;&lt;_isbn&gt;1552-4604 (Electronic); 0091-2700 (Linking)&lt;/_isbn&gt;&lt;_issue&gt;12&lt;/_issue&gt;&lt;_journal&gt;J Clin Pharmacol&lt;/_journal&gt;&lt;_keywords&gt;adverse events; atropine; children; meta-analysis; myopia&lt;/_keywords&gt;&lt;_language&gt;eng&lt;/_language&gt;&lt;_ori_publication&gt;© 2023, The American College of Clinical Pharmacology.&lt;/_ori_publication&gt;&lt;_pages&gt;1377-1386&lt;/_pages&gt;&lt;_subject_headings&gt;Humans; Child; *Atropine/adverse effects; Mydriatics/adverse effects; Photophobia/chemically induced; Incidence; Disease Progression; *Myopia/drug therapy/chemically induced/prevention &amp;amp; control; Ophthalmic Solutions/adverse effects&lt;/_subject_headings&gt;&lt;_tertiary_title&gt;Journal of clinical pharmacology&lt;/_tertiary_title&gt;&lt;_type_work&gt;Journal Article; Meta-Analysis; Systematic Review&lt;/_type_work&gt;&lt;_url&gt;http://www.ncbi.nlm.nih.gov/entrez/query.fcgi?cmd=Retrieve&amp;amp;db=pubmed&amp;amp;dopt=Abstract&amp;amp;list_uids=37492894&amp;amp;query_hl=1&lt;/_url&gt;&lt;_volume&gt;63&lt;/_volume&gt;&lt;_created&gt;66563451&lt;/_created&gt;&lt;_modified&gt;66563451&lt;/_modified&gt;&lt;_impact_factor&gt;   2.300&lt;/_impact_factor&gt;&lt;_social_category&gt;药学(3)&lt;/_social_category&gt;&lt;_collection_scope&gt;SCIE&lt;/_collection_scope&gt;&lt;/Details&gt;&lt;Extra&gt;&lt;DBUID&gt;{4639BE48-E8DA-433D-936E-D6A27A715D41}&lt;/DBUID&gt;&lt;/Extra&gt;&lt;/Item&gt;&lt;/References&gt;&lt;/Group&gt;&lt;/Citation&gt;_x000a_"/>
    <w:docVar w:name="NE.Ref{1F05FF51-D670-48DE-B0A8-0CD34704B43B}" w:val=" ADDIN NE.Ref.{1F05FF51-D670-48DE-B0A8-0CD34704B43B}&lt;Citation&gt;&lt;Group&gt;&lt;References&gt;&lt;Item&gt;&lt;ID&gt;4090&lt;/ID&gt;&lt;UID&gt;{06F9B5B1-5241-4F98-ABA4-F8780FE5E69F}&lt;/UID&gt;&lt;Title&gt;Choroidal Vascularity and Axial Length Elongation in Highly Myopic Children: A  2-Year Longitudinal Investigation&lt;/Title&gt;&lt;Template&gt;Journal Article&lt;/Template&gt;&lt;Star&gt;0&lt;/Star&gt;&lt;Tag&gt;0&lt;/Tag&gt;&lt;Author&gt;Xuan, Meng; Wang, Decai; Xiao, Ou; Guo, Xinxing; Zhang, Jian; Yin, Qiuxia; Wang, Wei; He, Mingguang; Li, Zhixi&lt;/Author&gt;&lt;Year&gt;2024&lt;/Year&gt;&lt;Details&gt;&lt;_accession_num&gt;39102263&lt;/_accession_num&gt;&lt;_author_adr&gt;State Key Laboratory of Ophthalmology, Zhongshan Ophthalmic Center, Sun Yat-Sen  University, Guangzhou, China.; Guangdong Provincial Key Laboratory of Ophthalmology and Visual Science,  Guangdong Provincial Clinical Research Center for Ocular Diseases, Guangzhou,  China.; State Key Laboratory of Ophthalmology, Zhongshan Ophthalmic Center, Sun Yat-Sen  University, Guangzhou, China.; Guangdong Provincial Key Laboratory of Ophthalmology and Visual Science,  Guangdong Provincial Clinical Research Center for Ocular Diseases, Guangzhou,  China.; State Key Laboratory of Ophthalmology, Zhongshan Ophthalmic Center, Sun Yat-Sen  University, Guangzhou, China.; Guangdong Provincial Key Laboratory of Ophthalmology and Visual Science,  Guangdong Provincial Clinical Research Center for Ocular Diseases, Guangzhou,  China.; Wilmer Eye Institute, Johns Hopkins University, Baltimore, Maryland, United  States.; State Key Laboratory of Ophthalmology, Zhongshan Ophthalmic Center, Sun Yat-Sen  University, Guangzhou, China.; Guangdong Provincial Key Laboratory of Ophthalmology and Visual Science,  Guangdong Provincial Clinical Research Center for Ocular Diseases, Guangzhou,  China.; State Key Laboratory of Ophthalmology, Zhongshan Ophthalmic Center, Sun Yat-Sen  University, Guangzhou, China.; Guangdong Provincial Key Laboratory of Ophthalmology and Visual Science,  Guangdong Provincial Clinical Research Center for Ocular Diseases, Guangzhou,  China.; State Key Laboratory of Ophthalmology, Zhongshan Ophthalmic Center, Sun Yat-Sen  University, Guangzhou, China.; Guangdong Provincial Key Laboratory of Ophthalmology and Visual Science,  Guangdong Provincial Clinical Research Center for Ocular Diseases, Guangzhou,  China.; State Key Laboratory of Ophthalmology, Zhongshan Ophthalmic Center, Sun Yat-Sen  University, Guangzhou, China.; School of Optometry, The Hong Kong Polytechnic University, Kowloon, Hong Kong.; Research Centre for SHARP Vision, The Hong Kong Polytechnic University, Kowloon,  Hong Kong.; State Key Laboratory of Ophthalmology, Zhongshan Ophthalmic Center, Sun Yat-Sen  University, Guangzhou, China.; Guangdong Provincial Key Laboratory of Ophthalmology and Visual Science,  Guangdong Provincial Clinical Research Center for Ocular Diseases, Guangzhou,  China.&lt;/_author_adr&gt;&lt;_date_display&gt;2024 Aug 1&lt;/_date_display&gt;&lt;_date&gt;2024-08-01&lt;/_date&gt;&lt;_doi&gt;10.1167/iovs.65.10.7&lt;/_doi&gt;&lt;_isbn&gt;1552-5783 (Electronic); 0146-0404 (Print); 0146-0404 (Linking)&lt;/_isbn&gt;&lt;_issue&gt;10&lt;/_issue&gt;&lt;_journal&gt;Invest Ophthalmol Vis Sci&lt;/_journal&gt;&lt;_language&gt;eng&lt;/_language&gt;&lt;_pages&gt;7&lt;/_pages&gt;&lt;_subject_headings&gt;Humans; *Choroid/blood supply/pathology/diagnostic imaging; Male; Female; Child; Prospective Studies; *Tomography, Optical Coherence/methods; *Axial Length, Eye/pathology/diagnostic imaging; Adolescent; *Myopia, Degenerative/physiopathology/diagnosis; Follow-Up Studies; Longitudinal Studies&lt;/_subject_headings&gt;&lt;_tertiary_title&gt;Investigative ophthalmology &amp;amp; visual science&lt;/_tertiary_title&gt;&lt;_type_work&gt;Journal Article; Observational Study; Research Support, Non-U.S. Gov&amp;apos;t&lt;/_type_work&gt;&lt;_url&gt;http://www.ncbi.nlm.nih.gov/entrez/query.fcgi?cmd=Retrieve&amp;amp;db=pubmed&amp;amp;dopt=Abstract&amp;amp;list_uids=39102263&amp;amp;query_hl=1&lt;/_url&gt;&lt;_volume&gt;65&lt;/_volume&gt;&lt;_created&gt;66563446&lt;/_created&gt;&lt;_modified&gt;66563446&lt;/_modified&gt;&lt;_impact_factor&gt;   4.700&lt;/_impact_factor&gt;&lt;_social_category&gt;眼科学(2)&lt;/_social_category&gt;&lt;_collection_scope&gt;SCIE&lt;/_collection_scope&gt;&lt;/Details&gt;&lt;Extra&gt;&lt;DBUID&gt;{4639BE48-E8DA-433D-936E-D6A27A715D41}&lt;/DBUID&gt;&lt;/Extra&gt;&lt;/Item&gt;&lt;/References&gt;&lt;/Group&gt;&lt;/Citation&gt;_x000a_"/>
    <w:docVar w:name="NE.Ref{211D258D-C6BD-4315-B55E-F7E72129E5F4}" w:val=" ADDIN NE.Ref.{211D258D-C6BD-4315-B55E-F7E72129E5F4}&lt;Citation&gt;&lt;Group&gt;&lt;References&gt;&lt;Item&gt;&lt;ID&gt;4095&lt;/ID&gt;&lt;UID&gt;{A521266C-FDAB-4553-A7B5-104198723909}&lt;/UID&gt;&lt;Title&gt;IMI - Clinical Management Guidelines Report&lt;/Title&gt;&lt;Template&gt;Journal Article&lt;/Template&gt;&lt;Star&gt;0&lt;/Star&gt;&lt;Tag&gt;0&lt;/Tag&gt;&lt;Author&gt;Gifford, Kate L; Richdale, Kathryn; Kang, Pauline; Aller, Thomas A; Lam, Carly S; Liu, Y Maria; Michaud, Langis; Mulder, Jeroen; Orr, Janis B; Rose, Kathryn A; Saunders, Kathryn J; Seidel, Dirk; Tideman, J Willem L; Sankaridurg, Padmaja&lt;/Author&gt;&lt;Year&gt;2019&lt;/Year&gt;&lt;Details&gt;&lt;_accession_num&gt;30817832&lt;/_accession_num&gt;&lt;_author_adr&gt;Private Practice and Queensland University of Technology, Brisbane, Queensland,  Australia.; University of Houston, Houston, Texas, United States.; University of New South Wales, Sydney, New South Wales, Australia.; Private Practice and University of California, Berkeley, United States.; The Hong Kong Polytechnic University, Hong Kong.; University of California, Berkeley, California, United States.; University of Montreal, Montreal, Quebec, Canada.; University of Applied Sciences Utrecht, Utrecht, The Netherlands.; Aston University, Birmingham, United Kingdom.; University of Technology Sydney, New South Wales, Australia.; Ulster University, Londonderry, United Kingdom.; Glasgow Caledonian University, Glasgow, United Kingdom.; Erasmus Medical Centre, Rotterdam, The Netherlands.; Brien Holden Vision Institute, Sydney, New South Wales, Australia.&lt;/_author_adr&gt;&lt;_date_display&gt;2019 Feb 28&lt;/_date_display&gt;&lt;_date&gt;2019-02-28&lt;/_date&gt;&lt;_doi&gt;10.1167/iovs.18-25977&lt;/_doi&gt;&lt;_isbn&gt;1552-5783 (Electronic); 0146-0404 (Linking)&lt;/_isbn&gt;&lt;_issue&gt;3&lt;/_issue&gt;&lt;_journal&gt;Invest Ophthalmol Vis Sci&lt;/_journal&gt;&lt;_language&gt;eng&lt;/_language&gt;&lt;_pages&gt;M184-M203&lt;/_pages&gt;&lt;_subject_headings&gt;Evidence-Based Medicine; Humans; Informed Consent; Internationality; Myopia/*prevention &amp;amp; control; Off-Label Use; *Practice Guidelines as Topic; Risk Factors&lt;/_subject_headings&gt;&lt;_tertiary_title&gt;Investigative ophthalmology &amp;amp; visual science&lt;/_tertiary_title&gt;&lt;_type_work&gt;Journal Article; Research Support, Non-U.S. Gov&amp;apos;t; Review&lt;/_type_work&gt;&lt;_url&gt;http://www.ncbi.nlm.nih.gov/entrez/query.fcgi?cmd=Retrieve&amp;amp;db=pubmed&amp;amp;dopt=Abstract&amp;amp;list_uids=30817832&amp;amp;query_hl=1&lt;/_url&gt;&lt;_volume&gt;60&lt;/_volume&gt;&lt;_created&gt;66563452&lt;/_created&gt;&lt;_modified&gt;66563452&lt;/_modified&gt;&lt;_impact_factor&gt;   4.700&lt;/_impact_factor&gt;&lt;_social_category&gt;眼科学(2)&lt;/_social_category&gt;&lt;_collection_scope&gt;SCIE&lt;/_collection_scope&gt;&lt;/Details&gt;&lt;Extra&gt;&lt;DBUID&gt;{4639BE48-E8DA-433D-936E-D6A27A715D41}&lt;/DBUID&gt;&lt;/Extra&gt;&lt;/Item&gt;&lt;/References&gt;&lt;/Group&gt;&lt;/Citation&gt;_x000a_"/>
    <w:docVar w:name="NE.Ref{223B2036-A4E2-49D8-853F-D6BC59736560}" w:val=" ADDIN NE.Ref.{223B2036-A4E2-49D8-853F-D6BC59736560}&lt;Citation&gt;&lt;Group&gt;&lt;References&gt;&lt;Item&gt;&lt;ID&gt;2699&lt;/ID&gt;&lt;UID&gt;{4AADC40A-08AB-4D59-866B-ED048329C091}&lt;/UID&gt;&lt;Title&gt;Long-term myopia control effect and safety in children wearing DIMS spectacle  lenses for 6 years&lt;/Title&gt;&lt;Template&gt;Journal Article&lt;/Template&gt;&lt;Star&gt;0&lt;/Star&gt;&lt;Tag&gt;0&lt;/Tag&gt;&lt;Author&gt;Lam, Carly Siu Yin; Tang, Wing Chun; Zhang, Han Yu; Lee, Paul H; Tse, Dennis Yan Yin; Qi, Hua; Vlasak, Natalia; To, Chi Ho&lt;/Author&gt;&lt;Year&gt;2023&lt;/Year&gt;&lt;Details&gt;&lt;_accession_num&gt;37015996&lt;/_accession_num&gt;&lt;_author_adr&gt;Centre for Myopia Research, School of Optometry, The Hong Kong Polytechnic  University, Hung Hom, Kowloon, Hong Kong. carly.lam@polyu.edu.hk.; Centre for Eye and Vision Research, Sha Tin, Hong Kong. carly.lam@polyu.edu.hk.; Centre for Myopia Research, School of Optometry, The Hong Kong Polytechnic  University, Hung Hom, Kowloon, Hong Kong.; Centre for Myopia Research, School of Optometry, The Hong Kong Polytechnic  University, Hung Hom, Kowloon, Hong Kong.; School of Medicine, Nankai University, Tianjin, China.; Southampton Clinical Trials Unit, University of Southampton, Southampton, UK.; Centre for Myopia Research, School of Optometry, The Hong Kong Polytechnic  University, Hung Hom, Kowloon, Hong Kong.; Centre for Eye and Vision Research, Sha Tin, Hong Kong.; Technical Research and Development Department, Hoya Vision Care, Tokyo, Japan.; Technical Research and Development Department, Hoya Vision Care, Amsterdam, The  Netherlands.; Centre for Myopia Research, School of Optometry, The Hong Kong Polytechnic  University, Hung Hom, Kowloon, Hong Kong.; Centre for Eye and Vision Research, Sha Tin, Hong Kong.&lt;/_author_adr&gt;&lt;_collection_scope&gt;SCIE&lt;/_collection_scope&gt;&lt;_created&gt;66445840&lt;/_created&gt;&lt;_date&gt;2023-04-04&lt;/_date&gt;&lt;_date_display&gt;2023 Apr 4&lt;/_date_display&gt;&lt;_doi&gt;10.1038/s41598-023-32700-7&lt;/_doi&gt;&lt;_impact_factor&gt;   3.900&lt;/_impact_factor&gt;&lt;_isbn&gt;2045-2322 (Electronic); 2045-2322 (Linking)&lt;/_isbn&gt;&lt;_issue&gt;1&lt;/_issue&gt;&lt;_journal&gt;Sci Rep&lt;/_journal&gt;&lt;_language&gt;English&lt;/_language&gt;&lt;_modified&gt;66445840&lt;/_modified&gt;&lt;_ori_publication&gt;© 2023. The Author(s).&lt;/_ori_publication&gt;&lt;_pages&gt;5475&lt;/_pages&gt;&lt;_social_category&gt;综合性期刊(3)&lt;/_social_category&gt;&lt;_subject_headings&gt;Humans; Child; *Eyeglasses; Refraction, Ocular; *Myopia/therapy; Vision Tests&lt;/_subject_headings&gt;&lt;_tertiary_title&gt;Scientific reports&lt;/_tertiary_title&gt;&lt;_type_work&gt;Journal Article; Research Support, Non-U.S. Gov&amp;apos;t&lt;/_type_work&gt;&lt;_url&gt;http://www.ncbi.nlm.nih.gov/entrez/query.fcgi?cmd=Retrieve&amp;amp;db=pubmed&amp;amp;dopt=Abstract&amp;amp;list_uids=37015996&amp;amp;query_hl=1&lt;/_url&gt;&lt;_volume&gt;13&lt;/_volume&gt;&lt;/Details&gt;&lt;Extra&gt;&lt;DBUID&gt;{4639BE48-E8DA-433D-936E-D6A27A715D41}&lt;/DBUID&gt;&lt;/Extra&gt;&lt;/Item&gt;&lt;/References&gt;&lt;/Group&gt;&lt;/Citation&gt;_x000a_"/>
    <w:docVar w:name="NE.Ref{3176648B-B5AE-44C1-B2E6-861DCD4F279C}" w:val=" ADDIN NE.Ref.{3176648B-B5AE-44C1-B2E6-861DCD4F279C}&lt;Citation&gt;&lt;Group&gt;&lt;References&gt;&lt;Item&gt;&lt;ID&gt;2701&lt;/ID&gt;&lt;UID&gt;{592E59E3-9873-4094-AD1E-7B09A0C35BF3}&lt;/UID&gt;&lt;Title&gt;Myopia prevention and control in children: a systematic review and network meta-analysis&lt;/Title&gt;&lt;Template&gt;Journal Article&lt;/Template&gt;&lt;Star&gt;0&lt;/Star&gt;&lt;Tag&gt;0&lt;/Tag&gt;&lt;Author&gt;Zhang, Guanghong; Jiang, Jun; Qu, Chao&lt;/Author&gt;&lt;Year&gt;2023&lt;/Year&gt;&lt;Details&gt;&lt;_accession_num&gt;37106147&lt;/_accession_num&gt;&lt;_created&gt;66445844&lt;/_created&gt;&lt;_date&gt;2023-11-01&lt;/_date&gt;&lt;_date_display&gt;2023/11/&lt;/_date_display&gt;&lt;_db_updated&gt;PubMed&lt;/_db_updated&gt;&lt;_doi&gt;10.1038/s41433-023-02534-8&lt;/_doi&gt;&lt;_isbn&gt;1476-5454&lt;/_isbn&gt;&lt;_issue&gt;16&lt;/_issue&gt;&lt;_journal&gt;Eye (London, England)&lt;/_journal&gt;&lt;_keywords&gt;Child; Humans; Disease Progression; *Myopia/prevention &amp;amp; control/drug therapy; Atropine/therapeutic use; *Contact Lenses, Hydrophilic; Refraction, Ocular; Axial Length, Eye&lt;/_keywords&gt;&lt;_modified&gt;66445844&lt;/_modified&gt;&lt;_pages&gt;3461-3469&lt;/_pages&gt;&lt;_place_published&gt;England&lt;/_place_published&gt;&lt;_url&gt;https://pubmed.ncbi.nlm.nih.gov/37106147_x000d__x000a_https://www.ncbi.nlm.nih.gov/pmc/articles/PMC10630522/&lt;/_url&gt;&lt;_volume&gt;37&lt;/_volume&gt;&lt;_language&gt;English&lt;/_language&gt;&lt;/Details&gt;&lt;Extra&gt;&lt;DBUID&gt;{4639BE48-E8DA-433D-936E-D6A27A715D41}&lt;/DBUID&gt;&lt;/Extra&gt;&lt;/Item&gt;&lt;/References&gt;&lt;/Group&gt;&lt;/Citation&gt;_x000a_"/>
    <w:docVar w:name="NE.Ref{374AEFAB-15E5-4730-89E2-CF9561DCB5D4}" w:val=" ADDIN NE.Ref.{374AEFAB-15E5-4730-89E2-CF9561DCB5D4}&lt;Citation&gt;&lt;Group&gt;&lt;References&gt;&lt;Item&gt;&lt;ID&gt;2692&lt;/ID&gt;&lt;UID&gt;{D165E7BE-A894-4551-895C-5CEE95AD98A4}&lt;/UID&gt;&lt;Title&gt;Critical factors to predict efficacy of orthokeratology in inhibiting axial elongation in myopic children&lt;/Title&gt;&lt;Template&gt;Journal Article&lt;/Template&gt;&lt;Star&gt;0&lt;/Star&gt;&lt;Tag&gt;0&lt;/Tag&gt;&lt;Author&gt;Deng, Yuanqi; Li, Xuewei; Zhao, Mingwei; Li, Yan; Wang, Kai&lt;/Author&gt;&lt;Year&gt;2025&lt;/Year&gt;&lt;Details&gt;&lt;_alternate_title&gt;BMC Ophthalmology&lt;/_alternate_title&gt;&lt;_collection_scope&gt;SCIE&lt;/_collection_scope&gt;&lt;_created&gt;66445816&lt;/_created&gt;&lt;_date&gt;2025-01-01&lt;/_date&gt;&lt;_date_display&gt;2025&lt;/_date_display&gt;&lt;_doi&gt;10.1186/s12886-025-04265-8&lt;/_doi&gt;&lt;_impact_factor&gt;   1.700&lt;/_impact_factor&gt;&lt;_isbn&gt;1471-2415&lt;/_isbn&gt;&lt;_issue&gt;1&lt;/_issue&gt;&lt;_journal&gt;BMC Ophthalmology&lt;/_journal&gt;&lt;_modified&gt;66445816&lt;/_modified&gt;&lt;_number&gt;Deng2025&lt;/_number&gt;&lt;_pages&gt;433&lt;/_pages&gt;&lt;_social_category&gt;眼科学(3)&lt;/_social_category&gt;&lt;_url&gt;https://doi.org/10.1186/s12886-025-04265-8&lt;/_url&gt;&lt;_volume&gt;25&lt;/_volume&gt;&lt;_language&gt;English&lt;/_language&gt;&lt;/Details&gt;&lt;Extra&gt;&lt;DBUID&gt;{4639BE48-E8DA-433D-936E-D6A27A715D41}&lt;/DBUID&gt;&lt;/Extra&gt;&lt;/Item&gt;&lt;/References&gt;&lt;/Group&gt;&lt;/Citation&gt;_x000a_"/>
    <w:docVar w:name="NE.Ref{41E198C9-67F4-4A18-A551-D1E8D7619B0D}" w:val=" ADDIN NE.Ref.{41E198C9-67F4-4A18-A551-D1E8D7619B0D}&lt;Citation&gt;&lt;Group&gt;&lt;References&gt;&lt;Item&gt;&lt;ID&gt;2694&lt;/ID&gt;&lt;UID&gt;{A75BBE86-BB59-4659-9A74-04BA42BF70AC}&lt;/UID&gt;&lt;Title&gt;Short-term choroidal changes as early indicators for future myopic shift in  primary school children: results of a 2-year cohort study&lt;/Title&gt;&lt;Template&gt;Journal Article&lt;/Template&gt;&lt;Star&gt;0&lt;/Star&gt;&lt;Tag&gt;0&lt;/Tag&gt;&lt;Author&gt;Wu, Hao; Liu, Mengqi; Wang, Yuanyuan; Li, Xiang; Zhou, Weihe; Li, Haoer; Xie, Zhu; Wang, Pengqi; Zhang, Tingting; Qu, Wei; Huang, Jing; Zhao, Yunpeng; Wang, Jiefang; Zhang, Sen; Qu, Jia; Ye, Cong; Zhou, Xiangtian&lt;/Author&gt;&lt;Year&gt;2025&lt;/Year&gt;&lt;Details&gt;&lt;_accession_num&gt;39227133&lt;/_accession_num&gt;&lt;_author_adr&gt;National Clinical Research Center for Ocular Diseases, Eye Hospital, Wenzhou  Medical University, Wenzhou, Zhejiang, China.; State Key Laboratory of Ophthalmology, Optometry and Vision Science, Eye  Hospital, Wenzhou Medical University, Wenzhou, Zhejiang, China.; National Clinical Research Center for Ocular Diseases, Eye Hospital, Wenzhou  Medical University, Wenzhou, Zhejiang, China.; National Clinical Research Center for Ocular Diseases, Eye Hospital, Wenzhou  Medical University, Wenzhou, Zhejiang, China.; National Clinical Research Center for Ocular Diseases, Eye Hospital, Wenzhou  Medical University, Wenzhou, Zhejiang, China.; National Clinical Research Center for Ocular Diseases, Eye Hospital, Wenzhou  Medical University, Wenzhou, Zhejiang, China.; National Clinical Research Center for Ocular Diseases, Eye Hospital, Wenzhou  Medical University, Wenzhou, Zhejiang, China.; National Clinical Research Center for Ocular Diseases, Eye Hospital, Wenzhou  Medical University, Wenzhou, Zhejiang, China.; National Clinical Research Center for Ocular Diseases, Eye Hospital, Wenzhou  Medical University, Wenzhou, Zhejiang, China.; National Clinical Research Center for Ocular Diseases, Eye Hospital, Wenzhou  Medical University, Wenzhou, Zhejiang, China.; National Clinical Research Center for Ocular Diseases, Eye Hospital, Wenzhou  Medical University, Wenzhou, Zhejiang, China.; National Clinical Research Center for Ocular Diseases, Eye Hospital, Wenzhou  Medical University, Wenzhou, Zhejiang, China.; National Clinical Research Center for Ocular Diseases, Eye Hospital, Wenzhou  Medical University, Wenzhou, Zhejiang, China.; National Clinical Research Center for Ocular Diseases, Eye Hospital, Wenzhou  Medical University, Wenzhou, Zhejiang, China.; State Key Laboratory of Ophthalmology, Optometry and Vision Science, Eye  Hospital, Wenzhou Medical University, Wenzhou, Zhejiang, China.; National Clinical Research Center for Ocular Diseases, Eye Hospital, Wenzhou  Medical University, Wenzhou, Zhejiang, China.; State Key Laboratory of Ophthalmology, Optometry and Vision Science, Eye  Hospital, Wenzhou Medical University, Wenzhou, Zhejiang, China.; Research Unit of Myopia Basic Research and Clinical Prevention and Control,  Chinese Academy of Medical Sciences (2019RU025), Wenzhou, Zhejiang, China.; National Clinical Research Center for Ocular Diseases, Eye Hospital, Wenzhou  Medical University, Wenzhou, Zhejiang, China zxt@mail.eye.ac.cn  yecong@wmu.edu.cn.; National Clinical Research Center for Ocular Diseases, Eye Hospital, Wenzhou  Medical University, Wenzhou, Zhejiang, China zxt@mail.eye.ac.cn  yecong@wmu.edu.cn.; State Key Laboratory of Ophthalmology, Optometry and Vision Science, Eye  Hospital, Wenzhou Medical University, Wenzhou, Zhejiang, China.; Research Unit of Myopia Basic Research and Clinical Prevention and Control,  Chinese Academy of Medical Sciences (2019RU025), Wenzhou, Zhejiang, China.&lt;/_author_adr&gt;&lt;_collection_scope&gt;SCIE&lt;/_collection_scope&gt;&lt;_created&gt;66445821&lt;/_created&gt;&lt;_date&gt;2025-01-28&lt;/_date&gt;&lt;_date_display&gt;2025 Jan 28&lt;/_date_display&gt;&lt;_doi&gt;10.1136/bjo-2024-325871&lt;/_doi&gt;&lt;_impact_factor&gt;   3.500&lt;/_impact_factor&gt;&lt;_isbn&gt;1468-2079 (Electronic); 0007-1161 (Linking)&lt;/_isbn&gt;&lt;_issue&gt;2&lt;/_issue&gt;&lt;_journal&gt;Br J Ophthalmol&lt;/_journal&gt;&lt;_keywords&gt;Child health (paediatrics); Choroid; Epidemiology&lt;/_keywords&gt;&lt;_language&gt;English&lt;/_language&gt;&lt;_modified&gt;66445821&lt;/_modified&gt;&lt;_ori_publication&gt;© Author(s) (or their employer(s)) 2025. No commercial re-use. See rights and _x000d__x000a_      permissions. Published by BMJ Group.&lt;/_ori_publication&gt;&lt;_pages&gt;273-280&lt;/_pages&gt;&lt;_social_category&gt;眼科学(2)&lt;/_social_category&gt;&lt;_subject_headings&gt;Humans; Female; Male; *Choroid/pathology/diagnostic imaging; Child; Tomography, Optical Coherence/methods; *Refraction, Ocular/physiology; Prospective Studies; *Myopia/physiopathology/diagnosis; Follow-Up Studies; ROC Curve; Disease Progression; Visual Acuity/physiology&lt;/_subject_headings&gt;&lt;_tertiary_title&gt;The British journal of ophthalmology&lt;/_tertiary_title&gt;&lt;_type_work&gt;Journal Article&lt;/_type_work&gt;&lt;_url&gt;http://www.ncbi.nlm.nih.gov/entrez/query.fcgi?cmd=Retrieve&amp;amp;db=pubmed&amp;amp;dopt=Abstract&amp;amp;list_uids=39227133&amp;amp;query_hl=1&lt;/_url&gt;&lt;_volume&gt;109&lt;/_volume&gt;&lt;/Details&gt;&lt;Extra&gt;&lt;DBUID&gt;{4639BE48-E8DA-433D-936E-D6A27A715D41}&lt;/DBUID&gt;&lt;/Extra&gt;&lt;/Item&gt;&lt;/References&gt;&lt;/Group&gt;&lt;/Citation&gt;_x000a_"/>
    <w:docVar w:name="NE.Ref{47BCBF93-F85F-4726-A08F-681F9F0D9716}" w:val=" ADDIN NE.Ref.{47BCBF93-F85F-4726-A08F-681F9F0D9716}&lt;Citation&gt;&lt;Group&gt;&lt;References&gt;&lt;Item&gt;&lt;ID&gt;2685&lt;/ID&gt;&lt;UID&gt;{6675DEA6-3E71-4BFB-8533-DB75C3A89F4C}&lt;/UID&gt;&lt;Title&gt;Effects of myopia on health-related quality of life in adolescents: a population-based cross-sectional causal empirical survey&lt;/Title&gt;&lt;Template&gt;Journal Article&lt;/Template&gt;&lt;Star&gt;0&lt;/Star&gt;&lt;Tag&gt;0&lt;/Tag&gt;&lt;Author&gt;Lu, Liyong; Zheng, Yu; Xu, Yanjiao; Feng, Junchao; Li, Shunping&lt;/Author&gt;&lt;Year&gt;2024&lt;/Year&gt;&lt;Details&gt;&lt;_alternate_title&gt;BMJ Open Ophthalmology&lt;/_alternate_title&gt;&lt;_date_display&gt;2024/10/23&lt;/_date_display&gt;&lt;_date&gt;2024-10-23&lt;/_date&gt;&lt;_doi&gt;10.1136/bmjophth-2024-001730&lt;/_doi&gt;&lt;_issue&gt;1&lt;/_issue&gt;&lt;_journal&gt;BMJ Open Ophthalmology&lt;/_journal&gt;&lt;_pages&gt;e001730&lt;/_pages&gt;&lt;_url&gt;https://doi.org/10.1136/bmjophth-2024-001730&lt;/_url&gt;&lt;_volume&gt;9&lt;/_volume&gt;&lt;_created&gt;66445807&lt;/_created&gt;&lt;_modified&gt;66445807&lt;/_modified&gt;&lt;_impact_factor&gt;   2.200&lt;/_impact_factor&gt;&lt;_social_category&gt;眼科学(3)&lt;/_social_category&gt;&lt;_collection_scope&gt;ESCI&lt;/_collection_scope&gt;&lt;/Details&gt;&lt;Extra&gt;&lt;DBUID&gt;{4639BE48-E8DA-433D-936E-D6A27A715D41}&lt;/DBUID&gt;&lt;/Extra&gt;&lt;/Item&gt;&lt;/References&gt;&lt;/Group&gt;&lt;/Citation&gt;_x000a_"/>
    <w:docVar w:name="NE.Ref{4A92C1F6-67BC-46B7-9ED1-22DC62C43EC2}" w:val=" ADDIN NE.Ref.{4A92C1F6-67BC-46B7-9ED1-22DC62C43EC2}&lt;Citation&gt;&lt;Group&gt;&lt;References&gt;&lt;Item&gt;&lt;ID&gt;2690&lt;/ID&gt;&lt;UID&gt;{E66E3699-166A-4C2B-8097-F7A5B32E08BB}&lt;/UID&gt;&lt;Title&gt;Advances in myopia control strategies for children&lt;/Title&gt;&lt;Template&gt;Journal Article&lt;/Template&gt;&lt;Star&gt;0&lt;/Star&gt;&lt;Tag&gt;0&lt;/Tag&gt;&lt;Author&gt;Zhang, Xiu Juan; Zaabaar, Ebenezer; French, Amanda Nicole; Tang, Fang Yao; Kam, Ka Wai; Tham, Clement C; Chen, Li Jia; Pang, Chi Pui; Yam, Jason C&lt;/Author&gt;&lt;Year&gt;2025&lt;/Year&gt;&lt;Details&gt;&lt;_accession_num&gt;38777389&lt;/_accession_num&gt;&lt;_author_adr&gt;Department of Ophthalmology and Visual Sciences, The Chinese University of Hong  Kong, Hong Kong SAR, China.; Department of Ophthalmology and Visual Sciences, The Chinese University of Hong  Kong, Hong Kong SAR, China.; Discipline of Orthoptics, University of Sydney, Sydney, New South Wales,  Australia.; Department of Ophthalmology and Visual Sciences, The Chinese University of Hong  Kong, Hong Kong SAR, China.; Department of Ophthalmology and Visual Sciences, The Chinese University of Hong  Kong, Hong Kong SAR, China.; Department of Ophthalmology and Visual Sciences, The Prince of Wales Hospital,  Hong Kong SAR, China.; Department of Ophthalmology and Visual Sciences, The Chinese University of Hong  Kong, Hong Kong SAR, China.; Department of Ophthalmology and Visual Sciences, The Prince of Wales Hospital,  Hong Kong SAR, China.; Hong Kong Eye Hospital, Hong Kong SAR, China.; Lam Kin Chung. Jet King-Shing Ho Glaucoma Treatment and Research Centre,  Department of Ophthalmology and Visual Sciences, The Chinese University of Hong  Kong, Hong Kong SAR, China.; Department of Ophthalmology, Hong Kong Children Hospital, Hong Kong SAR, China.; Hong Kong Hub of Paediatric Excellence, The Chinese University of Hong Kong, Hong  Kong SAR, China.; Department of Ophthalmology and Visual Sciences, The Chinese University of Hong  Kong, Hong Kong SAR, China.; Department of Ophthalmology and Visual Sciences, The Prince of Wales Hospital,  Hong Kong SAR, China.; Hong Kong Eye Hospital, Hong Kong SAR, China.; Lam Kin Chung. Jet King-Shing Ho Glaucoma Treatment and Research Centre,  Department of Ophthalmology and Visual Sciences, The Chinese University of Hong  Kong, Hong Kong SAR, China.; Hong Kong Hub of Paediatric Excellence, The Chinese University of Hong Kong, Hong  Kong SAR, China.; Department of Ophthalmology and Visual Sciences, The Chinese University of Hong  Kong, Hong Kong SAR, China.; Lam Kin Chung. Jet King-Shing Ho Glaucoma Treatment and Research Centre,  Department of Ophthalmology and Visual Sciences, The Chinese University of Hong  Kong, Hong Kong SAR, China.; Hong Kong Hub of Paediatric Excellence, The Chinese University of Hong Kong, Hong  Kong SAR, China.; Department of Ophthalmology and Visual Sciences, The Chinese University of Hong  Kong, Hong Kong SAR, China yamcheuksing@cuhk.edu.hk.; Department of Ophthalmology and Visual Sciences, The Prince of Wales Hospital,  Hong Kong SAR, China.; Hong Kong Eye Hospital, Hong Kong SAR, China.; Department of Ophthalmology, Hong Kong Children Hospital, Hong Kong SAR, China.; Hong Kong Hub of Paediatric Excellence, The Chinese University of Hong Kong, Hong  Kong SAR, China.&lt;/_author_adr&gt;&lt;_collection_scope&gt;SCIE&lt;/_collection_scope&gt;&lt;_created&gt;66445812&lt;/_created&gt;&lt;_date&gt;2025-01-28&lt;/_date&gt;&lt;_date_display&gt;2025 Jan 28&lt;/_date_display&gt;&lt;_doi&gt;10.1136/bjo-2023-323887&lt;/_doi&gt;&lt;_impact_factor&gt;   3.500&lt;/_impact_factor&gt;&lt;_isbn&gt;1468-2079 (Electronic); 0007-1161 (Linking)&lt;/_isbn&gt;&lt;_issue&gt;2&lt;/_issue&gt;&lt;_journal&gt;Br J Ophthalmol&lt;/_journal&gt;&lt;_keywords&gt;Child health (paediatrics); Epidemiology; Optics and Refraction&lt;/_keywords&gt;&lt;_language&gt;English&lt;/_language&gt;&lt;_modified&gt;66445812&lt;/_modified&gt;&lt;_ori_publication&gt;© Author(s) (or their employer(s)) 2025. No commercial re-use. See rights and _x000d__x000a_      permissions. Published by BMJ Group.&lt;/_ori_publication&gt;&lt;_pages&gt;165-176&lt;/_pages&gt;&lt;_social_category&gt;眼科学(2)&lt;/_social_category&gt;&lt;_subject_headings&gt;Humans; *Myopia/therapy/prevention &amp;amp; control/physiopathology; *Eyeglasses; Child; *Orthokeratologic Procedures/methods; Atropine/administration &amp;amp; dosage/therapeutic use; Refraction, Ocular/physiology; Mydriatics/administration &amp;amp; dosage; Disease Progression&lt;/_subject_headings&gt;&lt;_tertiary_title&gt;The British journal of ophthalmology&lt;/_tertiary_title&gt;&lt;_type_work&gt;Journal Article; Review&lt;/_type_work&gt;&lt;_url&gt;http://www.ncbi.nlm.nih.gov/entrez/query.fcgi?cmd=Retrieve&amp;amp;db=pubmed&amp;amp;dopt=Abstract&amp;amp;list_uids=38777389&amp;amp;query_hl=1&lt;/_url&gt;&lt;_volume&gt;109&lt;/_volume&gt;&lt;/Details&gt;&lt;Extra&gt;&lt;DBUID&gt;{4639BE48-E8DA-433D-936E-D6A27A715D41}&lt;/DBUID&gt;&lt;/Extra&gt;&lt;/Item&gt;&lt;/References&gt;&lt;/Group&gt;&lt;Group&gt;&lt;References&gt;&lt;Item&gt;&lt;ID&gt;2702&lt;/ID&gt;&lt;UID&gt;{8C7109FD-2F34-4B61-898A-C38E73D3D2C3}&lt;/UID&gt;&lt;Title&gt;Retinal &amp;quot;sweet spot&amp;quot; for myopia treatment&lt;/Title&gt;&lt;Template&gt;Journal Article&lt;/Template&gt;&lt;Star&gt;0&lt;/Star&gt;&lt;Tag&gt;0&lt;/Tag&gt;&lt;Author&gt;Swiatczak, Barbara; Scholl, Hendrik P N; Schaeffel, Frank&lt;/Author&gt;&lt;Year&gt;2024&lt;/Year&gt;&lt;Details&gt;&lt;_accession_num&gt;39501066&lt;/_accession_num&gt;&lt;_author_adr&gt;Institute of Molecular and Clinical Ophthalmology Basel (IOB), Basel,  Switzerland. barbaraswiatczak@gmail.com.; University of Basel, Basel, Switzerland.; Department of Clinical Pharmacology, Medical University of Vienna, Vienna,  Austria.; Institute of Molecular and Clinical Ophthalmology Basel (IOB), Basel,  Switzerland.; Section of Neurobiology of the Eye, Ophthalmic Research Institute, University of  Tuebingen, Tuebingen, Germany.; Zeiss Vision Lab, Institute of Ophthalmic Research, University of Tuebingen,  Tuebingen, Germany.&lt;/_author_adr&gt;&lt;_collection_scope&gt;SCIE&lt;/_collection_scope&gt;&lt;_created&gt;66445847&lt;/_created&gt;&lt;_date&gt;2024-11-05&lt;/_date&gt;&lt;_date_display&gt;2024 Nov 5&lt;/_date_display&gt;&lt;_doi&gt;10.1038/s41598-024-78300-x&lt;/_doi&gt;&lt;_impact_factor&gt;   3.900&lt;/_impact_factor&gt;&lt;_isbn&gt;2045-2322 (Electronic); 2045-2322 (Linking)&lt;/_isbn&gt;&lt;_issue&gt;1&lt;/_issue&gt;&lt;_journal&gt;Sci Rep&lt;/_journal&gt;&lt;_keywords&gt;Axial length; Defocus; Emmetropization; Fovea; Periphery; Retina&lt;/_keywords&gt;&lt;_language&gt;English&lt;/_language&gt;&lt;_modified&gt;66445847&lt;/_modified&gt;&lt;_ori_publication&gt;© 2024. The Author(s).&lt;/_ori_publication&gt;&lt;_pages&gt;26773&lt;/_pages&gt;&lt;_social_category&gt;综合性期刊(3)&lt;/_social_category&gt;&lt;_subject_headings&gt;Humans; *Myopia/physiopathology; Female; Male; Adult; *Retina; *Fovea Centralis; Young Adult; Fixation, Ocular/physiology; Refraction, Ocular/physiology&lt;/_subject_headings&gt;&lt;_tertiary_title&gt;Scientific reports&lt;/_tertiary_title&gt;&lt;_type_work&gt;Journal Article&lt;/_type_work&gt;&lt;_url&gt;http://www.ncbi.nlm.nih.gov/entrez/query.fcgi?cmd=Retrieve&amp;amp;db=pubmed&amp;amp;dopt=Abstract&amp;amp;list_uids=39501066&amp;amp;query_hl=1&lt;/_url&gt;&lt;_volume&gt;14&lt;/_volume&gt;&lt;/Details&gt;&lt;Extra&gt;&lt;DBUID&gt;{4639BE48-E8DA-433D-936E-D6A27A715D41}&lt;/DBUID&gt;&lt;/Extra&gt;&lt;/Item&gt;&lt;/References&gt;&lt;/Group&gt;&lt;Group&gt;&lt;References&gt;&lt;Item&gt;&lt;ID&gt;2704&lt;/ID&gt;&lt;UID&gt;{782B7C4A-5D2C-438A-AC10-54C7F7B6BFEF}&lt;/UID&gt;&lt;Title&gt;Dynamic changes of choroidal vasculature and its association with myopia control  efficacy in children during 1-year orthokeratology treatment&lt;/Title&gt;&lt;Template&gt;Journal Article&lt;/Template&gt;&lt;Star&gt;0&lt;/Star&gt;&lt;Tag&gt;0&lt;/Tag&gt;&lt;Author&gt;Liu, Mengqi; Huang, Jing; Xie, Zhu; Wang, Yuanyuan; Wang, Pengqi; Xia, Ruijing; Liu, Xinting; Su, Binbin; Qu, Jia; Zhou, Xiangtian; Mao, Xinjie; Wu, Hao&lt;/Author&gt;&lt;Year&gt;2025&lt;/Year&gt;&lt;Details&gt;&lt;_accession_num&gt;39349350&lt;/_accession_num&gt;&lt;_author_adr&gt;National Clinical Research Center for Ocular Diseases, Eye Hospital, Wenzhou  Medical University, Wenzhou, Zhejiang 325027, China; State Key Laboratory of  Ophthalmology, Optometry and Visual Science, Eye Hospital, Wenzhou Medical  University, Wenzhou, Zhejiang 325027, China.; National Clinical Research Center for Ocular Diseases, Eye Hospital, Wenzhou  Medical University, Wenzhou, Zhejiang 325027, China; State Key Laboratory of  Ophthalmology, Optometry and Visual Science, Eye Hospital, Wenzhou Medical  University, Wenzhou, Zhejiang 325027, China.; National Clinical Research Center for Ocular Diseases, Eye Hospital, Wenzhou  Medical University, Wenzhou, Zhejiang 325027, China; State Key Laboratory of  Ophthalmology, Optometry and Visual Science, Eye Hospital, Wenzhou Medical  University, Wenzhou, Zhejiang 325027, China.; National Clinical Research Center for Ocular Diseases, Eye Hospital, Wenzhou  Medical University, Wenzhou, Zhejiang 325027, China; State Key Laboratory of  Ophthalmology, Optometry and Visual Science, Eye Hospital, Wenzhou Medical  University, Wenzhou, Zhejiang 325027, China.; National Clinical Research Center for Ocular Diseases, Eye Hospital, Wenzhou  Medical University, Wenzhou, Zhejiang 325027, China; State Key Laboratory of  Ophthalmology, Optometry and Visual Science, Eye Hospital, Wenzhou Medical  University, Wenzhou, Zhejiang 325027, China.; National Clinical Research Center for Ocular Diseases, Eye Hospital, Wenzhou  Medical University, Wenzhou, Zhejiang 325027, China; State Key Laboratory of  Ophthalmology, Optometry and Visual Science, Eye Hospital, Wenzhou Medical  University, Wenzhou, Zhejiang 325027, China.; National Clinical Research Center for Ocular Diseases, Eye Hospital, Wenzhou  Medical University, Wenzhou, Zhejiang 325027, China; State Key Laboratory of  Ophthalmology, Optometry and Visual Science, Eye Hospital, Wenzhou Medical  University, Wenzhou, Zhejiang 325027, China.; National Clinical Research Center for Ocular Diseases, Eye Hospital, Wenzhou  Medical University, Wenzhou, Zhejiang 325027, China; State Key Laboratory of  Ophthalmology, Optometry and Visual Science, Eye Hospital, Wenzhou Medical  University, Wenzhou, Zhejiang 325027, China.; National Clinical Research Center for Ocular Diseases, Eye Hospital, Wenzhou  Medical University, Wenzhou, Zhejiang 325027, China; State Key Laboratory of  Ophthalmology, Optometry and Visual Science, Eye Hospital, Wenzhou Medical  University, Wenzhou, Zhejiang 325027, China.; State Key Laboratory of Ophthalmology, Optometry and Visual Science, Eye  Hospital, Wenzhou Medical University, Wenzhou, Zhejiang 325027, China; Oujiang  Laboratory (Zhejiang Lab for Regenerative Medicine, Vision, and Brain Health),  Eye Hospital, Wenzhou Medical University, Wenzhou, Zhejiang 325027, China;  Research Unit of Myopia Basic Research and Clinical Prevention and Control,  Chinese Academy of Medical Sciences (2019RU025), Wenzhou, Zhejiang 325027, China.; National Clinical Research Center for Ocular Diseases, Eye Hospital, Wenzhou  Medical University, Wenzhou, Zhejiang 325027, China; State Key Laboratory of  Ophthalmology, Optometry and Visual Science, Eye Hospital, Wenzhou Medical  University, Wenzhou, Zhejiang 325027, China. Electronic address:  mxj@mail.eye.ac.cn.; National Clinical Research Center for Ocular Diseases, Eye Hospital, Wenzhou  Medical University, Wenzhou, Zhejiang 325027, China; State Key Laboratory of  Ophthalmology, Optometry and Visual Science, Eye Hospital, Wenzhou Medical  University, Wenzhou, Zhejiang 325027, China. Electronic address:  wuhao@mail.eye.ac.cn.&lt;/_author_adr&gt;&lt;_collection_scope&gt;SCIE&lt;/_collection_scope&gt;&lt;_created&gt;66445847&lt;/_created&gt;&lt;_date&gt;2025-02-01&lt;/_date&gt;&lt;_date_display&gt;2025 Feb&lt;/_date_display&gt;&lt;_doi&gt;10.1016/j.clae.2024.102314&lt;/_doi&gt;&lt;_impact_factor&gt;   3.700&lt;/_impact_factor&gt;&lt;_isbn&gt;1476-5411 (Electronic); 1367-0484 (Linking)&lt;/_isbn&gt;&lt;_issue&gt;1&lt;/_issue&gt;&lt;_journal&gt;Cont Lens Anterior Eye&lt;/_journal&gt;&lt;_keywords&gt;Choriocapillaris; Choroidal vascularity; Myopia; Orthokeratology&lt;/_keywords&gt;&lt;_language&gt;English&lt;/_language&gt;&lt;_modified&gt;66445847&lt;/_modified&gt;&lt;_ori_publication&gt;Copyright © 2024 British Contact Lens Association. Published by Elsevier Ltd. All _x000d__x000a_      rights reserved.&lt;/_ori_publication&gt;&lt;_pages&gt;102314&lt;/_pages&gt;&lt;_social_category&gt;眼科学(3)&lt;/_social_category&gt;&lt;_subject_headings&gt;Humans; *Orthokeratologic Procedures; Child; *Choroid/blood supply/diagnostic imaging; Male; Female; *Myopia/therapy/physiopathology; Adolescent; *Axial Length, Eye/diagnostic imaging; *Tomography, Optical Coherence; Treatment Outcome; Refraction, Ocular/physiology; Follow-Up Studies; Eyeglasses&lt;/_subject_headings&gt;&lt;_tertiary_title&gt;Contact lens &amp;amp; anterior eye : the journal of the British Contact Lens Association&lt;/_tertiary_title&gt;&lt;_type_work&gt;Journal Article; Observational Study&lt;/_type_work&gt;&lt;_url&gt;http://www.ncbi.nlm.nih.gov/entrez/query.fcgi?cmd=Retrieve&amp;amp;db=pubmed&amp;amp;dopt=Abstract&amp;amp;list_uids=39349350&amp;amp;query_hl=1&lt;/_url&gt;&lt;_volume&gt;48&lt;/_volume&gt;&lt;/Details&gt;&lt;Extra&gt;&lt;DBUID&gt;{4639BE48-E8DA-433D-936E-D6A27A715D41}&lt;/DBUID&gt;&lt;/Extra&gt;&lt;/Item&gt;&lt;/References&gt;&lt;/Group&gt;&lt;/Citation&gt;_x000a_"/>
    <w:docVar w:name="NE.Ref{5DB8A1C7-B4FE-49C0-9DF9-1652D7CE9E11}" w:val=" ADDIN NE.Ref.{5DB8A1C7-B4FE-49C0-9DF9-1652D7CE9E11}&lt;Citation&gt;&lt;Group&gt;&lt;References&gt;&lt;Item&gt;&lt;ID&gt;4082&lt;/ID&gt;&lt;UID&gt;{8B814E44-ADB5-4AD1-BD26-F3796B36DE10}&lt;/UID&gt;&lt;Title&gt;Outcomes in randomized controlled trials on slowing myopia: A systematic review&lt;/Title&gt;&lt;Template&gt;Journal Article&lt;/Template&gt;&lt;Star&gt;0&lt;/Star&gt;&lt;Tag&gt;0&lt;/Tag&gt;&lt;Author&gt;Xu, Yiyang; Chen, Nan; Zhang, Fei; Zeng, Xuanling; Wang, Tianlin; Xia, Wanying; Yang, Xingyue&lt;/Author&gt;&lt;Year&gt;2026&lt;/Year&gt;&lt;Details&gt;&lt;_accession_num&gt;40889963&lt;/_accession_num&gt;&lt;_author_adr&gt;School of Acupuncture-Moxibustion and Tuina, Beijing University of Chinese  Medicine, Beijing, China; Dongfang Hospital, Beijing University of Chinese  Medicine, Beijing, China.; Beijing Hospital of Traditional Chinese Medicine, Capital Medical University,  Beijing, China.; Shandong Vocational College of Special Education, Shandong, China.; Beijing University of Chinese Medicine, Beijing, China.; Guang&amp;apos;anmen Hospital, China Academy of Chinese Medical Sciences, Beijing, China.; Beijing University of Chinese Medicine, Beijing, China.; School of Acupuncture-Moxibustion and Tuina, Beijing University of Chinese  Medicine, Beijing, China. Electronic address: yangxy0714@163.com.&lt;/_author_adr&gt;&lt;_date_display&gt;2026 Jan-Mar&lt;/_date_display&gt;&lt;_date&gt;2026-01-01&lt;/_date&gt;&lt;_doi&gt;10.1016/j.optom.2025.100562&lt;/_doi&gt;&lt;_isbn&gt;1989-1342 (Electronic); 1888-4296 (Print); 1989-1342 (Linking)&lt;/_isbn&gt;&lt;_issue&gt;1&lt;/_issue&gt;&lt;_journal&gt;J Optom&lt;/_journal&gt;&lt;_keywords&gt;Myopia; Outcome; Randomized controlled trial; Systematic review&lt;/_keywords&gt;&lt;_language&gt;English&lt;/_language&gt;&lt;_ori_publication&gt;Copyright © 2025 The Authors. Published by Elsevier España, S.L.U. All rights _x000d__x000a_      reserved.&lt;/_ori_publication&gt;&lt;_pages&gt;100562&lt;/_pages&gt;&lt;_subject_headings&gt;Humans; *Myopia/therapy/physiopathology/prevention &amp;amp; control; *Randomized Controlled Trials as Topic; *Refraction, Ocular/physiology; Eyeglasses&lt;/_subject_headings&gt;&lt;_tertiary_title&gt;Journal of optometry&lt;/_tertiary_title&gt;&lt;_type_work&gt;Journal Article; Systematic Review&lt;/_type_work&gt;&lt;_url&gt;http://www.ncbi.nlm.nih.gov/entrez/query.fcgi?cmd=Retrieve&amp;amp;db=pubmed&amp;amp;dopt=Abstract&amp;amp;list_uids=40889963&amp;amp;query_hl=1&lt;/_url&gt;&lt;_volume&gt;19&lt;/_volume&gt;&lt;_created&gt;66563431&lt;/_created&gt;&lt;_modified&gt;66563431&lt;/_modified&gt;&lt;_impact_factor&gt;   1.800&lt;/_impact_factor&gt;&lt;_social_category&gt;眼科学(3)&lt;/_social_category&gt;&lt;_collection_scope&gt;ESCI&lt;/_collection_scope&gt;&lt;/Details&gt;&lt;Extra&gt;&lt;DBUID&gt;{4639BE48-E8DA-433D-936E-D6A27A715D41}&lt;/DBUID&gt;&lt;/Extra&gt;&lt;/Item&gt;&lt;/References&gt;&lt;/Group&gt;&lt;Group&gt;&lt;References&gt;&lt;Item&gt;&lt;ID&gt;4083&lt;/ID&gt;&lt;UID&gt;{8FEF1283-E048-4F24-BAAC-52CE29873453}&lt;/UID&gt;&lt;Title&gt;Interventions for myopia control in children: a living systematic review and  network meta-analysis&lt;/Title&gt;&lt;Template&gt;Journal Article&lt;/Template&gt;&lt;Star&gt;0&lt;/Star&gt;&lt;Tag&gt;0&lt;/Tag&gt;&lt;Author&gt;Lawrenson, John G; Huntjens, Byki; Virgili, Gianni; Ng, Sueko; Dhakal, Rohit; Downie, Laura E; Verkicharla, Pavan K; Kernohan, Ashleigh; Li, Tianjing; Walline, Jeffrey J&lt;/Author&gt;&lt;Year&gt;2025&lt;/Year&gt;&lt;Details&gt;&lt;_accession_num&gt;39945354&lt;/_accession_num&gt;&lt;_author_adr&gt;Centre for Applied Vision Research, School of Health &amp;amp; Medical Sciences, City St  George&amp;apos;s, University of London, London, UK.; Centre for Applied Vision Research, School of Health &amp;amp; Medical Sciences, City St  George&amp;apos;s, University of London, London, UK.; Department of Neurosciences, Psychology, Drug Research and Child Health  (NEUROFARBA), University of Florence, Florence, Italy.; Centre for Public Health, Queen&amp;apos;s University Belfast, Belfast, UK.; Department of Ophthalmology, University of Colorado Denver Anschutz Medical  Campus, Aurora, CO, USA.; Department of Optometry and Vision Science, University of Alabama at Birmingham,  Birmingham, AL, USA.; Department of Optometry and Vision Sciences, The University of Melbourne,  Melbourne, Australia.; Myopia Research Lab, Prof. Brien Holden Eye Research Centre, L V Prasad Eye  Institute, Hyderabad, India.; Population Health Sciences Institute, Newcastle University, Newcastle upon Tyne,  UK.; Department of Ophthalmology, University of Colorado Denver Anschutz Medical  Campus, Aurora, CO, USA.; College of Optometry, The Ohio State University, Columbus, Ohio, USA.&lt;/_author_adr&gt;&lt;_date_display&gt;2025 Feb 13&lt;/_date_display&gt;&lt;_date&gt;2025-02-13&lt;/_date&gt;&lt;_doi&gt;10.1002/14651858.CD014758.pub3&lt;/_doi&gt;&lt;_isbn&gt;1469-493X (Electronic); 1361-6137 (Linking)&lt;/_isbn&gt;&lt;_issue&gt;2&lt;/_issue&gt;&lt;_journal&gt;Cochrane Database Syst Rev&lt;/_journal&gt;&lt;_language&gt;English&lt;/_language&gt;&lt;_ori_publication&gt;Copyright © 2025 The Cochrane Collaboration. Published by John Wiley &amp;amp; Sons, Ltd.&lt;/_ori_publication&gt;&lt;_pages&gt;CD014758&lt;/_pages&gt;&lt;_subject_headings&gt;Humans; Child; *Myopia/therapy/prevention &amp;amp; control; Randomized Controlled Trials as Topic; Disease Progression; Adolescent; Bias; Phototherapy/methods; Refraction, Ocular; Behavior Therapy; Atropine/therapeutic use; Eyeglasses; Axial Length, Eye&lt;/_subject_headings&gt;&lt;_tertiary_title&gt;The Cochrane database of systematic reviews&lt;/_tertiary_title&gt;&lt;_type_work&gt;Journal Article; Network Meta-Analysis; Systematic Review&lt;/_type_work&gt;&lt;_url&gt;http://www.ncbi.nlm.nih.gov/entrez/query.fcgi?cmd=Retrieve&amp;amp;db=pubmed&amp;amp;dopt=Abstract&amp;amp;list_uids=39945354&amp;amp;query_hl=1&lt;/_url&gt;&lt;_volume&gt;2&lt;/_volume&gt;&lt;_created&gt;66563431&lt;/_created&gt;&lt;_modified&gt;66563431&lt;/_modified&gt;&lt;_impact_factor&gt;   9.400&lt;/_impact_factor&gt;&lt;_social_category&gt;医学：内科(2)&lt;/_social_category&gt;&lt;_collection_scope&gt;SCIE&lt;/_collection_scope&gt;&lt;/Details&gt;&lt;Extra&gt;&lt;DBUID&gt;{4639BE48-E8DA-433D-936E-D6A27A715D41}&lt;/DBUID&gt;&lt;/Extra&gt;&lt;/Item&gt;&lt;/References&gt;&lt;/Group&gt;&lt;Group&gt;&lt;References&gt;&lt;Item&gt;&lt;ID&gt;4084&lt;/ID&gt;&lt;UID&gt;{A044B318-DFFD-45C4-A35A-E9A917B877E3}&lt;/UID&gt;&lt;Title&gt;Repeated Low-Level Red Light Therapy for Myopia Control in High Myopia Children  and Adolescents: A Randomized Clinical Trial&lt;/Title&gt;&lt;Template&gt;Journal Article&lt;/Template&gt;&lt;Star&gt;0&lt;/Star&gt;&lt;Tag&gt;0&lt;/Tag&gt;&lt;Author&gt;Xu, Yan; Cui, Lipu; Kong, Miao; Li, Qian; Feng, Xueliang; Feng, Kehong; Zhu, Huang; Cui, Hongping; Shi, Caiping; Zhang, Jian; Zou, Haidong&lt;/Author&gt;&lt;Year&gt;2024&lt;/Year&gt;&lt;Details&gt;&lt;_accession_num&gt;38849054&lt;/_accession_num&gt;&lt;_author_adr&gt;Shanghai Eye Diseases Prevention &amp;amp;Treatment Center/ Shanghai Eye Hospital, School  of Medicine, Tongji University, Shanghai, China.; Department of Ophthalmology, Shanghai General Hospital, Shanghai Jiao Tong  University School of Medicine, Shanghai, China; Shanghai Key Laboratory of Ocular  Fundus Disease, Shanghai, China.; Shanxi Eye Hospital, Taiyuan, Shanxi, China.; Shanghai East Hospital, School of Medicine, Tongji University, Shanghai, China.; Shanxi Eye Hospital, Taiyuan, Shanxi, China.; Children&amp;apos;s Hospital of Soochow University, Suzhou, Jiangsu, China.; Xinhua Hospital affiliated to Shanghai Jiao Tong University School of Medicine,  Shanghai, China.; Shanghai East Hospital, School of Medicine, Tongji University, Shanghai, China.; Children&amp;apos;s Hospital of Zhejiang University School of Medicine, Hangzhou,  Zhejiang, China.; State Key Laboratory of Ophthalmology, Zhongshan Ophthalmic Center, Sun Yat-sen  University, Guangzhou, China; Guangdong Provincial Key Laboratory of  Ophthalmology and Visual Science, Guangzhou, China; Guangdong Provincial Clinical  Research Center for Ocular Disease, Guangzhou, China. Electronic address:  zhangjian5417@163.com.; Shanghai Eye Diseases Prevention &amp;amp;Treatment Center/ Shanghai Eye Hospital, School  of Medicine, Tongji University, Shanghai, China; Department of Ophthalmology,  Shanghai General Hospital, Shanghai Jiao Tong University School of Medicine,  Shanghai, China; Shanghai Key Laboratory of Ocular Fundus Disease, Shanghai,  China; Shanghai Engineering Center for Visual Science and Photomedicine,  Shanghai, China; Shanghai Engineering Center for Precise Diagnosis and Treatment  of Eye Diseases, Shanghai, China; National Clinical Research Center for Eye  Diseases, Shanghai, China. Electronic address: zouhaidong@sjtu.edu.cn.&lt;/_author_adr&gt;&lt;_date_display&gt;2024 Nov&lt;/_date_display&gt;&lt;_date&gt;2024-11-01&lt;/_date&gt;&lt;_doi&gt;10.1016/j.ophtha.2024.05.023&lt;/_doi&gt;&lt;_isbn&gt;1549-4713 (Electronic); 0161-6420 (Linking)&lt;/_isbn&gt;&lt;_issue&gt;11&lt;/_issue&gt;&lt;_journal&gt;Ophthalmology&lt;/_journal&gt;&lt;_keywords&gt;Axial shortening; Children and adolescents; High myopia; Repeated low-level red light&lt;/_keywords&gt;&lt;_language&gt;eng&lt;/_language&gt;&lt;_ori_publication&gt;Copyright © 2024 American Academy of Ophthalmology. Published by Elsevier Inc. _x000d__x000a_      All rights reserved.&lt;/_ori_publication&gt;&lt;_pages&gt;1314-1323&lt;/_pages&gt;&lt;_subject_headings&gt;Humans; Child; Adolescent; Male; Female; *Visual Acuity/physiology; *Refraction, Ocular/physiology; Single-Blind Method; *Myopia, Degenerative/physiopathology/therapy; Low-Level Light Therapy/methods; Eyeglasses; Treatment Outcome; Follow-Up Studies&lt;/_subject_headings&gt;&lt;_tertiary_title&gt;Ophthalmology&lt;/_tertiary_title&gt;&lt;_type_work&gt;Journal Article; Multicenter Study; Randomized Controlled Trial; Research Support, Non-U.S. Gov&amp;apos;t&lt;/_type_work&gt;&lt;_url&gt;http://www.ncbi.nlm.nih.gov/entrez/query.fcgi?cmd=Retrieve&amp;amp;db=pubmed&amp;amp;dopt=Abstract&amp;amp;list_uids=38849054&amp;amp;query_hl=1&lt;/_url&gt;&lt;_volume&gt;131&lt;/_volume&gt;&lt;_created&gt;66563431&lt;/_created&gt;&lt;_modified&gt;66563431&lt;/_modified&gt;&lt;_impact_factor&gt;   9.500&lt;/_impact_factor&gt;&lt;_social_category&gt;眼科学(1)&lt;/_social_category&gt;&lt;_collection_scope&gt;SCIE&lt;/_collection_scope&gt;&lt;/Details&gt;&lt;Extra&gt;&lt;DBUID&gt;{4639BE48-E8DA-433D-936E-D6A27A715D41}&lt;/DBUID&gt;&lt;/Extra&gt;&lt;/Item&gt;&lt;/References&gt;&lt;/Group&gt;&lt;/Citation&gt;_x000a_"/>
    <w:docVar w:name="NE.Ref{5DDC101B-66E5-410D-AF15-B6F97FB40E21}" w:val=" ADDIN NE.Ref.{5DDC101B-66E5-410D-AF15-B6F97FB40E21}&lt;Citation&gt;&lt;Group&gt;&lt;References&gt;&lt;Item&gt;&lt;ID&gt;4079&lt;/ID&gt;&lt;UID&gt;{54CC308D-E8D4-4775-9858-B66540759969}&lt;/UID&gt;&lt;Title&gt;Global prevalence, trend and projection of myopia in children and adolescents  from 1990 to 2050: a comprehensive systematic review and meta-analysis&lt;/Title&gt;&lt;Template&gt;Journal Article&lt;/Template&gt;&lt;Star&gt;0&lt;/Star&gt;&lt;Tag&gt;0&lt;/Tag&gt;&lt;Author&gt;Liang, Jinghong; Pu, Yingqi; Chen, Jiaqi; Liu, Meiling; Ouyang, Bowen; Jin, Zhengge; Ge, Wenxin; Wu, Zhuowen; Yang, Xiuzhi; Qin, Chunsong; Wang, Cong; Huang, Shan; Jiang, Nan; Hu, Lixin; Zhang, Yushan; Gui, Zhaohuan; Pu, Xueya; Huang, Shaoyi; Chen, Yajun&lt;/Author&gt;&lt;Year&gt;2025&lt;/Year&gt;&lt;Details&gt;&lt;_accession_num&gt;39317432&lt;/_accession_num&gt;&lt;_author_adr&gt;Department of Maternal and Child Health, School of Public Health, Sun Yat-Sen  University, Guangzhou, China.; Department of Maternal and Child Health, School of Public Health, Sun Yat-Sen  University, Guangzhou, China.; Department of Maternal and Child Health, School of Public Health, Sun Yat-Sen  University, Guangzhou, China.; Department of Maternal and Child Health, School of Public Health, Sun Yat-Sen  University, Guangzhou, China.; Hainan Eye Hospital and Key Laboratory of Ophthalmology, Zhongshan Ophthalmic  Center, Sun Yat-sen University, Haikou, China.; Department of Maternal and Child Health, School of Public Health, Sun Yat-Sen  University, Guangzhou, China.; Department of Maternal and Child Health, School of Public Health, Sun Yat-Sen  University, Guangzhou, China.; Department of Maternal and Child Health, School of Public Health, Sun Yat-Sen  University, Guangzhou, China.; Department of Maternal and Child Health, School of Public Health, Sun Yat-Sen  University, Guangzhou, China.; Department of Occupational and Environmental Health, School of Public Health, Sun  Yat-Sen University, Guangzhou, China.; Department of Radiology, Henan Provincial People&amp;apos;s Hospital, Zhengzhou, China.; Department of Maternal and Child Health, School of Public Health, Sun Yat-Sen  University, Guangzhou, China.; Department of Maternal and Child Health, School of Public Health, Sun Yat-Sen  University, Guangzhou, China.; Department of Maternal and Child Health, School of Public Health, Sun Yat-Sen  University, Guangzhou, China.; Department of Maternal and Child Health, School of Public Health, Sun Yat-Sen  University, Guangzhou, China.; Guangzhou Key Laboratory of Environmental Pollution and Health Risk Assessment,  Guangdong Provincial Engineering Technology Research Center of Environmental and  Health risk Assessment, Department of Occupational and Environmental Health,  School of Public Health, Sun Yat-sen University, Guangzhou, China.; Department of Maternal and Child Health, School of Public Health, Sun Yat-Sen  University, Guangzhou, China.; Department of Maternal and Child Health, School of Public Health, Sun Yat-Sen  University, Guangzhou, China.; Department of Maternal and Child Health, School of Public Health, Sun Yat-Sen  University, Guangzhou, China chenyajun68@yeah.net.&lt;/_author_adr&gt;&lt;_date_display&gt;2025 Feb 24&lt;/_date_display&gt;&lt;_date&gt;2025-02-24&lt;/_date&gt;&lt;_doi&gt;10.1136/bjo-2024-325427&lt;/_doi&gt;&lt;_isbn&gt;1468-2079 (Electronic); 0007-1161 (Linking)&lt;/_isbn&gt;&lt;_issue&gt;3&lt;/_issue&gt;&lt;_journal&gt;Br J Ophthalmol&lt;/_journal&gt;&lt;_keywords&gt;Child health (paediatrics); Epidemiology; Eye (Globe); Public health; Vision&lt;/_keywords&gt;&lt;_language&gt;English&lt;/_language&gt;&lt;_ori_publication&gt;© Author(s) (or their employer(s)) 2025. No commercial re-use. See rights and _x000d__x000a_      permissions. Published by BMJ Group.&lt;/_ori_publication&gt;&lt;_pages&gt;362-371&lt;/_pages&gt;&lt;_subject_headings&gt;Humans; Prevalence; *Myopia/epidemiology; *Global Health/statistics &amp;amp; numerical data; Child; Adolescent; Female; Male&lt;/_subject_headings&gt;&lt;_tertiary_title&gt;The British journal of ophthalmology&lt;/_tertiary_title&gt;&lt;_type_work&gt;Journal Article; Meta-Analysis; Systematic Review&lt;/_type_work&gt;&lt;_url&gt;http://www.ncbi.nlm.nih.gov/entrez/query.fcgi?cmd=Retrieve&amp;amp;db=pubmed&amp;amp;dopt=Abstract&amp;amp;list_uids=39317432&amp;amp;query_hl=1&lt;/_url&gt;&lt;_volume&gt;109&lt;/_volume&gt;&lt;_created&gt;66563428&lt;/_created&gt;&lt;_modified&gt;66563428&lt;/_modified&gt;&lt;_impact_factor&gt;   3.500&lt;/_impact_factor&gt;&lt;_social_category&gt;眼科学(2)&lt;/_social_category&gt;&lt;_collection_scope&gt;SCIE&lt;/_collection_scope&gt;&lt;/Details&gt;&lt;Extra&gt;&lt;DBUID&gt;{4639BE48-E8DA-433D-936E-D6A27A715D41}&lt;/DBUID&gt;&lt;/Extra&gt;&lt;/Item&gt;&lt;/References&gt;&lt;/Group&gt;&lt;Group&gt;&lt;References&gt;&lt;Item&gt;&lt;ID&gt;4080&lt;/ID&gt;&lt;UID&gt;{A76B02B2-B7F8-4CD6-9054-662FFBE8DC38}&lt;/UID&gt;&lt;Title&gt;Factors associated with pathologic myopia onset and progression: A systematic  review and meta-analysis&lt;/Title&gt;&lt;Template&gt;Journal Article&lt;/Template&gt;&lt;Star&gt;0&lt;/Star&gt;&lt;Tag&gt;0&lt;/Tag&gt;&lt;Author&gt;Yii, Fabian; Nguyen, Linda; Strang, Niall; Bernabeu, Miguel O; Tatham, Andrew J; MacGillivray, Tom; Dhillon, Baljean&lt;/Author&gt;&lt;Year&gt;2024&lt;/Year&gt;&lt;Details&gt;&lt;_accession_num&gt;38563652&lt;/_accession_num&gt;&lt;_author_adr&gt;Centre for Clinical Brain Sciences, The University of Edinburgh, Edinburgh, UK.; Curle Ophthalmology Laboratory, Institute for Regeneration and Repair, The  University of Edinburgh, Edinburgh, UK.; MRC Human Genetics Unit, Institute of Genetics and Cancer, The University of  Edinburgh, Edinburgh, UK.; Department of Vision Sciences, Glasgow Caledonian University, Glasgow, UK.; Centre for Medical Informatics, Usher Institute, The University of Edinburgh,  Edinburgh, UK.; The Bayes Centre, The University of Edinburgh, Edinburgh, UK.; Centre for Clinical Brain Sciences, The University of Edinburgh, Edinburgh, UK.; Princess Alexandra Eye Pavilion, NHS Lothian, Edinburgh, UK.; Centre for Clinical Brain Sciences, The University of Edinburgh, Edinburgh, UK.; Curle Ophthalmology Laboratory, Institute for Regeneration and Repair, The  University of Edinburgh, Edinburgh, UK.; Centre for Clinical Brain Sciences, The University of Edinburgh, Edinburgh, UK.; Curle Ophthalmology Laboratory, Institute for Regeneration and Repair, The  University of Edinburgh, Edinburgh, UK.; Princess Alexandra Eye Pavilion, NHS Lothian, Edinburgh, UK.&lt;/_author_adr&gt;&lt;_date_display&gt;2024 Jul&lt;/_date_display&gt;&lt;_date&gt;2024-07-01&lt;/_date&gt;&lt;_doi&gt;10.1111/opo.13312&lt;/_doi&gt;&lt;_isbn&gt;1475-1313 (Electronic); 0275-5408 (Print); 0275-5408 (Linking)&lt;/_isbn&gt;&lt;_issue&gt;5&lt;/_issue&gt;&lt;_journal&gt;Ophthalmic Physiol Opt&lt;/_journal&gt;&lt;_keywords&gt;META‐PM; epidemiology; longitudinal; pathologic myopia; prognostic factors; risk factors&lt;/_keywords&gt;&lt;_language&gt;English&lt;/_language&gt;&lt;_ori_publication&gt;© 2024 The Authors. Ophthalmic and Physiological Optics published by John Wiley &amp;amp; _x000d__x000a_      Sons Ltd on behalf of College of Optometrists.&lt;/_ori_publication&gt;&lt;_pages&gt;963-976&lt;/_pages&gt;&lt;_subject_headings&gt;Humans; *Myopia, Degenerative/physiopathology/epidemiology/diagnosis; *Disease Progression; Risk Factors; Refraction, Ocular/physiology&lt;/_subject_headings&gt;&lt;_tertiary_title&gt;Ophthalmic &amp;amp; physiological optics : the journal of the British College of _x000d__x000a_      Ophthalmic Opticians (Optometrists)&lt;/_tertiary_title&gt;&lt;_type_work&gt;Journal Article; Meta-Analysis; Research Support, Non-U.S. Gov&amp;apos;t; Systematic Review&lt;/_type_work&gt;&lt;_url&gt;http://www.ncbi.nlm.nih.gov/entrez/query.fcgi?cmd=Retrieve&amp;amp;db=pubmed&amp;amp;dopt=Abstract&amp;amp;list_uids=38563652&amp;amp;query_hl=1&lt;/_url&gt;&lt;_volume&gt;44&lt;/_volume&gt;&lt;_created&gt;66563428&lt;/_created&gt;&lt;_modified&gt;66563428&lt;/_modified&gt;&lt;_impact_factor&gt;   2.400&lt;/_impact_factor&gt;&lt;_social_category&gt;眼科学(2)&lt;/_social_category&gt;&lt;_collection_scope&gt;SCIE&lt;/_collection_scope&gt;&lt;/Details&gt;&lt;Extra&gt;&lt;DBUID&gt;{4639BE48-E8DA-433D-936E-D6A27A715D41}&lt;/DBUID&gt;&lt;/Extra&gt;&lt;/Item&gt;&lt;/References&gt;&lt;/Group&gt;&lt;Group&gt;&lt;References&gt;&lt;Item&gt;&lt;ID&gt;4081&lt;/ID&gt;&lt;UID&gt;{D38EF380-D4E5-4A51-812A-01A55A57CB11}&lt;/UID&gt;&lt;Title&gt;Axial length as a predictor of myopic macular degeneration: a meta-analysis and  clinical study&lt;/Title&gt;&lt;Template&gt;Journal Article&lt;/Template&gt;&lt;Star&gt;0&lt;/Star&gt;&lt;Tag&gt;0&lt;/Tag&gt;&lt;Author&gt;Mu, Tong; He, Hai-Long; Chen, Xuan-Yu; Fang, Yu-Xin; Xu, Jie; Jin, Zi-Bing&lt;/Author&gt;&lt;Year&gt;2025&lt;/Year&gt;&lt;Details&gt;&lt;_accession_num&gt;40281120&lt;/_accession_num&gt;&lt;_author_adr&gt;Beijing Institute of Ophthalmology, Beijing Tongren Eye Center, Beijing Tongren  Hospital, Capital Medical University, Beijing Ophthalmology &amp;amp; Visual Science Key  Laboratory, Beijing, China.; Beijing Institute of Ophthalmology, Beijing Tongren Eye Center, Beijing Tongren  Hospital, Capital Medical University, Beijing Ophthalmology &amp;amp; Visual Science Key  Laboratory, Beijing, China.; Beijing Institute of Ophthalmology, Beijing Tongren Eye Center, Beijing Tongren  Hospital, Capital Medical University, Beijing Ophthalmology &amp;amp; Visual Science Key  Laboratory, Beijing, China.; Beijing Institute of Ophthalmology, Beijing Tongren Eye Center, Beijing Tongren  Hospital, Capital Medical University, Beijing Ophthalmology &amp;amp; Visual Science Key  Laboratory, Beijing, China.; Beijing Institute of Ophthalmology, Beijing Tongren Eye Center, Beijing Tongren  Hospital, Capital Medical University, Beijing Ophthalmology &amp;amp; Visual Science Key  Laboratory, Beijing, China. xujie@ccmu.edu.cn.; Beijing Institute of Ophthalmology, Beijing Tongren Eye Center, Beijing Tongren  Hospital, Capital Medical University, Beijing Ophthalmology &amp;amp; Visual Science Key  Laboratory, Beijing, China. jinzibing@foxmail.com.&lt;/_author_adr&gt;&lt;_date_display&gt;2025 Jul&lt;/_date_display&gt;&lt;_date&gt;2025-07-01&lt;/_date&gt;&lt;_doi&gt;10.1038/s41433-025-03782-6&lt;/_doi&gt;&lt;_isbn&gt;1476-5454 (Electronic); 0950-222X (Print); 0950-222X (Linking)&lt;/_isbn&gt;&lt;_issue&gt;10&lt;/_issue&gt;&lt;_journal&gt;Eye (Lond)&lt;/_journal&gt;&lt;_language&gt;eng&lt;/_language&gt;&lt;_ori_publication&gt;© 2025. The Author(s).&lt;/_ori_publication&gt;&lt;_pages&gt;2073-2082&lt;/_pages&gt;&lt;_subject_headings&gt;Humans; *Macular Degeneration/diagnosis/physiopathology/etiology; *Myopia, Degenerative/diagnosis/physiopathology/complications; *Axial Length, Eye/pathology; Visual Acuity/physiology; Female; Male; Middle Aged&lt;/_subject_headings&gt;&lt;_tertiary_title&gt;Eye (London, England)&lt;/_tertiary_title&gt;&lt;_type_work&gt;Journal Article; Meta-Analysis&lt;/_type_work&gt;&lt;_url&gt;http://www.ncbi.nlm.nih.gov/entrez/query.fcgi?cmd=Retrieve&amp;amp;db=pubmed&amp;amp;dopt=Abstract&amp;amp;list_uids=40281120&amp;amp;query_hl=1&lt;/_url&gt;&lt;_volume&gt;39&lt;/_volume&gt;&lt;_created&gt;66563429&lt;/_created&gt;&lt;_modified&gt;66563429&lt;/_modified&gt;&lt;_impact_factor&gt;   3.200&lt;/_impact_factor&gt;&lt;_social_category&gt;眼科学(3)&lt;/_social_category&gt;&lt;_collection_scope&gt;SCIE&lt;/_collection_scope&gt;&lt;/Details&gt;&lt;Extra&gt;&lt;DBUID&gt;{4639BE48-E8DA-433D-936E-D6A27A715D41}&lt;/DBUID&gt;&lt;/Extra&gt;&lt;/Item&gt;&lt;/References&gt;&lt;/Group&gt;&lt;/Citation&gt;_x000a_"/>
    <w:docVar w:name="NE.Ref{651878C6-C06D-4426-9BB0-8DC5EB80ECF8}" w:val=" ADDIN NE.Ref.{651878C6-C06D-4426-9BB0-8DC5EB80ECF8}&lt;Citation&gt;&lt;Group&gt;&lt;References&gt;&lt;Item&gt;&lt;ID&gt;4085&lt;/ID&gt;&lt;UID&gt;{38634EE1-F864-406B-A781-DC359764DCB7}&lt;/UID&gt;&lt;Title&gt;Advances in myopia control strategies for children&lt;/Title&gt;&lt;Template&gt;Journal Article&lt;/Template&gt;&lt;Star&gt;0&lt;/Star&gt;&lt;Tag&gt;0&lt;/Tag&gt;&lt;Author&gt;Zhang, Xiu Juan; Zaabaar, Ebenezer; French, Amanda Nicole; Tang, Fang Yao; Kam, Ka Wai; Tham, Clement C; Chen, Li Jia; Pang, Chi Pui; Yam, Jason C&lt;/Author&gt;&lt;Year&gt;2025&lt;/Year&gt;&lt;Details&gt;&lt;_accession_num&gt;38777389&lt;/_accession_num&gt;&lt;_author_adr&gt;Department of Ophthalmology and Visual Sciences, The Chinese University of Hong  Kong, Hong Kong SAR, China.; Department of Ophthalmology and Visual Sciences, The Chinese University of Hong  Kong, Hong Kong SAR, China.; Discipline of Orthoptics, University of Sydney, Sydney, New South Wales,  Australia.; Department of Ophthalmology and Visual Sciences, The Chinese University of Hong  Kong, Hong Kong SAR, China.; Department of Ophthalmology and Visual Sciences, The Chinese University of Hong  Kong, Hong Kong SAR, China.; Department of Ophthalmology and Visual Sciences, The Prince of Wales Hospital,  Hong Kong SAR, China.; Department of Ophthalmology and Visual Sciences, The Chinese University of Hong  Kong, Hong Kong SAR, China.; Department of Ophthalmology and Visual Sciences, The Prince of Wales Hospital,  Hong Kong SAR, China.; Hong Kong Eye Hospital, Hong Kong SAR, China.; Lam Kin Chung. Jet King-Shing Ho Glaucoma Treatment and Research Centre,  Department of Ophthalmology and Visual Sciences, The Chinese University of Hong  Kong, Hong Kong SAR, China.; Department of Ophthalmology, Hong Kong Children Hospital, Hong Kong SAR, China.; Hong Kong Hub of Paediatric Excellence, The Chinese University of Hong Kong, Hong  Kong SAR, China.; Department of Ophthalmology and Visual Sciences, The Chinese University of Hong  Kong, Hong Kong SAR, China.; Department of Ophthalmology and Visual Sciences, The Prince of Wales Hospital,  Hong Kong SAR, China.; Hong Kong Eye Hospital, Hong Kong SAR, China.; Lam Kin Chung. Jet King-Shing Ho Glaucoma Treatment and Research Centre,  Department of Ophthalmology and Visual Sciences, The Chinese University of Hong  Kong, Hong Kong SAR, China.; Hong Kong Hub of Paediatric Excellence, The Chinese University of Hong Kong, Hong  Kong SAR, China.; Department of Ophthalmology and Visual Sciences, The Chinese University of Hong  Kong, Hong Kong SAR, China.; Lam Kin Chung. Jet King-Shing Ho Glaucoma Treatment and Research Centre,  Department of Ophthalmology and Visual Sciences, The Chinese University of Hong  Kong, Hong Kong SAR, China.; Hong Kong Hub of Paediatric Excellence, The Chinese University of Hong Kong, Hong  Kong SAR, China.; Department of Ophthalmology and Visual Sciences, The Chinese University of Hong  Kong, Hong Kong SAR, China yamcheuksing@cuhk.edu.hk.; Department of Ophthalmology and Visual Sciences, The Prince of Wales Hospital,  Hong Kong SAR, China.; Hong Kong Eye Hospital, Hong Kong SAR, China.; Department of Ophthalmology, Hong Kong Children Hospital, Hong Kong SAR, China.; Hong Kong Hub of Paediatric Excellence, The Chinese University of Hong Kong, Hong  Kong SAR, China.&lt;/_author_adr&gt;&lt;_date_display&gt;2025 Jan 28&lt;/_date_display&gt;&lt;_date&gt;2025-01-28&lt;/_date&gt;&lt;_doi&gt;10.1136/bjo-2023-323887&lt;/_doi&gt;&lt;_isbn&gt;1468-2079 (Electronic); 0007-1161 (Linking)&lt;/_isbn&gt;&lt;_issue&gt;2&lt;/_issue&gt;&lt;_journal&gt;Br J Ophthalmol&lt;/_journal&gt;&lt;_keywords&gt;Child health (paediatrics); Epidemiology; Optics and Refraction&lt;/_keywords&gt;&lt;_language&gt;English&lt;/_language&gt;&lt;_ori_publication&gt;© Author(s) (or their employer(s)) 2025. No commercial re-use. See rights and _x000d__x000a_      permissions. Published by BMJ Group.&lt;/_ori_publication&gt;&lt;_pages&gt;165-176&lt;/_pages&gt;&lt;_subject_headings&gt;Humans; *Myopia/therapy/prevention &amp;amp; control/physiopathology; *Eyeglasses; Child; *Orthokeratologic Procedures/methods; Atropine/administration &amp;amp; dosage/therapeutic use; Refraction, Ocular/physiology; Mydriatics/administration &amp;amp; dosage; Disease Progression&lt;/_subject_headings&gt;&lt;_tertiary_title&gt;The British journal of ophthalmology&lt;/_tertiary_title&gt;&lt;_type_work&gt;Journal Article; Review&lt;/_type_work&gt;&lt;_url&gt;http://www.ncbi.nlm.nih.gov/entrez/query.fcgi?cmd=Retrieve&amp;amp;db=pubmed&amp;amp;dopt=Abstract&amp;amp;list_uids=38777389&amp;amp;query_hl=1&lt;/_url&gt;&lt;_volume&gt;109&lt;/_volume&gt;&lt;_created&gt;66563433&lt;/_created&gt;&lt;_modified&gt;66563433&lt;/_modified&gt;&lt;_impact_factor&gt;   3.500&lt;/_impact_factor&gt;&lt;_social_category&gt;眼科学(2)&lt;/_social_category&gt;&lt;_collection_scope&gt;SCIE&lt;/_collection_scope&gt;&lt;/Details&gt;&lt;Extra&gt;&lt;DBUID&gt;{4639BE48-E8DA-433D-936E-D6A27A715D41}&lt;/DBUID&gt;&lt;/Extra&gt;&lt;/Item&gt;&lt;/References&gt;&lt;/Group&gt;&lt;Group&gt;&lt;References&gt;&lt;Item&gt;&lt;ID&gt;4086&lt;/ID&gt;&lt;UID&gt;{0326963F-D8BF-4B77-B234-EB5DF6D1233D}&lt;/UID&gt;&lt;Title&gt;Myopia control strategies: A systematic review and meta-meta-analysis&lt;/Title&gt;&lt;Template&gt;Journal Article&lt;/Template&gt;&lt;Star&gt;0&lt;/Star&gt;&lt;Tag&gt;0&lt;/Tag&gt;&lt;Author&gt;Zaabaar, Ebenezer; Asiamah, Randy; Kyei, Samuel; Ankamah, Samuel&lt;/Author&gt;&lt;Year&gt;2025&lt;/Year&gt;&lt;Details&gt;&lt;_accession_num&gt;39530399&lt;/_accession_num&gt;&lt;_author_adr&gt;School of Optometry and Vision Science, University of Cape Coast, Cape Coast,  Ghana.; School of Optometry and Vision Science, University of Cape Coast, Cape Coast,  Ghana.; School of Optometry and Vision Science, University of Cape Coast, Cape Coast,  Ghana.; Biomedical and Clinical Research Centre, University of Cape Coast, Cape Coast,  Ghana.; University of Ghana Library System, University of Ghana, Accra, Ghana.&lt;/_author_adr&gt;&lt;_date_display&gt;2025 Jan&lt;/_date_display&gt;&lt;_date&gt;2025-01-01&lt;/_date&gt;&lt;_doi&gt;10.1111/opo.13417&lt;/_doi&gt;&lt;_isbn&gt;1475-1313 (Electronic); 0275-5408 (Linking)&lt;/_isbn&gt;&lt;_issue&gt;1&lt;/_issue&gt;&lt;_journal&gt;Ophthalmic Physiol Opt&lt;/_journal&gt;&lt;_keywords&gt;axial length; efficacy; myopia control; myopia progression; spherical equivalent refraction&lt;/_keywords&gt;&lt;_language&gt;eng&lt;/_language&gt;&lt;_ori_publication&gt;© 2024 College of Optometrists.&lt;/_ori_publication&gt;&lt;_pages&gt;160-176&lt;/_pages&gt;&lt;_subject_headings&gt;Humans; *Myopia/therapy/physiopathology; *Refraction, Ocular/physiology; Eyeglasses; Mydriatics/therapeutic use/administration &amp;amp; dosage; Orthokeratologic Procedures/methods&lt;/_subject_headings&gt;&lt;_tertiary_title&gt;Ophthalmic &amp;amp; physiological optics : the journal of the British College of _x000d__x000a_      Ophthalmic Opticians (Optometrists)&lt;/_tertiary_title&gt;&lt;_type_work&gt;Journal Article; Meta-Analysis; Systematic Review&lt;/_type_work&gt;&lt;_url&gt;http://www.ncbi.nlm.nih.gov/entrez/query.fcgi?cmd=Retrieve&amp;amp;db=pubmed&amp;amp;dopt=Abstract&amp;amp;list_uids=39530399&amp;amp;query_hl=1&lt;/_url&gt;&lt;_volume&gt;45&lt;/_volume&gt;&lt;_created&gt;66563434&lt;/_created&gt;&lt;_modified&gt;66563434&lt;/_modified&gt;&lt;_impact_factor&gt;   2.400&lt;/_impact_factor&gt;&lt;_social_category&gt;眼科学(2)&lt;/_social_category&gt;&lt;_collection_scope&gt;SCIE&lt;/_collection_scope&gt;&lt;/Details&gt;&lt;Extra&gt;&lt;DBUID&gt;{4639BE48-E8DA-433D-936E-D6A27A715D41}&lt;/DBUID&gt;&lt;/Extra&gt;&lt;/Item&gt;&lt;/References&gt;&lt;/Group&gt;&lt;/Citation&gt;_x000a_"/>
    <w:docVar w:name="NE.Ref{84BC69F0-EE64-4A27-9B64-132BA4D7EFDA}" w:val=" ADDIN NE.Ref.{84BC69F0-EE64-4A27-9B64-132BA4D7EFDA}&lt;Citation&gt;&lt;Group&gt;&lt;References&gt;&lt;Item&gt;&lt;ID&gt;2698&lt;/ID&gt;&lt;UID&gt;{768F0F7E-6183-4106-80C8-9755E2C5F7BE}&lt;/UID&gt;&lt;Title&gt;A systematic review with meta-analysis on the efficacy of 0.01% atropine eyedrops  in preventing myopia progression in worldwide children&amp;apos;s populations&lt;/Title&gt;&lt;Template&gt;Journal Article&lt;/Template&gt;&lt;Star&gt;0&lt;/Star&gt;&lt;Tag&gt;0&lt;/Tag&gt;&lt;Author&gt;Navarra, Pierluigi; Buzzonetti, Luca; Amico, Valentina; Cro, Melina; Federico, Bruno&lt;/Author&gt;&lt;Year&gt;2025&lt;/Year&gt;&lt;Details&gt;&lt;_accession_num&gt;40474980&lt;/_accession_num&gt;&lt;_author_adr&gt;Section of Pharmacology, Department of Healthcare Surveillance and Bioethics,  Catholic University Medical School, Fondazione Policlinico Universitario A.  Gemelli-Istituto di Ricovero e Cura a Carattere Scientifico, Rome, Italy.; Ophthalmology Unit, Bambino Gesù Children&amp;apos;s Hospital, IRCCS, Rome, Italy.; Medivis S.r.l., Catania, Italy.; Medivis S.r.l., Catania, Italy.; Department of Human Sciences, Society and Health, University of Cassino and  Southern Lazio, Cassino, Italy.&lt;/_author_adr&gt;&lt;_collection_scope&gt;SCIE&lt;/_collection_scope&gt;&lt;_created&gt;66445839&lt;/_created&gt;&lt;_date&gt;2025-01-20&lt;/_date&gt;&lt;_date_display&gt;2025&lt;/_date_display&gt;&lt;_doi&gt;10.3389/fphar.2025.1497667&lt;/_doi&gt;&lt;_impact_factor&gt;   4.800&lt;/_impact_factor&gt;&lt;_isbn&gt;1663-9812 (Print); 1663-9812 (Electronic); 1663-9812 (Linking)&lt;/_isbn&gt;&lt;_journal&gt;Front Pharmacol&lt;/_journal&gt;&lt;_keywords&gt;atropine; children; meta-analysis; myopia; systematic review&lt;/_keywords&gt;&lt;_language&gt;English&lt;/_language&gt;&lt;_modified&gt;66445839&lt;/_modified&gt;&lt;_ori_publication&gt;Copyright © 2025 Navarra, Buzzonetti, Amico, Cro and Federico.&lt;/_ori_publication&gt;&lt;_pages&gt;1497667&lt;/_pages&gt;&lt;_social_category&gt;药学(3)&lt;/_social_category&gt;&lt;_tertiary_title&gt;Frontiers in pharmacology&lt;/_tertiary_title&gt;&lt;_type_work&gt;Journal Article; Systematic Review&lt;/_type_work&gt;&lt;_url&gt;http://www.ncbi.nlm.nih.gov/entrez/query.fcgi?cmd=Retrieve&amp;amp;db=pubmed&amp;amp;dopt=Abstract&amp;amp;list_uids=40474980&amp;amp;query_hl=1&lt;/_url&gt;&lt;_volume&gt;16&lt;/_volume&gt;&lt;/Details&gt;&lt;Extra&gt;&lt;DBUID&gt;{4639BE48-E8DA-433D-936E-D6A27A715D41}&lt;/DBUID&gt;&lt;/Extra&gt;&lt;/Item&gt;&lt;/References&gt;&lt;/Group&gt;&lt;/Citation&gt;_x000a_"/>
    <w:docVar w:name="NE.Ref{8BA10888-CB87-4369-8E30-983AB7C735FB}" w:val=" ADDIN NE.Ref.{8BA10888-CB87-4369-8E30-983AB7C735FB}&lt;Citation&gt;&lt;Group&gt;&lt;References&gt;&lt;Item&gt;&lt;ID&gt;4087&lt;/ID&gt;&lt;UID&gt;{9B382FB8-C15F-41C1-80DD-B47714D4AA5F}&lt;/UID&gt;&lt;Title&gt;Factors influencing axial elongation in myopic children using overnight  orthokeratology&lt;/Title&gt;&lt;Template&gt;Journal Article&lt;/Template&gt;&lt;Star&gt;0&lt;/Star&gt;&lt;Tag&gt;0&lt;/Tag&gt;&lt;Author&gt;Huang, Zhu; Zhao, Wei; Mao, Ying-Zheng; Hu, Shan; Du, Chi-Xin&lt;/Author&gt;&lt;Year&gt;2023&lt;/Year&gt;&lt;Details&gt;&lt;_accession_num&gt;37173387&lt;/_accession_num&gt;&lt;_author_adr&gt;Department of Ophthalmology, The First Affiliated Hospital, College of Medicine,  Zhejiang University, Hangzhou, 310003, China.; College of Medicine, Zhejiang University, Hangzhou, 310030, China.; College of Medicine, Zhejiang University, Hangzhou, 310030, China.; Department of Ophthalmology, The First Affiliated Hospital, College of Medicine,  Zhejiang University, Hangzhou, 310003, China.; Department of Ophthalmology, The First Affiliated Hospital, College of Medicine,  Zhejiang University, Hangzhou, 310003, China. duchixin@zju.edu.cn.&lt;/_author_adr&gt;&lt;_date_display&gt;2023 May 12&lt;/_date_display&gt;&lt;_date&gt;2023-05-12&lt;/_date&gt;&lt;_doi&gt;10.1038/s41598-023-34580-3&lt;/_doi&gt;&lt;_isbn&gt;2045-2322 (Electronic); 2045-2322 (Linking)&lt;/_isbn&gt;&lt;_issue&gt;1&lt;/_issue&gt;&lt;_journal&gt;Sci Rep&lt;/_journal&gt;&lt;_language&gt;English&lt;/_language&gt;&lt;_ori_publication&gt;© 2023. The Author(s).&lt;/_ori_publication&gt;&lt;_pages&gt;7715&lt;/_pages&gt;&lt;_subject_headings&gt;Humans; Child; Retrospective Studies; Corneal Topography; *Orthokeratologic Procedures; Axial Length, Eye; *Myopia/therapy; Refraction, Ocular; *Contact Lenses&lt;/_subject_headings&gt;&lt;_tertiary_title&gt;Scientific reports&lt;/_tertiary_title&gt;&lt;_type_work&gt;Journal Article&lt;/_type_work&gt;&lt;_url&gt;http://www.ncbi.nlm.nih.gov/entrez/query.fcgi?cmd=Retrieve&amp;amp;db=pubmed&amp;amp;dopt=Abstract&amp;amp;list_uids=37173387&amp;amp;query_hl=1&lt;/_url&gt;&lt;_volume&gt;13&lt;/_volume&gt;&lt;_created&gt;66563441&lt;/_created&gt;&lt;_modified&gt;66563441&lt;/_modified&gt;&lt;_impact_factor&gt;   3.900&lt;/_impact_factor&gt;&lt;_social_category&gt;综合性期刊(3)&lt;/_social_category&gt;&lt;_collection_scope&gt;SCIE&lt;/_collection_scope&gt;&lt;/Details&gt;&lt;Extra&gt;&lt;DBUID&gt;{4639BE48-E8DA-433D-936E-D6A27A715D41}&lt;/DBUID&gt;&lt;/Extra&gt;&lt;/Item&gt;&lt;/References&gt;&lt;/Group&gt;&lt;Group&gt;&lt;References&gt;&lt;Item&gt;&lt;ID&gt;4088&lt;/ID&gt;&lt;UID&gt;{9E4D73F5-CCBB-475D-A529-8D84A11EBC35}&lt;/UID&gt;&lt;Title&gt;Baseline factors associated with myopia progression and axial elongation over 30  months in children 5 to 12 years of age&lt;/Title&gt;&lt;Template&gt;Journal Article&lt;/Template&gt;&lt;Star&gt;0&lt;/Star&gt;&lt;Tag&gt;0&lt;/Tag&gt;&lt;Author&gt;Weise, Katherine K; Repka, Michael X; Zhu, Yufeng; Manny, Ruth E; Raghuram, Aparna; Chandler, Danielle L; Summers, Allison I; Lee, Katherine A; Kehler, Lori Ann F; Pang, Yi; Allen, Megan S; Anderson, Heather A; Erzurum, S A; Golden, Richard P; Koutnik, Cassandra A; Kuo, Annie F; Lenhart, Phoebe D; Mokka, Preeti L; Petersen, David B; Ticho, Benjamin H; Wiecek, Emily K; Yin, Huizi; Beaulieu, Wesley T; Kraker, Raymond T; Holmes, Jonathan M; Cotter, Susan A&lt;/Author&gt;&lt;Year&gt;2024&lt;/Year&gt;&lt;Details&gt;&lt;_accession_num&gt;39480129&lt;/_accession_num&gt;&lt;_author_adr&gt;Department of Ophthalmology, Wilmer Eye Institute, Johns Hopkins University  School of Medicine, Baltimore, Maryland.; Jaeb Center for Health Research, Tampa, Florida.; Clinical Science Department, University of Houston College of Optometry, Houston,  Texas.; Department of Ophthalmology, Boston Children&amp;apos;s Hospital, Harvard Medical School,  Boston, Massachusetts.; Jaeb Center for Health Research, Tampa, Florida.; Elks Children&amp;apos;s Eye Clinic, Casey Eye Institute, Oregon Health and Science  University, Portland, Oregon.; Department of Surgery, St. Luke&amp;apos;s Health System, Boise, Idaho.; Vanderbilt Eye Institute, Vanderbilt University Medical Center, Nashville,  Tennessee.; Illinois College of Optometry, Chicago, Illinois.; Illinois College of Optometry, Chicago, Illinois.; The Ohio State University College of Optometry, Columbus, Ohio.; Eye Care Associates, Inc., Poland, Ohio.; Department of Ophthalmology, Nationwide Children&amp;apos;s Hospital, Columbus, Ohio.; Ticho Eye Associates, Chicago Ridge, Illinois.; Elks Children&amp;apos;s Eye Clinic, Casey Eye Institute, Oregon Health and Science  University, Portland, Oregon.; Department of Ophthalmology, Emory University, Section of Pediatric Ophthalmology  and Strabismus, Emory Eye Center, Atlanta, Georgia.; Department of Ophthalmology, Boston Children&amp;apos;s Hospital, Harvard Medical School,  Boston, Massachusetts.; Rocky Mountain Eye Care Associates, Salt Lake City, Utah.; Ticho Eye Associates, Chicago Ridge, Illinois.; Department of Ophthalmology, Boston Children&amp;apos;s Hospital, Harvard Medical School,  Boston, Massachusetts.; Division of Ophthalmology, Ann &amp;amp; Robert H. Lurie Children&amp;apos;s Hospital, Chicago,  Illinois.; Jaeb Center for Health Research, Tampa, Florida.; Jaeb Center for Health Research, Tampa, Florida.; Department of Ophthalmology and Vision Science, University of Arizona-Tucson,  Tucson, Arizona.; Southern California College of Optometry at Marshall B. Ketchum University,  Fullerton, California.&lt;/_author_adr&gt;&lt;_date_display&gt;2024 Oct 1&lt;/_date_display&gt;&lt;_date&gt;2024-10-01&lt;/_date&gt;&lt;_doi&gt;10.1097/OPX.0000000000002187&lt;/_doi&gt;&lt;_isbn&gt;1538-9235 (Electronic); 1040-5488 (Print); 1040-5488 (Linking)&lt;/_isbn&gt;&lt;_issue&gt;10&lt;/_issue&gt;&lt;_journal&gt;Optom Vis Sci&lt;/_journal&gt;&lt;_language&gt;eng&lt;/_language&gt;&lt;_ori_publication&gt;Copyright © 2024 American Academy of Optometry.&lt;/_ori_publication&gt;&lt;_pages&gt;619-626&lt;/_pages&gt;&lt;_subject_headings&gt;Humans; *Disease Progression; Male; Female; Child; Child, Preschool; *Axial Length, Eye; *Myopia/physiopathology; *Refraction, Ocular/physiology; Follow-Up Studies; Atropine/therapeutic use; Mydriatics/therapeutic use/administration &amp;amp; dosage; Double-Blind Method; Ophthalmic Solutions; Time Factors&lt;/_subject_headings&gt;&lt;_tertiary_title&gt;Optometry and vision science : official publication of the American Academy of _x000d__x000a_      Optometry&lt;/_tertiary_title&gt;&lt;_type_work&gt;Journal Article; Multicenter Study; Randomized Controlled Trial; Research Support, N.I.H., Extramural; Research Support, Non-U.S. Gov&amp;apos;t&lt;/_type_work&gt;&lt;_url&gt;http://www.ncbi.nlm.nih.gov/entrez/query.fcgi?cmd=Retrieve&amp;amp;db=pubmed&amp;amp;dopt=Abstract&amp;amp;list_uids=39480129&amp;amp;query_hl=1&lt;/_url&gt;&lt;_volume&gt;101&lt;/_volume&gt;&lt;_created&gt;66563441&lt;/_created&gt;&lt;_modified&gt;66563441&lt;/_modified&gt;&lt;_impact_factor&gt;   1.800&lt;/_impact_factor&gt;&lt;_social_category&gt;眼科学(4)&lt;/_social_category&gt;&lt;_collection_scope&gt;SCIE;EI&lt;/_collection_scope&gt;&lt;/Details&gt;&lt;Extra&gt;&lt;DBUID&gt;{4639BE48-E8DA-433D-936E-D6A27A715D41}&lt;/DBUID&gt;&lt;/Extra&gt;&lt;/Item&gt;&lt;/References&gt;&lt;/Group&gt;&lt;/Citation&gt;_x000a_"/>
    <w:docVar w:name="NE.Ref{8C5BD56C-6B14-4ED0-A2DF-C8C08B767B57}" w:val=" ADDIN NE.Ref.{8C5BD56C-6B14-4ED0-A2DF-C8C08B767B57}&lt;Citation&gt;&lt;Group&gt;&lt;References&gt;&lt;Item&gt;&lt;ID&gt;2691&lt;/ID&gt;&lt;UID&gt;{F72A76E0-32BB-437C-9A50-A09E93C68057}&lt;/UID&gt;&lt;Title&gt;Efficacy comparison of atropine, orthokeratology and repeated low-level red-light  therapy for myopia control in children: a systematic review and network  meta-analysis&lt;/Title&gt;&lt;Template&gt;Journal Article&lt;/Template&gt;&lt;Star&gt;0&lt;/Star&gt;&lt;Tag&gt;0&lt;/Tag&gt;&lt;Author&gt;Zheng, Zetong; Jiang, Xue; Chen, Rongxin; Dong, Li&lt;/Author&gt;&lt;Year&gt;2025&lt;/Year&gt;&lt;Details&gt;&lt;_accession_num&gt;40610049&lt;/_accession_num&gt;&lt;_author_adr&gt;Capital Medical University, Beijing, People&amp;apos;s Republic of China.; Beijing Tongren Eye Center, Beijing key Laboratory of Intraocular Tumor Diagnosis  and Treatment, Beijing Ophthalmology＆Visual Sciences Key Lab, Medical Artificial  Intelligence Research and Verification Key Laboratory of the Ministry of Industry  and Information Technology, Beijing Key Laboratory of Intelligent Diagnosis,  Treatment and Prevention of Blinding Eye Diseases, Beijing Tongren Hospital,  Capital Medical University, Beijing, People&amp;apos;s Republic of China.; Capital Medical University, Beijing, People&amp;apos;s Republic of China.; Beijing Tongren Eye Center, Beijing key Laboratory of Intraocular Tumor Diagnosis  and Treatment, Beijing Ophthalmology＆Visual Sciences Key Lab, Medical Artificial  Intelligence Research and Verification Key Laboratory of the Ministry of Industry  and Information Technology, Beijing Key Laboratory of Intelligent Diagnosis,  Treatment and Prevention of Blinding Eye Diseases, Beijing Tongren Hospital,  Capital Medical University, Beijing, People&amp;apos;s Republic of China 470217619@qq.com.&lt;/_author_adr&gt;&lt;_collection_scope&gt;SCIE&lt;/_collection_scope&gt;&lt;_created&gt;66445814&lt;/_created&gt;&lt;_date&gt;2025-10-23&lt;/_date&gt;&lt;_date_display&gt;2025 Oct 23&lt;/_date_display&gt;&lt;_doi&gt;10.1136/bjo-2025-327366&lt;/_doi&gt;&lt;_impact_factor&gt;   3.500&lt;/_impact_factor&gt;&lt;_isbn&gt;1468-2079 (Electronic); 0007-1161 (Print); 0007-1161 (Linking)&lt;/_isbn&gt;&lt;_issue&gt;11&lt;/_issue&gt;&lt;_journal&gt;Br J Ophthalmol&lt;/_journal&gt;&lt;_keywords&gt;Contact lens; Drugs; Vision&lt;/_keywords&gt;&lt;_language&gt;English&lt;/_language&gt;&lt;_modified&gt;66445814&lt;/_modified&gt;&lt;_ori_publication&gt;© Author(s) (or their employer(s)) 2025. Re-use permitted under CC BY-NC. No _x000d__x000a_      commercial re-use. See rights and permissions. Published by BMJ Group.&lt;/_ori_publication&gt;&lt;_pages&gt;1215-1220&lt;/_pages&gt;&lt;_social_category&gt;眼科学(2)&lt;/_social_category&gt;&lt;_subject_headings&gt;Child; Humans; *Atropine/therapeutic use/administration &amp;amp; dosage; *Low-Level Light Therapy/methods; *Mydriatics/therapeutic use/administration &amp;amp; dosage; *Myopia/therapy/physiopathology; *Orthokeratologic Procedures/methods; Randomized Controlled Trials as Topic; *Refraction, Ocular/physiology; Treatment Outcome&lt;/_subject_headings&gt;&lt;_tertiary_title&gt;The British journal of ophthalmology&lt;/_tertiary_title&gt;&lt;_type_work&gt;Comparative Study; Journal Article; Network Meta-Analysis; Systematic Review&lt;/_type_work&gt;&lt;_url&gt;http://www.ncbi.nlm.nih.gov/entrez/query.fcgi?cmd=Retrieve&amp;amp;db=pubmed&amp;amp;dopt=Abstract&amp;amp;list_uids=40610049&amp;amp;query_hl=1&lt;/_url&gt;&lt;_volume&gt;109&lt;/_volume&gt;&lt;/Details&gt;&lt;Extra&gt;&lt;DBUID&gt;{4639BE48-E8DA-433D-936E-D6A27A715D41}&lt;/DBUID&gt;&lt;/Extra&gt;&lt;/Item&gt;&lt;/References&gt;&lt;/Group&gt;&lt;/Citation&gt;_x000a_"/>
    <w:docVar w:name="NE.Ref{8D73B62C-299D-4806-9142-578EC6A87587}" w:val=" ADDIN NE.Ref.{8D73B62C-299D-4806-9142-578EC6A87587}&lt;Citation&gt;&lt;Group&gt;&lt;References&gt;&lt;Item&gt;&lt;ID&gt;2686&lt;/ID&gt;&lt;UID&gt;{1EA9A28B-C2E0-4F8B-9126-9DF25D3C0250}&lt;/UID&gt;&lt;Title&gt;Interventions for myopia control in children: a living systematic review and  network meta-analysis&lt;/Title&gt;&lt;Template&gt;Journal Article&lt;/Template&gt;&lt;Star&gt;0&lt;/Star&gt;&lt;Tag&gt;0&lt;/Tag&gt;&lt;Author&gt;Lawrenson, John G; Huntjens, Byki; Virgili, Gianni; Ng, Sueko; Dhakal, Rohit; Downie, Laura E; Verkicharla, Pavan K; Kernohan, Ashleigh; Li, Tianjing; Walline, Jeffrey J&lt;/Author&gt;&lt;Year&gt;2025&lt;/Year&gt;&lt;Details&gt;&lt;_accession_num&gt;39945354&lt;/_accession_num&gt;&lt;_author_adr&gt;Centre for Applied Vision Research, School of Health &amp;amp; Medical Sciences, City St  George&amp;apos;s, University of London, London, UK.; Centre for Applied Vision Research, School of Health &amp;amp; Medical Sciences, City St  George&amp;apos;s, University of London, London, UK.; Department of Neurosciences, Psychology, Drug Research and Child Health  (NEUROFARBA), University of Florence, Florence, Italy.; Centre for Public Health, Queen&amp;apos;s University Belfast, Belfast, UK.; Department of Ophthalmology, University of Colorado Denver Anschutz Medical  Campus, Aurora, CO, USA.; Department of Optometry and Vision Science, University of Alabama at Birmingham,  Birmingham, AL, USA.; Department of Optometry and Vision Sciences, The University of Melbourne,  Melbourne, Australia.; Myopia Research Lab, Prof. Brien Holden Eye Research Centre, L V Prasad Eye  Institute, Hyderabad, India.; Population Health Sciences Institute, Newcastle University, Newcastle upon Tyne,  UK.; Department of Ophthalmology, University of Colorado Denver Anschutz Medical  Campus, Aurora, CO, USA.; College of Optometry, The Ohio State University, Columbus, Ohio, USA.&lt;/_author_adr&gt;&lt;_collection_scope&gt;SCIE&lt;/_collection_scope&gt;&lt;_created&gt;66445808&lt;/_created&gt;&lt;_date&gt;2025-02-13&lt;/_date&gt;&lt;_date_display&gt;2025 Feb 13&lt;/_date_display&gt;&lt;_doi&gt;10.1002/14651858.CD014758.pub3&lt;/_doi&gt;&lt;_impact_factor&gt;   9.400&lt;/_impact_factor&gt;&lt;_isbn&gt;1469-493X (Electronic); 1361-6137 (Linking)&lt;/_isbn&gt;&lt;_issue&gt;2&lt;/_issue&gt;&lt;_journal&gt;Cochrane Database Syst Rev&lt;/_journal&gt;&lt;_language&gt;English&lt;/_language&gt;&lt;_modified&gt;66445808&lt;/_modified&gt;&lt;_ori_publication&gt;Copyright © 2025 The Cochrane Collaboration. Published by John Wiley &amp;amp; Sons, Ltd.&lt;/_ori_publication&gt;&lt;_pages&gt;CD014758&lt;/_pages&gt;&lt;_social_category&gt;医学：内科(2)&lt;/_social_category&gt;&lt;_subject_headings&gt;Humans; Child; *Myopia/therapy/prevention &amp;amp; control; Randomized Controlled Trials as Topic; Disease Progression; Adolescent; Bias; Phototherapy/methods; Refraction, Ocular; Behavior Therapy; Atropine/therapeutic use; Eyeglasses; Axial Length, Eye&lt;/_subject_headings&gt;&lt;_tertiary_title&gt;The Cochrane database of systematic reviews&lt;/_tertiary_title&gt;&lt;_type_work&gt;Journal Article; Network Meta-Analysis; Systematic Review&lt;/_type_work&gt;&lt;_url&gt;http://www.ncbi.nlm.nih.gov/entrez/query.fcgi?cmd=Retrieve&amp;amp;db=pubmed&amp;amp;dopt=Abstract&amp;amp;list_uids=39945354&amp;amp;query_hl=1&lt;/_url&gt;&lt;_volume&gt;2&lt;/_volume&gt;&lt;/Details&gt;&lt;Extra&gt;&lt;DBUID&gt;{4639BE48-E8DA-433D-936E-D6A27A715D41}&lt;/DBUID&gt;&lt;/Extra&gt;&lt;/Item&gt;&lt;/References&gt;&lt;/Group&gt;&lt;Group&gt;&lt;References&gt;&lt;Item&gt;&lt;ID&gt;2687&lt;/ID&gt;&lt;UID&gt;{9940BA12-4287-480E-BCBD-3DF6DC77886A}&lt;/UID&gt;&lt;Title&gt;Efficacy of interventions for myopia control in children: A systematic review  with network meta-analyses&lt;/Title&gt;&lt;Template&gt;Journal Article&lt;/Template&gt;&lt;Star&gt;0&lt;/Star&gt;&lt;Tag&gt;0&lt;/Tag&gt;&lt;Author&gt;Schmidt, Diana Chabané; Hvid-Hansen, Anders; Jacobsen, Nina; Jakobsen, Trine Møldrup; Larsen, Per Michael; Lindblad, Kjersti Kristin; Møller, Flemming; Slyngborg, Annette; Subhi, Yousif; Kessel, Line&lt;/Author&gt;&lt;Year&gt;2025&lt;/Year&gt;&lt;Details&gt;&lt;_accession_num&gt;40219611&lt;/_accession_num&gt;&lt;_author_adr&gt;Department of Ophthalmology, Copenhagen University Hospital - Rigshospitalet,  Glostrup, Denmark.; Department of Ophthalmology, Copenhagen University Hospital - Rigshospitalet,  Glostrup, Denmark.; Department of Ophthalmology, Copenhagen University Hospital - Rigshospitalet,  Glostrup, Denmark.; Scandinavian Eye Centre, Hellerup, Denmark.; Department of Ophthalmology, Vejle Hospital, University Hospital of Southern  Denmark, Vejle, Denmark.; The Danish Optometric Association, Copenhagen, Denmark.; Copenhagen School of Design and Technology, Copenhagen, Denmark.; Department of Ophthalmology, Vejle Hospital, University Hospital of Southern  Denmark, Vejle, Denmark.; Øjenklinikken Kårstad &amp;amp; Møller, Esbjerg, Denmark.; Synoptik A/S, Herlev, Denmark.; Department of Ophthalmology, Copenhagen University Hospital - Rigshospitalet,  Glostrup, Denmark.; Department of Clinical Research, University of Southern Denmark, Odense, Denmark.; Department of Clinical Medicine, University of Copenhagen, Copenhagen, Denmark.; Department of Ophthalmology, Copenhagen University Hospital - Rigshospitalet,  Glostrup, Denmark.; Department of Clinical Medicine, University of Copenhagen, Copenhagen, Denmark.&lt;/_author_adr&gt;&lt;_collection_scope&gt;SCIE&lt;/_collection_scope&gt;&lt;_created&gt;66445808&lt;/_created&gt;&lt;_date&gt;2025-12-01&lt;/_date&gt;&lt;_date_display&gt;2025 Dec&lt;/_date_display&gt;&lt;_doi&gt;10.1111/aos.17496&lt;/_doi&gt;&lt;_impact_factor&gt;   2.800&lt;/_impact_factor&gt;&lt;_isbn&gt;1755-3768 (Electronic); 1755-375X (Print); 1755-375X (Linking)&lt;/_isbn&gt;&lt;_issue&gt;8&lt;/_issue&gt;&lt;_journal&gt;Acta Ophthalmol&lt;/_journal&gt;&lt;_keywords&gt;axial length; efficacy comparison; myopia control; network meta‐analysis&lt;/_keywords&gt;&lt;_language&gt;English&lt;/_language&gt;&lt;_modified&gt;66445808&lt;/_modified&gt;&lt;_ori_publication&gt;© 2025 The Author(s). Acta Ophthalmologica published by John Wiley &amp;amp; Sons Ltd on _x000d__x000a_      behalf of Acta Ophthalmologica Scandinavica Foundation.&lt;/_ori_publication&gt;&lt;_pages&gt;939-965&lt;/_pages&gt;&lt;_social_category&gt;眼科学(2)&lt;/_social_category&gt;&lt;_subject_headings&gt;Adolescent; Child; Humans; Atropine; Axial Length, Eye; Disease Progression; *Eyeglasses; *Myopia/therapy/physiopathology; *Orthokeratologic Procedures/methods; *Refraction, Ocular/physiology; *Visual Acuity&lt;/_subject_headings&gt;&lt;_tertiary_title&gt;Acta ophthalmologica&lt;/_tertiary_title&gt;&lt;_type_work&gt;Journal Article; Network Meta-Analysis; Systematic Review&lt;/_type_work&gt;&lt;_url&gt;http://www.ncbi.nlm.nih.gov/entrez/query.fcgi?cmd=Retrieve&amp;amp;db=pubmed&amp;amp;dopt=Abstract&amp;amp;list_uids=40219611&amp;amp;query_hl=1&lt;/_url&gt;&lt;_volume&gt;103&lt;/_volume&gt;&lt;/Details&gt;&lt;Extra&gt;&lt;DBUID&gt;{4639BE48-E8DA-433D-936E-D6A27A715D41}&lt;/DBUID&gt;&lt;/Extra&gt;&lt;/Item&gt;&lt;/References&gt;&lt;/Group&gt;&lt;/Citation&gt;_x000a_"/>
    <w:docVar w:name="NE.Ref{909013CB-9999-4353-B857-62CD50A588C7}" w:val=" ADDIN NE.Ref.{909013CB-9999-4353-B857-62CD50A588C7}&lt;Citation&gt;&lt;Group&gt;&lt;References&gt;&lt;Item&gt;&lt;ID&gt;2688&lt;/ID&gt;&lt;UID&gt;{CB8144DB-C6B7-4A0E-B88A-195A5704E54F}&lt;/UID&gt;&lt;Title&gt;Influence of age and race on axial elongation in myopic children: A systematic  review and meta-regression&lt;/Title&gt;&lt;Template&gt;Journal Article&lt;/Template&gt;&lt;Star&gt;0&lt;/Star&gt;&lt;Tag&gt;0&lt;/Tag&gt;&lt;Author&gt;Brennan, Noel A; Shamp, Wright; Maynes, Elizabeth; Cheng, Xu; Bullimore, Mark A&lt;/Author&gt;&lt;Year&gt;2024&lt;/Year&gt;&lt;Details&gt;&lt;_accession_num&gt;39259699&lt;/_accession_num&gt;&lt;_author_adr&gt;Johnson &amp;amp; Johnson, Jacksonville, Florida.; Kelly Services, Inc., Troy, Michigan.; Johnson &amp;amp; Johnson, Jacksonville, Florida.; College of Optometry, University of Houston, Houston, Texas.&lt;/_author_adr&gt;&lt;_collection_scope&gt;SCIE;EI&lt;/_collection_scope&gt;&lt;_created&gt;66445810&lt;/_created&gt;&lt;_date&gt;2024-08-01&lt;/_date&gt;&lt;_date_display&gt;2024 Aug 1&lt;/_date_display&gt;&lt;_doi&gt;10.1097/OPX.0000000000002176&lt;/_doi&gt;&lt;_impact_factor&gt;   1.800&lt;/_impact_factor&gt;&lt;_isbn&gt;1538-9235 (Electronic); 1040-5488 (Linking)&lt;/_isbn&gt;&lt;_issue&gt;8&lt;/_issue&gt;&lt;_journal&gt;Optom Vis Sci&lt;/_journal&gt;&lt;_language&gt;English&lt;/_language&gt;&lt;_modified&gt;66445810&lt;/_modified&gt;&lt;_ori_publication&gt;Copyright © 2024 American Academy of Optometry.&lt;/_ori_publication&gt;&lt;_pages&gt;497-507&lt;/_pages&gt;&lt;_social_category&gt;眼科学(4)&lt;/_social_category&gt;&lt;_subject_headings&gt;Child; Humans; Age Factors; *Axial Length, Eye/physiopathology; Disease Progression; *Myopia/diagnosis/physiopathology/therapy; Refraction, Ocular/physiology; Race Factors&lt;/_subject_headings&gt;&lt;_tertiary_title&gt;Optometry and vision science : official publication of the American Academy of _x000d__x000a_      Optometry&lt;/_tertiary_title&gt;&lt;_type_work&gt;Journal Article; Meta-Analysis; Systematic Review&lt;/_type_work&gt;&lt;_url&gt;http://www.ncbi.nlm.nih.gov/entrez/query.fcgi?cmd=Retrieve&amp;amp;db=pubmed&amp;amp;dopt=Abstract&amp;amp;list_uids=39259699&amp;amp;query_hl=1&lt;/_url&gt;&lt;_volume&gt;101&lt;/_volume&gt;&lt;/Details&gt;&lt;Extra&gt;&lt;DBUID&gt;{4639BE48-E8DA-433D-936E-D6A27A715D41}&lt;/DBUID&gt;&lt;/Extra&gt;&lt;/Item&gt;&lt;/References&gt;&lt;/Group&gt;&lt;Group&gt;&lt;References&gt;&lt;Item&gt;&lt;ID&gt;2689&lt;/ID&gt;&lt;UID&gt;{549AD31D-005F-457E-B17E-E29E1C1CDCC6}&lt;/UID&gt;&lt;Title&gt;IMI-Instrumentation for Myopia Management&lt;/Title&gt;&lt;Template&gt;Journal Article&lt;/Template&gt;&lt;Star&gt;0&lt;/Star&gt;&lt;Tag&gt;0&lt;/Tag&gt;&lt;Author&gt;Jones, Deborah; Chow, Amy; Fadel, Daddi; Gonzalez Meijome, Jose Manuel; Grzybowski, Andrzej; Kollbaum, Pete; Loughman, James; Wolffsohn, James&lt;/Author&gt;&lt;Year&gt;2025&lt;/Year&gt;&lt;Details&gt;&lt;_accession_num&gt;40600762&lt;/_accession_num&gt;&lt;_author_adr&gt;School of Optometry &amp;amp; Vision Science, University of Waterloo, Waterloo, Canada.; Centre for Ocular Research &amp;amp; Education, University of Waterloo, Waterloo, Canada.; Centre for Eye and Vision Research, Hong Kong SAR, China.; School of Optometry &amp;amp; Vision Science, University of Waterloo, Waterloo, Canada.; Centre for Eye and Vision Research, Hong Kong SAR, China.; School of Optometry &amp;amp; Vision Science, University of Waterloo, Waterloo, Canada.; Centre for Ocular Research &amp;amp; Education, University of Waterloo, Waterloo, Canada.; CEORLab - Center of Physics of Minho and Porto Universities, School of Science,  University of Minho, Portugal.; Institute for Research in Ophthalmology, Foundation for Ophthalmology  Development, Poznan, Poland.; Department of Ophthalmology, University of Warmia and Mazury, Olsztyn, Poland.; Indiana University, School of Optometry, Bloomington, IN, United States.; Centre for Eye Research Ireland, Technological University Dublin, Dublin,  Ireland.; School of Optometry, College of Health and Life Sciences, Aston University,  Birmingham, United Kingdom.&lt;/_author_adr&gt;&lt;_collection_scope&gt;SCIE&lt;/_collection_scope&gt;&lt;_created&gt;66445810&lt;/_created&gt;&lt;_date&gt;2025-07-01&lt;/_date&gt;&lt;_date_display&gt;2025 Jul 1&lt;/_date_display&gt;&lt;_doi&gt;10.1167/iovs.66.9.7&lt;/_doi&gt;&lt;_impact_factor&gt;   4.700&lt;/_impact_factor&gt;&lt;_isbn&gt;1552-5783 (Electronic); 0146-0404 (Print); 0146-0404 (Linking)&lt;/_isbn&gt;&lt;_issue&gt;9&lt;/_issue&gt;&lt;_journal&gt;Invest Ophthalmol Vis Sci&lt;/_journal&gt;&lt;_language&gt;English&lt;/_language&gt;&lt;_modified&gt;66445810&lt;/_modified&gt;&lt;_pages&gt;7&lt;/_pages&gt;&lt;_social_category&gt;眼科学(2)&lt;/_social_category&gt;&lt;_subject_headings&gt;Humans; *Myopia/diagnosis/therapy/physiopathology; *Refraction, Ocular/physiology; *Disease Management; Biometry/instrumentation; *Diagnostic Techniques, Ophthalmological/instrumentation; Accommodation, Ocular/physiology&lt;/_subject_headings&gt;&lt;_tertiary_title&gt;Investigative ophthalmology &amp;amp; visual science&lt;/_tertiary_title&gt;&lt;_type_work&gt;Journal Article; Review&lt;/_type_work&gt;&lt;_url&gt;http://www.ncbi.nlm.nih.gov/entrez/query.fcgi?cmd=Retrieve&amp;amp;db=pubmed&amp;amp;dopt=Abstract&amp;amp;list_uids=40600762&amp;amp;query_hl=1&lt;/_url&gt;&lt;_volume&gt;66&lt;/_volume&gt;&lt;/Details&gt;&lt;Extra&gt;&lt;DBUID&gt;{4639BE48-E8DA-433D-936E-D6A27A715D41}&lt;/DBUID&gt;&lt;/Extra&gt;&lt;/Item&gt;&lt;/References&gt;&lt;/Group&gt;&lt;/Citation&gt;_x000a_"/>
    <w:docVar w:name="NE.Ref{9B7448D1-090E-49D9-A71D-5E6C416B811D}" w:val=" ADDIN NE.Ref.{9B7448D1-090E-49D9-A71D-5E6C416B811D}&lt;Citation&gt;&lt;Group&gt;&lt;References&gt;&lt;Item&gt;&lt;ID&gt;4096&lt;/ID&gt;&lt;UID&gt;{17BCB169-B1D5-4253-B9AD-DDCDD0ACA6EE}&lt;/UID&gt;&lt;Title&gt;Proper method for calculating average visual acuity&lt;/Title&gt;&lt;Template&gt;Journal Article&lt;/Template&gt;&lt;Star&gt;0&lt;/Star&gt;&lt;Tag&gt;0&lt;/Tag&gt;&lt;Author&gt;Holladay, J T&lt;/Author&gt;&lt;Year&gt;1997&lt;/Year&gt;&lt;Details&gt;&lt;_accession_num&gt;9268940&lt;/_accession_num&gt;&lt;_author_adr&gt;University of Texas Medical School at Houston, USA.&lt;/_author_adr&gt;&lt;_date_display&gt;1997 Jul-Aug&lt;/_date_display&gt;&lt;_date&gt;1997-07-01&lt;/_date&gt;&lt;_doi&gt;10.3928/1081-597X-19970701-16&lt;/_doi&gt;&lt;_isbn&gt;1081-597X (Print); 1081-597X (Linking)&lt;/_isbn&gt;&lt;_issue&gt;4&lt;/_issue&gt;&lt;_journal&gt;J Refract Surg&lt;/_journal&gt;&lt;_language&gt;eng&lt;/_language&gt;&lt;_pages&gt;388-91&lt;/_pages&gt;&lt;_subject_headings&gt;Humans; Vision Tests/*methods; *Visual Acuity/physiology&lt;/_subject_headings&gt;&lt;_tertiary_title&gt;Journal of refractive surgery (Thorofare, N.J. : 1995)&lt;/_tertiary_title&gt;&lt;_type_work&gt;Journal Article&lt;/_type_work&gt;&lt;_url&gt;http://www.ncbi.nlm.nih.gov/entrez/query.fcgi?cmd=Retrieve&amp;amp;db=pubmed&amp;amp;dopt=Abstract&amp;amp;list_uids=9268940&amp;amp;query_hl=1&lt;/_url&gt;&lt;_volume&gt;13&lt;/_volume&gt;&lt;_created&gt;66563452&lt;/_created&gt;&lt;_modified&gt;66563452&lt;/_modified&gt;&lt;_impact_factor&gt;   3.000&lt;/_impact_factor&gt;&lt;_social_category&gt;眼科学(2) &amp;amp; 外科(2)&lt;/_social_category&gt;&lt;_collection_scope&gt;SCIE&lt;/_collection_scope&gt;&lt;/Details&gt;&lt;Extra&gt;&lt;DBUID&gt;{4639BE48-E8DA-433D-936E-D6A27A715D41}&lt;/DBUID&gt;&lt;/Extra&gt;&lt;/Item&gt;&lt;/References&gt;&lt;/Group&gt;&lt;/Citation&gt;_x000a_"/>
    <w:docVar w:name="NE.Ref{A979E06D-9F2A-4CCF-B2B9-E16283D3FD3E}" w:val=" ADDIN NE.Ref.{A979E06D-9F2A-4CCF-B2B9-E16283D3FD3E}&lt;Citation&gt;&lt;Group&gt;&lt;References&gt;&lt;Item&gt;&lt;ID&gt;2687&lt;/ID&gt;&lt;UID&gt;{9940BA12-4287-480E-BCBD-3DF6DC77886A}&lt;/UID&gt;&lt;Title&gt;Efficacy of interventions for myopia control in children: A systematic review  with network meta-analyses&lt;/Title&gt;&lt;Template&gt;Journal Article&lt;/Template&gt;&lt;Star&gt;0&lt;/Star&gt;&lt;Tag&gt;0&lt;/Tag&gt;&lt;Author&gt;Schmidt, Diana Chabané; Hvid-Hansen, Anders; Jacobsen, Nina; Jakobsen, Trine Møldrup; Larsen, Per Michael; Lindblad, Kjersti Kristin; Møller, Flemming; Slyngborg, Annette; Subhi, Yousif; Kessel, Line&lt;/Author&gt;&lt;Year&gt;2025&lt;/Year&gt;&lt;Details&gt;&lt;_accession_num&gt;40219611&lt;/_accession_num&gt;&lt;_author_adr&gt;Department of Ophthalmology, Copenhagen University Hospital - Rigshospitalet,  Glostrup, Denmark.; Department of Ophthalmology, Copenhagen University Hospital - Rigshospitalet,  Glostrup, Denmark.; Department of Ophthalmology, Copenhagen University Hospital - Rigshospitalet,  Glostrup, Denmark.; Scandinavian Eye Centre, Hellerup, Denmark.; Department of Ophthalmology, Vejle Hospital, University Hospital of Southern  Denmark, Vejle, Denmark.; The Danish Optometric Association, Copenhagen, Denmark.; Copenhagen School of Design and Technology, Copenhagen, Denmark.; Department of Ophthalmology, Vejle Hospital, University Hospital of Southern  Denmark, Vejle, Denmark.; Øjenklinikken Kårstad &amp;amp; Møller, Esbjerg, Denmark.; Synoptik A/S, Herlev, Denmark.; Department of Ophthalmology, Copenhagen University Hospital - Rigshospitalet,  Glostrup, Denmark.; Department of Clinical Research, University of Southern Denmark, Odense, Denmark.; Department of Clinical Medicine, University of Copenhagen, Copenhagen, Denmark.; Department of Ophthalmology, Copenhagen University Hospital - Rigshospitalet,  Glostrup, Denmark.; Department of Clinical Medicine, University of Copenhagen, Copenhagen, Denmark.&lt;/_author_adr&gt;&lt;_collection_scope&gt;SCIE&lt;/_collection_scope&gt;&lt;_created&gt;66445808&lt;/_created&gt;&lt;_date&gt;2025-12-01&lt;/_date&gt;&lt;_date_display&gt;2025 Dec&lt;/_date_display&gt;&lt;_doi&gt;10.1111/aos.17496&lt;/_doi&gt;&lt;_impact_factor&gt;   2.800&lt;/_impact_factor&gt;&lt;_isbn&gt;1755-3768 (Electronic); 1755-375X (Print); 1755-375X (Linking)&lt;/_isbn&gt;&lt;_issue&gt;8&lt;/_issue&gt;&lt;_journal&gt;Acta Ophthalmol&lt;/_journal&gt;&lt;_keywords&gt;axial length; efficacy comparison; myopia control; network meta‐analysis&lt;/_keywords&gt;&lt;_language&gt;English&lt;/_language&gt;&lt;_modified&gt;66445808&lt;/_modified&gt;&lt;_ori_publication&gt;© 2025 The Author(s). Acta Ophthalmologica published by John Wiley &amp;amp; Sons Ltd on _x000d__x000a_      behalf of Acta Ophthalmologica Scandinavica Foundation.&lt;/_ori_publication&gt;&lt;_pages&gt;939-965&lt;/_pages&gt;&lt;_social_category&gt;眼科学(2)&lt;/_social_category&gt;&lt;_subject_headings&gt;Adolescent; Child; Humans; Atropine; Axial Length, Eye; Disease Progression; *Eyeglasses; *Myopia/therapy/physiopathology; *Orthokeratologic Procedures/methods; *Refraction, Ocular/physiology; *Visual Acuity&lt;/_subject_headings&gt;&lt;_tertiary_title&gt;Acta ophthalmologica&lt;/_tertiary_title&gt;&lt;_type_work&gt;Journal Article; Network Meta-Analysis; Systematic Review&lt;/_type_work&gt;&lt;_url&gt;http://www.ncbi.nlm.nih.gov/entrez/query.fcgi?cmd=Retrieve&amp;amp;db=pubmed&amp;amp;dopt=Abstract&amp;amp;list_uids=40219611&amp;amp;query_hl=1&lt;/_url&gt;&lt;_volume&gt;103&lt;/_volume&gt;&lt;/Details&gt;&lt;Extra&gt;&lt;DBUID&gt;{4639BE48-E8DA-433D-936E-D6A27A715D41}&lt;/DBUID&gt;&lt;/Extra&gt;&lt;/Item&gt;&lt;/References&gt;&lt;/Group&gt;&lt;/Citation&gt;_x000a_"/>
    <w:docVar w:name="NE.Ref{A9B47126-BFF6-4B92-BB0B-5CB7FC75A5C8}" w:val=" ADDIN NE.Ref.{A9B47126-BFF6-4B92-BB0B-5CB7FC75A5C8}&lt;Citation&gt;&lt;Group&gt;&lt;References&gt;&lt;Item&gt;&lt;ID&gt;2682&lt;/ID&gt;&lt;UID&gt;{F2864D4C-A477-4A8B-9853-ACEC40447019}&lt;/UID&gt;&lt;Title&gt;Academic performance and musculoskeletal pain in adolescents with uncorrected  vision problems&lt;/Title&gt;&lt;Template&gt;Journal Article&lt;/Template&gt;&lt;Star&gt;0&lt;/Star&gt;&lt;Tag&gt;0&lt;/Tag&gt;&lt;Author&gt;Thorud, Hanne-Mari Schiøtz; Mudvari, Prabeen Raj; Falkenberg, Helle K&lt;/Author&gt;&lt;Year&gt;2024&lt;/Year&gt;&lt;Details&gt;&lt;_accession_num&gt;38515102&lt;/_accession_num&gt;&lt;_author_adr&gt;National Centre for Optics, Vision and Eye Care, Department of Optometry,  Radiography and Lighting Design, University of South-Eastern Norway, Kongsberg,  Norway. hannemt@usn.no.; National Centre for Optics, Vision and Eye Care, Department of Optometry,  Radiography and Lighting Design, University of South-Eastern Norway, Kongsberg,  Norway.; National Centre for Optics, Vision and Eye Care, Department of Optometry,  Radiography and Lighting Design, University of South-Eastern Norway, Kongsberg,  Norway.&lt;/_author_adr&gt;&lt;_collection_scope&gt;SCIE&lt;/_collection_scope&gt;&lt;_created&gt;66445804&lt;/_created&gt;&lt;_date&gt;2024-03-21&lt;/_date&gt;&lt;_date_display&gt;2024 Mar 21&lt;/_date_display&gt;&lt;_doi&gt;10.1186/s12887-024-04681-7&lt;/_doi&gt;&lt;_impact_factor&gt;   2.000&lt;/_impact_factor&gt;&lt;_isbn&gt;1471-2431 (Electronic); 1471-2431 (Linking)&lt;/_isbn&gt;&lt;_issue&gt;1&lt;/_issue&gt;&lt;_journal&gt;BMC Pediatr&lt;/_journal&gt;&lt;_keywords&gt;Children; Education; Eye; Glasses; Headache; Learning; Neck; Screen; Shoulder; Vision&lt;/_keywords&gt;&lt;_language&gt;English&lt;/_language&gt;&lt;_modified&gt;66445804&lt;/_modified&gt;&lt;_ori_publication&gt;© 2024. The Author(s).&lt;/_ori_publication&gt;&lt;_pages&gt;202&lt;/_pages&gt;&lt;_social_category&gt;儿科(3)&lt;/_social_category&gt;&lt;_subject_headings&gt;Male; Child; Female; Humans; Adolescent; Visual Acuity; *Musculoskeletal Pain/diagnosis; Shoulder Pain; Quality of Life; *Refractive Errors/diagnosis/epidemiology; *Academic Performance; Prevalence&lt;/_subject_headings&gt;&lt;_tertiary_title&gt;BMC pediatrics&lt;/_tertiary_title&gt;&lt;_type_work&gt;Journal Article&lt;/_type_work&gt;&lt;_url&gt;http://www.ncbi.nlm.nih.gov/entrez/query.fcgi?cmd=Retrieve&amp;amp;db=pubmed&amp;amp;dopt=Abstract&amp;amp;list_uids=38515102&amp;amp;query_hl=1&lt;/_url&gt;&lt;_volume&gt;24&lt;/_volume&gt;&lt;/Details&gt;&lt;Extra&gt;&lt;DBUID&gt;{4639BE48-E8DA-433D-936E-D6A27A715D41}&lt;/DBUID&gt;&lt;/Extra&gt;&lt;/Item&gt;&lt;/References&gt;&lt;/Group&gt;&lt;Group&gt;&lt;References&gt;&lt;Item&gt;&lt;ID&gt;2683&lt;/ID&gt;&lt;UID&gt;{E94CC8E8-FC5A-410A-90C8-163044EC3E94}&lt;/UID&gt;&lt;Title&gt;High myopia: Reviews of myopia control strategies and myopia complications&lt;/Title&gt;&lt;Template&gt;Journal Article&lt;/Template&gt;&lt;Star&gt;0&lt;/Star&gt;&lt;Tag&gt;0&lt;/Tag&gt;&lt;Author&gt;Shah, Rakhee; Vlasak, Natalia; Evans, Bruce J W&lt;/Author&gt;&lt;Year&gt;2024&lt;/Year&gt;&lt;Details&gt;&lt;_alternate_title&gt;Ophthalmic and Physiological Optics&lt;/_alternate_title&gt;&lt;_collection_scope&gt;SCIE&lt;/_collection_scope&gt;&lt;_created&gt;66445805&lt;/_created&gt;&lt;_date&gt;2024-01-01&lt;/_date&gt;&lt;_date_display&gt;2024&lt;/_date_display&gt;&lt;_doi&gt;10.1111/opo.13366&lt;/_doi&gt;&lt;_impact_factor&gt;   2.400&lt;/_impact_factor&gt;&lt;_isbn&gt;1475-1313&lt;/_isbn&gt;&lt;_issue&gt;6&lt;/_issue&gt;&lt;_journal&gt;Ophthalmic and Physiological Optics&lt;/_journal&gt;&lt;_modified&gt;66445805&lt;/_modified&gt;&lt;_number&gt;Shah2024&lt;/_number&gt;&lt;_pages&gt;1248-1260&lt;/_pages&gt;&lt;_social_category&gt;眼科学(2)&lt;/_social_category&gt;&lt;_url&gt;https://doi.org/10.1111/opo.13366&lt;/_url&gt;&lt;_volume&gt;44&lt;/_volume&gt;&lt;_language&gt;English&lt;/_language&gt;&lt;/Details&gt;&lt;Extra&gt;&lt;DBUID&gt;{4639BE48-E8DA-433D-936E-D6A27A715D41}&lt;/DBUID&gt;&lt;/Extra&gt;&lt;/Item&gt;&lt;/References&gt;&lt;/Group&gt;&lt;Group&gt;&lt;References&gt;&lt;Item&gt;&lt;ID&gt;2684&lt;/ID&gt;&lt;UID&gt;{26DA468F-E94A-46CA-A4F9-24809396C723}&lt;/UID&gt;&lt;Title&gt;Effects of myopia on health-related quality of life in adolescents: a population-based cross-sectional causal empirical survey&lt;/Title&gt;&lt;Template&gt;Journal Article&lt;/Template&gt;&lt;Star&gt;0&lt;/Star&gt;&lt;Tag&gt;0&lt;/Tag&gt;&lt;Author&gt;Lu, Liyong; Zheng, Yu; Xu, Yanjiao; Feng, Junchao; Li, Shunping&lt;/Author&gt;&lt;Year&gt;2024&lt;/Year&gt;&lt;Details&gt;&lt;_alternate_title&gt;BMJ Open Ophthalmology&lt;/_alternate_title&gt;&lt;_collection_scope&gt;ESCI&lt;/_collection_scope&gt;&lt;_created&gt;66445805&lt;/_created&gt;&lt;_date&gt;2024-10-23&lt;/_date&gt;&lt;_date_display&gt;2024/10/23&lt;/_date_display&gt;&lt;_doi&gt;10.1136/bmjophth-2024-001730&lt;/_doi&gt;&lt;_impact_factor&gt;   2.200&lt;/_impact_factor&gt;&lt;_issue&gt;1&lt;/_issue&gt;&lt;_journal&gt;BMJ Open Ophthalmology&lt;/_journal&gt;&lt;_modified&gt;66445805&lt;/_modified&gt;&lt;_pages&gt;e001730&lt;/_pages&gt;&lt;_social_category&gt;眼科学(3)&lt;/_social_category&gt;&lt;_url&gt;https://doi.org/10.1136/bmjophth-2024-001730&lt;/_url&gt;&lt;_volume&gt;9&lt;/_volume&gt;&lt;_language&gt;English&lt;/_language&gt;&lt;/Details&gt;&lt;Extra&gt;&lt;DBUID&gt;{4639BE48-E8DA-433D-936E-D6A27A715D41}&lt;/DBUID&gt;&lt;/Extra&gt;&lt;/Item&gt;&lt;/References&gt;&lt;/Group&gt;&lt;/Citation&gt;_x000a_"/>
    <w:docVar w:name="NE.Ref{ABC8BA90-0C23-49E1-A7F0-8C9C96C457CF}" w:val=" ADDIN NE.Ref.{ABC8BA90-0C23-49E1-A7F0-8C9C96C457CF}&lt;Citation&gt;&lt;Group&gt;&lt;References&gt;&lt;Item&gt;&lt;ID&gt;2696&lt;/ID&gt;&lt;UID&gt;{1DE9987F-6307-432E-9757-391EE57C9FC2}&lt;/UID&gt;&lt;Title&gt;Choroidal vasculature act as predictive biomarkers of long-term ocular elongation in myopic children treated with orthokeratology: a prospective cohort study&lt;/Title&gt;&lt;Template&gt;Journal Article&lt;/Template&gt;&lt;Star&gt;0&lt;/Star&gt;&lt;Tag&gt;0&lt;/Tag&gt;&lt;Author&gt;Wu, Hao; Peng, Tianli; Zhou, Weihe; Huang, Zihan; Li, Hongyu; Wang, Tengfei; Zhang, Jingwei; Zhang, Kou; Li, Haoer; Zhao, Yunpeng; Qu, Jia; Lu, Fan; Zhou, Xiangtian; Jiang, Jun&lt;/Author&gt;&lt;Year&gt;2023&lt;/Year&gt;&lt;Details&gt;&lt;_alternate_title&gt;Eye and Vision&lt;/_alternate_title&gt;&lt;_collection_scope&gt;CSCD&lt;/_collection_scope&gt;&lt;_created&gt;66445825&lt;/_created&gt;&lt;_date&gt;2023-01-01&lt;/_date&gt;&lt;_date_display&gt;2023&lt;/_date_display&gt;&lt;_doi&gt;10.1186/s40662-023-00345-2&lt;/_doi&gt;&lt;_impact_factor&gt;   4.000&lt;/_impact_factor&gt;&lt;_isbn&gt;2326-0254&lt;/_isbn&gt;&lt;_issue&gt;1&lt;/_issue&gt;&lt;_journal&gt;Eye and Vision&lt;/_journal&gt;&lt;_modified&gt;66445825&lt;/_modified&gt;&lt;_number&gt;Wu2023&lt;/_number&gt;&lt;_pages&gt;27&lt;/_pages&gt;&lt;_social_category&gt;眼科学(1)&lt;/_social_category&gt;&lt;_url&gt;https://doi.org/10.1186/s40662-023-00345-2&lt;/_url&gt;&lt;_volume&gt;10&lt;/_volume&gt;&lt;_language&gt;English&lt;/_language&gt;&lt;/Details&gt;&lt;Extra&gt;&lt;DBUID&gt;{4639BE48-E8DA-433D-936E-D6A27A715D41}&lt;/DBUID&gt;&lt;/Extra&gt;&lt;/Item&gt;&lt;/References&gt;&lt;/Group&gt;&lt;/Citation&gt;_x000a_"/>
    <w:docVar w:name="NE.Ref{B359631A-1C96-4058-97DA-86A15D6953C9}" w:val=" ADDIN NE.Ref.{B359631A-1C96-4058-97DA-86A15D6953C9}&lt;Citation&gt;&lt;Group&gt;&lt;References&gt;&lt;Item&gt;&lt;ID&gt;2690&lt;/ID&gt;&lt;UID&gt;{E66E3699-166A-4C2B-8097-F7A5B32E08BB}&lt;/UID&gt;&lt;Title&gt;Advances in myopia control strategies for children&lt;/Title&gt;&lt;Template&gt;Journal Article&lt;/Template&gt;&lt;Star&gt;0&lt;/Star&gt;&lt;Tag&gt;0&lt;/Tag&gt;&lt;Author&gt;Zhang, Xiu Juan; Zaabaar, Ebenezer; French, Amanda Nicole; Tang, Fang Yao; Kam, Ka Wai; Tham, Clement C; Chen, Li Jia; Pang, Chi Pui; Yam, Jason C&lt;/Author&gt;&lt;Year&gt;2025&lt;/Year&gt;&lt;Details&gt;&lt;_accession_num&gt;38777389&lt;/_accession_num&gt;&lt;_author_adr&gt;Department of Ophthalmology and Visual Sciences, The Chinese University of Hong  Kong, Hong Kong SAR, China.; Department of Ophthalmology and Visual Sciences, The Chinese University of Hong  Kong, Hong Kong SAR, China.; Discipline of Orthoptics, University of Sydney, Sydney, New South Wales,  Australia.; Department of Ophthalmology and Visual Sciences, The Chinese University of Hong  Kong, Hong Kong SAR, China.; Department of Ophthalmology and Visual Sciences, The Chinese University of Hong  Kong, Hong Kong SAR, China.; Department of Ophthalmology and Visual Sciences, The Prince of Wales Hospital,  Hong Kong SAR, China.; Department of Ophthalmology and Visual Sciences, The Chinese University of Hong  Kong, Hong Kong SAR, China.; Department of Ophthalmology and Visual Sciences, The Prince of Wales Hospital,  Hong Kong SAR, China.; Hong Kong Eye Hospital, Hong Kong SAR, China.; Lam Kin Chung. Jet King-Shing Ho Glaucoma Treatment and Research Centre,  Department of Ophthalmology and Visual Sciences, The Chinese University of Hong  Kong, Hong Kong SAR, China.; Department of Ophthalmology, Hong Kong Children Hospital, Hong Kong SAR, China.; Hong Kong Hub of Paediatric Excellence, The Chinese University of Hong Kong, Hong  Kong SAR, China.; Department of Ophthalmology and Visual Sciences, The Chinese University of Hong  Kong, Hong Kong SAR, China.; Department of Ophthalmology and Visual Sciences, The Prince of Wales Hospital,  Hong Kong SAR, China.; Hong Kong Eye Hospital, Hong Kong SAR, China.; Lam Kin Chung. Jet King-Shing Ho Glaucoma Treatment and Research Centre,  Department of Ophthalmology and Visual Sciences, The Chinese University of Hong  Kong, Hong Kong SAR, China.; Hong Kong Hub of Paediatric Excellence, The Chinese University of Hong Kong, Hong  Kong SAR, China.; Department of Ophthalmology and Visual Sciences, The Chinese University of Hong  Kong, Hong Kong SAR, China.; Lam Kin Chung. Jet King-Shing Ho Glaucoma Treatment and Research Centre,  Department of Ophthalmology and Visual Sciences, The Chinese University of Hong  Kong, Hong Kong SAR, China.; Hong Kong Hub of Paediatric Excellence, The Chinese University of Hong Kong, Hong  Kong SAR, China.; Department of Ophthalmology and Visual Sciences, The Chinese University of Hong  Kong, Hong Kong SAR, China yamcheuksing@cuhk.edu.hk.; Department of Ophthalmology and Visual Sciences, The Prince of Wales Hospital,  Hong Kong SAR, China.; Hong Kong Eye Hospital, Hong Kong SAR, China.; Department of Ophthalmology, Hong Kong Children Hospital, Hong Kong SAR, China.; Hong Kong Hub of Paediatric Excellence, The Chinese University of Hong Kong, Hong  Kong SAR, China.&lt;/_author_adr&gt;&lt;_collection_scope&gt;SCIE&lt;/_collection_scope&gt;&lt;_created&gt;66445812&lt;/_created&gt;&lt;_date&gt;2025-01-28&lt;/_date&gt;&lt;_date_display&gt;2025 Jan 28&lt;/_date_display&gt;&lt;_doi&gt;10.1136/bjo-2023-323887&lt;/_doi&gt;&lt;_impact_factor&gt;   3.500&lt;/_impact_factor&gt;&lt;_isbn&gt;1468-2079 (Electronic); 0007-1161 (Linking)&lt;/_isbn&gt;&lt;_issue&gt;2&lt;/_issue&gt;&lt;_journal&gt;Br J Ophthalmol&lt;/_journal&gt;&lt;_keywords&gt;Child health (paediatrics); Epidemiology; Optics and Refraction&lt;/_keywords&gt;&lt;_language&gt;English&lt;/_language&gt;&lt;_modified&gt;66445812&lt;/_modified&gt;&lt;_ori_publication&gt;© Author(s) (or their employer(s)) 2025. No commercial re-use. See rights and _x000d__x000a_      permissions. Published by BMJ Group.&lt;/_ori_publication&gt;&lt;_pages&gt;165-176&lt;/_pages&gt;&lt;_social_category&gt;眼科学(2)&lt;/_social_category&gt;&lt;_subject_headings&gt;Humans; *Myopia/therapy/prevention &amp;amp; control/physiopathology; *Eyeglasses; Child; *Orthokeratologic Procedures/methods; Atropine/administration &amp;amp; dosage/therapeutic use; Refraction, Ocular/physiology; Mydriatics/administration &amp;amp; dosage; Disease Progression&lt;/_subject_headings&gt;&lt;_tertiary_title&gt;The British journal of ophthalmology&lt;/_tertiary_title&gt;&lt;_type_work&gt;Journal Article; Review&lt;/_type_work&gt;&lt;_url&gt;http://www.ncbi.nlm.nih.gov/entrez/query.fcgi?cmd=Retrieve&amp;amp;db=pubmed&amp;amp;dopt=Abstract&amp;amp;list_uids=38777389&amp;amp;query_hl=1&lt;/_url&gt;&lt;_volume&gt;109&lt;/_volume&gt;&lt;/Details&gt;&lt;Extra&gt;&lt;DBUID&gt;{4639BE48-E8DA-433D-936E-D6A27A715D41}&lt;/DBUID&gt;&lt;/Extra&gt;&lt;/Item&gt;&lt;/References&gt;&lt;/Group&gt;&lt;/Citation&gt;_x000a_"/>
    <w:docVar w:name="NE.Ref{BB94BF53-8374-4B59-B017-1BD77070DAEB}" w:val=" ADDIN NE.Ref.{BB94BF53-8374-4B59-B017-1BD77070DAEB}&lt;Citation&gt;&lt;Group&gt;&lt;References&gt;&lt;Item&gt;&lt;ID&gt;4100&lt;/ID&gt;&lt;UID&gt;{B909D2CC-ECA7-4191-A21C-8FC3D4C78FB9}&lt;/UID&gt;&lt;Title&gt;Childhood Myopia Part II: Treatment Mechanisms, Emerging Options, and  Considerations&lt;/Title&gt;&lt;Template&gt;Journal Article&lt;/Template&gt;&lt;Star&gt;0&lt;/Star&gt;&lt;Tag&gt;0&lt;/Tag&gt;&lt;Author&gt;Khanal, Safal; Tomiyama, Erin S; Harrington, Síofra C&lt;/Author&gt;&lt;Year&gt;2025&lt;/Year&gt;&lt;Details&gt;&lt;_accession_num&gt;40471569&lt;/_accession_num&gt;&lt;_author_adr&gt;Department of Optometry and Vision Science, University of Alabama at Birmingham,  Birmingham, Alabama, United States.; Southern California College of Optometry, Marshall B. Ketchum University,  Fullerton, California, United States.; School of Physics and Clinical and Optometric Sciences, Technological University  Dublin, Dublin, Ireland.; Centre for Eye Research Ireland (CERI), Technological University Dublin,  Grangegorman, Ireland.&lt;/_author_adr&gt;&lt;_date_display&gt;2025 Jun 5&lt;/_date_display&gt;&lt;_date&gt;2025-06-05&lt;/_date&gt;&lt;_doi&gt;10.1167/iovs.66.7.7&lt;/_doi&gt;&lt;_isbn&gt;1552-5783 (Electronic); 0146-0404 (Print); 0146-0404 (Linking)&lt;/_isbn&gt;&lt;_issue&gt;7&lt;/_issue&gt;&lt;_journal&gt;Invest Ophthalmol Vis Sci&lt;/_journal&gt;&lt;_language&gt;English&lt;/_language&gt;&lt;_pages&gt;7&lt;/_pages&gt;&lt;_subject_headings&gt;Humans; *Myopia/therapy/physiopathology; Child; *Refraction, Ocular/physiology; Eyeglasses&lt;/_subject_headings&gt;&lt;_tertiary_title&gt;Investigative ophthalmology &amp;amp; visual science&lt;/_tertiary_title&gt;&lt;_type_work&gt;Journal Article; Research Support, N.I.H., Extramural; Review&lt;/_type_work&gt;&lt;_url&gt;http://www.ncbi.nlm.nih.gov/entrez/query.fcgi?cmd=Retrieve&amp;amp;db=pubmed&amp;amp;dopt=Abstract&amp;amp;list_uids=40471569&amp;amp;query_hl=1&lt;/_url&gt;&lt;_volume&gt;66&lt;/_volume&gt;&lt;_created&gt;66563461&lt;/_created&gt;&lt;_modified&gt;66563461&lt;/_modified&gt;&lt;_impact_factor&gt;   4.700&lt;/_impact_factor&gt;&lt;_social_category&gt;眼科学(2)&lt;/_social_category&gt;&lt;_collection_scope&gt;SCIE&lt;/_collection_scope&gt;&lt;/Details&gt;&lt;Extra&gt;&lt;DBUID&gt;{4639BE48-E8DA-433D-936E-D6A27A715D41}&lt;/DBUID&gt;&lt;/Extra&gt;&lt;/Item&gt;&lt;/References&gt;&lt;/Group&gt;&lt;Group&gt;&lt;References&gt;&lt;Item&gt;&lt;ID&gt;4101&lt;/ID&gt;&lt;UID&gt;{765B5EC9-9112-49EC-A599-08AEBBD4286B}&lt;/UID&gt;&lt;Title&gt;Systematic Review of Myopia Progression after Cessation of Optical Interventions  for Myopia Control&lt;/Title&gt;&lt;Template&gt;Journal Article&lt;/Template&gt;&lt;Star&gt;0&lt;/Star&gt;&lt;Tag&gt;0&lt;/Tag&gt;&lt;Author&gt;Chiu, Yu-Chieh; Tsai, Ping-Chiao; Lee, Ssu-Hsien; Wang, Jen-Hung; Chiu, Cheng-Jen&lt;/Author&gt;&lt;Year&gt;2023&lt;/Year&gt;&lt;Details&gt;&lt;_accession_num&gt;38202060&lt;/_accession_num&gt;&lt;_author_adr&gt;School of Medicine, Tzu Chi University, Hualien 970, Taiwan.; School of Medicine, Tzu Chi University, Hualien 970, Taiwan.; School of Medicine, Tzu Chi University, Hualien 970, Taiwan.; Department of Medical Research, Buddhist Tzu Chi General Hospital, Hualien 970,  Taiwan.; Department of Ophthalmology and Visual Science, Tzu Chi University, Hualien 970,  Taiwan.; Department of Ophthalmology, Hualien Tzu Chi Hospital, the Buddhist Tzu Chi  Medical Foundation, Hualien 970, Taiwan.&lt;/_author_adr&gt;&lt;_date_display&gt;2023 Dec 21&lt;/_date_display&gt;&lt;_date&gt;2023-12-21&lt;/_date&gt;&lt;_doi&gt;10.3390/jcm13010053&lt;/_doi&gt;&lt;_isbn&gt;2077-0383 (Print); 2077-0383 (Electronic); 2077-0383 (Linking)&lt;/_isbn&gt;&lt;_issue&gt;1&lt;/_issue&gt;&lt;_journal&gt;J Clin Med&lt;/_journal&gt;&lt;_keywords&gt;MiSight; bifocal contact lens; discontinuation; myopia; myopia control; optical interventions; orthokeratology; rebound effect; spectacles&lt;/_keywords&gt;&lt;_language&gt;English&lt;/_language&gt;&lt;_tertiary_title&gt;Journal of clinical medicine&lt;/_tertiary_title&gt;&lt;_type_work&gt;Journal Article; Review&lt;/_type_work&gt;&lt;_url&gt;http://www.ncbi.nlm.nih.gov/entrez/query.fcgi?cmd=Retrieve&amp;amp;db=pubmed&amp;amp;dopt=Abstract&amp;amp;list_uids=38202060&amp;amp;query_hl=1&lt;/_url&gt;&lt;_volume&gt;13&lt;/_volume&gt;&lt;_created&gt;66563462&lt;/_created&gt;&lt;_modified&gt;66563462&lt;/_modified&gt;&lt;_impact_factor&gt;   2.900&lt;/_impact_factor&gt;&lt;_social_category&gt;医学：内科(3)&lt;/_social_category&gt;&lt;_collection_scope&gt;SCIE&lt;/_collection_scope&gt;&lt;/Details&gt;&lt;Extra&gt;&lt;DBUID&gt;{4639BE48-E8DA-433D-936E-D6A27A715D41}&lt;/DBUID&gt;&lt;/Extra&gt;&lt;/Item&gt;&lt;/References&gt;&lt;/Group&gt;&lt;Group&gt;&lt;References&gt;&lt;Item&gt;&lt;ID&gt;4102&lt;/ID&gt;&lt;UID&gt;{6966F419-C612-4638-A166-0C75732A8817}&lt;/UID&gt;&lt;Title&gt;The role of atropine in myopia control: insights into choroidal and scleral  mechanisms&lt;/Title&gt;&lt;Template&gt;Journal Article&lt;/Template&gt;&lt;Star&gt;0&lt;/Star&gt;&lt;Tag&gt;0&lt;/Tag&gt;&lt;Author&gt;Huang, Longxiang; Zhang, Jingjin; Luo, Youfang&lt;/Author&gt;&lt;Year&gt;2025&lt;/Year&gt;&lt;Details&gt;&lt;_accession_num&gt;40183102&lt;/_accession_num&gt;&lt;_author_adr&gt;Department of Ophthalmology, The First Affiliated Hospital of Fujian Medical  University, Fuzhou, China.; Department of Ophthalmology, National Regional Medical Center, Binhai Campus of  the First Affiliated Hospital, Fujian Medical University, Fuzhou, China.; Fujian Institute of Ophthalmology, The First Affiliated Hospital of Fujian  Medical University, Fuzhou, China.; Fujian Provincial Clinical Medical Research Center of Eye Diseases and Optometry,  The First Affiliated Hospital of Fujian Medical University, Fuzhou, China.; Department of Ophthalmology, The First Affiliated Hospital of Fujian Medical  University, Fuzhou, China.; Department of Ophthalmology, National Regional Medical Center, Binhai Campus of  the First Affiliated Hospital, Fujian Medical University, Fuzhou, China.; Fujian Institute of Ophthalmology, The First Affiliated Hospital of Fujian  Medical University, Fuzhou, China.; Fujian Provincial Clinical Medical Research Center of Eye Diseases and Optometry,  The First Affiliated Hospital of Fujian Medical University, Fuzhou, China.; Department of Rehabilitation, Fuzhou Second General Hospital, Fuzhou, China.&lt;/_author_adr&gt;&lt;_date_display&gt;2025&lt;/_date_display&gt;&lt;_date&gt;2025-01-20&lt;/_date&gt;&lt;_doi&gt;10.3389/fphar.2025.1509196&lt;/_doi&gt;&lt;_isbn&gt;1663-9812 (Print); 1663-9812 (Electronic); 1663-9812 (Linking)&lt;/_isbn&gt;&lt;_journal&gt;Front Pharmacol&lt;/_journal&gt;&lt;_keywords&gt;atropine; choroidal microcirculation; extracellular matrix remodeling; myopia; scleral hypoxia&lt;/_keywords&gt;&lt;_language&gt;eng&lt;/_language&gt;&lt;_ori_publication&gt;Copyright © 2025 Huang, Zhang and Luo.&lt;/_ori_publication&gt;&lt;_pages&gt;1509196&lt;/_pages&gt;&lt;_tertiary_title&gt;Frontiers in pharmacology&lt;/_tertiary_title&gt;&lt;_type_work&gt;Journal Article&lt;/_type_work&gt;&lt;_url&gt;http://www.ncbi.nlm.nih.gov/entrez/query.fcgi?cmd=Retrieve&amp;amp;db=pubmed&amp;amp;dopt=Abstract&amp;amp;list_uids=40183102&amp;amp;query_hl=1&lt;/_url&gt;&lt;_volume&gt;16&lt;/_volume&gt;&lt;_created&gt;66563462&lt;/_created&gt;&lt;_modified&gt;66563462&lt;/_modified&gt;&lt;_impact_factor&gt;   4.800&lt;/_impact_factor&gt;&lt;_social_category&gt;药学(3)&lt;/_social_category&gt;&lt;_collection_scope&gt;SCIE&lt;/_collection_scope&gt;&lt;/Details&gt;&lt;Extra&gt;&lt;DBUID&gt;{4639BE48-E8DA-433D-936E-D6A27A715D41}&lt;/DBUID&gt;&lt;/Extra&gt;&lt;/Item&gt;&lt;/References&gt;&lt;/Group&gt;&lt;/Citation&gt;_x000a_"/>
    <w:docVar w:name="NE.Ref{C4A85B2C-3686-4790-89D5-1210554DA8DC}" w:val=" ADDIN NE.Ref.{C4A85B2C-3686-4790-89D5-1210554DA8DC}&lt;Citation&gt;&lt;Group&gt;&lt;References&gt;&lt;Item&gt;&lt;ID&gt;2696&lt;/ID&gt;&lt;UID&gt;{1DE9987F-6307-432E-9757-391EE57C9FC2}&lt;/UID&gt;&lt;Title&gt;Choroidal vasculature act as predictive biomarkers of long-term ocular elongation in myopic children treated with orthokeratology: a prospective cohort study&lt;/Title&gt;&lt;Template&gt;Journal Article&lt;/Template&gt;&lt;Star&gt;0&lt;/Star&gt;&lt;Tag&gt;0&lt;/Tag&gt;&lt;Author&gt;Wu, Hao; Peng, Tianli; Zhou, Weihe; Huang, Zihan; Li, Hongyu; Wang, Tengfei; Zhang, Jingwei; Zhang, Kou; Li, Haoer; Zhao, Yunpeng; Qu, Jia; Lu, Fan; Zhou, Xiangtian; Jiang, Jun&lt;/Author&gt;&lt;Year&gt;2023&lt;/Year&gt;&lt;Details&gt;&lt;_alternate_title&gt;Eye and Vision&lt;/_alternate_title&gt;&lt;_collection_scope&gt;CSCD&lt;/_collection_scope&gt;&lt;_created&gt;66445825&lt;/_created&gt;&lt;_date&gt;2023-01-01&lt;/_date&gt;&lt;_date_display&gt;2023&lt;/_date_display&gt;&lt;_doi&gt;10.1186/s40662-023-00345-2&lt;/_doi&gt;&lt;_impact_factor&gt;   4.000&lt;/_impact_factor&gt;&lt;_isbn&gt;2326-0254&lt;/_isbn&gt;&lt;_issue&gt;1&lt;/_issue&gt;&lt;_journal&gt;Eye and Vision&lt;/_journal&gt;&lt;_modified&gt;66445825&lt;/_modified&gt;&lt;_number&gt;Wu2023&lt;/_number&gt;&lt;_pages&gt;27&lt;/_pages&gt;&lt;_social_category&gt;眼科学(1)&lt;/_social_category&gt;&lt;_url&gt;https://doi.org/10.1186/s40662-023-00345-2&lt;/_url&gt;&lt;_volume&gt;10&lt;/_volume&gt;&lt;_language&gt;English&lt;/_language&gt;&lt;/Details&gt;&lt;Extra&gt;&lt;DBUID&gt;{4639BE48-E8DA-433D-936E-D6A27A715D41}&lt;/DBUID&gt;&lt;/Extra&gt;&lt;/Item&gt;&lt;/References&gt;&lt;/Group&gt;&lt;Group&gt;&lt;References&gt;&lt;Item&gt;&lt;ID&gt;2708&lt;/ID&gt;&lt;UID&gt;{E5562DF5-C6B7-4899-9ABD-47D7F11E8E6A}&lt;/UID&gt;&lt;Title&gt;One-Month Changes in Choroidal Vascularity Index of Medium Vessel Layer in  Children with Myopia Wearing Orthokeratology Lenses: a Predictor for One-Year  Changes in Axial Length&lt;/Title&gt;&lt;Template&gt;Journal Article&lt;/Template&gt;&lt;Star&gt;0&lt;/Star&gt;&lt;Tag&gt;0&lt;/Tag&gt;&lt;Author&gt;Li, Junmeng; Rong, Bei; Zhu, Lei; Zhu, Ruilin; Rong, Xin; Wang, Yuwei; Zhang, Yadi; Gu, Xiaopeng; Zeng, Shuang; Lu, Yanye; Yang, Liu&lt;/Author&gt;&lt;Year&gt;2025&lt;/Year&gt;&lt;Details&gt;&lt;_accession_num&gt;40736868&lt;/_accession_num&gt;&lt;_author_adr&gt;Department of Ophthalmology, Peking University First Hospital, No. 8 Xi Shi Ku  Street, Xicheng District, Beijing, 100034, China.; Department of Ophthalmology, Peking University First Hospital, No. 8 Xi Shi Ku  Street, Xicheng District, Beijing, 100034, China.; Institute of Medical Technology, Peking University Health Science Center, Peking  University, No. 38 Xueyuan Road, Haidian District, Beijing, 100191, China.; Department of Biomedical Engineering, College of Future Technology, Peking  University, No.5 Yiheyuan Road, Haidian District, Beijing, 100871, China.; Department of Ophthalmology, Peking University First Hospital, No. 8 Xi Shi Ku  Street, Xicheng District, Beijing, 100034, China.; Department of Ophthalmology, Peking University First Hospital, No. 8 Xi Shi Ku  Street, Xicheng District, Beijing, 100034, China.; Department of Ophthalmology, Peking University First Hospital, No. 8 Xi Shi Ku  Street, Xicheng District, Beijing, 100034, China.; Department of Ophthalmology, Peking University First Hospital, No. 8 Xi Shi Ku  Street, Xicheng District, Beijing, 100034, China.; Department of Ophthalmology, Peking University First Hospital, No. 8 Xi Shi Ku  Street, Xicheng District, Beijing, 100034, China.; Institute of Medical Technology, Peking University Health Science Center, Peking  University, No. 38 Xueyuan Road, Haidian District, Beijing, 100191, China.; Department of Biomedical Engineering, College of Future Technology, Peking  University, No.5 Yiheyuan Road, Haidian District, Beijing, 100871, China.; Institute of Medical Technology, Peking University Health Science Center, Peking  University, No. 38 Xueyuan Road, Haidian District, Beijing, 100191, China.; Department of Ophthalmology, Peking University First Hospital, No. 8 Xi Shi Ku  Street, Xicheng District, Beijing, 100034, China. liu_yang@bjmu.edu.cn.&lt;/_author_adr&gt;&lt;_collection_scope&gt;SCIE&lt;/_collection_scope&gt;&lt;_created&gt;66445852&lt;/_created&gt;&lt;_date&gt;2025-10-01&lt;/_date&gt;&lt;_date_display&gt;2025 Oct&lt;/_date_display&gt;&lt;_doi&gt;10.1007/s40123-025-01210-2&lt;/_doi&gt;&lt;_impact_factor&gt;   3.200&lt;/_impact_factor&gt;&lt;_isbn&gt;2193-8245 (Print); 2193-6528 (Electronic)&lt;/_isbn&gt;&lt;_issue&gt;10&lt;/_issue&gt;&lt;_journal&gt;Ophthalmol Ther&lt;/_journal&gt;&lt;_keywords&gt;Axial length; Choroidal vascularity index; Myopia; Orthokeratology; Predictor&lt;/_keywords&gt;&lt;_language&gt;English&lt;/_language&gt;&lt;_modified&gt;66445852&lt;/_modified&gt;&lt;_ori_publication&gt;© 2025. The Author(s).&lt;/_ori_publication&gt;&lt;_pages&gt;2395-2413&lt;/_pages&gt;&lt;_social_category&gt;眼科学(3)&lt;/_social_category&gt;&lt;_tertiary_title&gt;Ophthalmology and therapy&lt;/_tertiary_title&gt;&lt;_type_work&gt;Journal Article&lt;/_type_work&gt;&lt;_url&gt;http://www.ncbi.nlm.nih.gov/entrez/query.fcgi?cmd=Retrieve&amp;amp;db=pubmed&amp;amp;dopt=Abstract&amp;amp;list_uids=40736868&amp;amp;query_hl=1&lt;/_url&gt;&lt;_volume&gt;14&lt;/_volume&gt;&lt;/Details&gt;&lt;Extra&gt;&lt;DBUID&gt;{4639BE48-E8DA-433D-936E-D6A27A715D41}&lt;/DBUID&gt;&lt;/Extra&gt;&lt;/Item&gt;&lt;/References&gt;&lt;/Group&gt;&lt;Group&gt;&lt;References&gt;&lt;Item&gt;&lt;ID&gt;2709&lt;/ID&gt;&lt;UID&gt;{1D4CAF7F-23ED-4960-934D-CF4DCD7216AD}&lt;/UID&gt;&lt;Title&gt;Longitudinal Changes in Choroidal Structure Following Repeated Low-Level  Red-Light Therapy for Myopia Control: Secondary Analysis of a Randomized  Controlled Trial&lt;/Title&gt;&lt;Template&gt;Journal Article&lt;/Template&gt;&lt;Star&gt;0&lt;/Star&gt;&lt;Tag&gt;0&lt;/Tag&gt;&lt;Author&gt;Xuan, Meng; Zhu, Zhuoting; Jiang, Yu; Wang, Wei; Zhang, Jian; Xiong, Ruilin; Shi, Danli; Bulloch, Gabriella; Zeng, Junwen; He, Mingguang&lt;/Author&gt;&lt;Year&gt;2023&lt;/Year&gt;&lt;Details&gt;&lt;_accession_num&gt;37523429&lt;/_accession_num&gt;&lt;_author_adr&gt;State Key Laboratory of Ophthalmology, Zhongshan Ophthalmic Center, Sun Yat-sen  University, Guangdong Provincial Key Laboratory of Ophthalmology and Visual  Science, Guangdong Provincial Clinical Research Center for Ocular Diseases,  Guangzhou, Guangdong Province, China.; State Key Laboratory of Ophthalmology, Zhongshan Ophthalmic Center, Sun Yat-sen  University, Guangdong Provincial Key Laboratory of Ophthalmology and Visual  Science, Guangdong Provincial Clinical Research Center for Ocular Diseases,  Guangzhou, Guangdong Province, China.; Centre for Eye Research Australia, Royal Victorian Eye and Ear Hospital,  Melbourne, Victoria, Australia.; Ophthalmology, Department of Surgery, University of Melbourne, Melbourne,  Victoria, Australia.; State Key Laboratory of Ophthalmology, Zhongshan Ophthalmic Center, Sun Yat-sen  University, Guangdong Provincial Key Laboratory of Ophthalmology and Visual  Science, Guangdong Provincial Clinical Research Center for Ocular Diseases,  Guangzhou, Guangdong Province, China.; State Key Laboratory of Ophthalmology, Zhongshan Ophthalmic Center, Sun Yat-sen  University, Guangdong Provincial Key Laboratory of Ophthalmology and Visual  Science, Guangdong Provincial Clinical Research Center for Ocular Diseases,  Guangzhou, Guangdong Province, China.; State Key Laboratory of Ophthalmology, Zhongshan Ophthalmic Center, Sun Yat-sen  University, Guangdong Provincial Key Laboratory of Ophthalmology and Visual  Science, Guangdong Provincial Clinical Research Center for Ocular Diseases,  Guangzhou, Guangdong Province, China.; State Key Laboratory of Ophthalmology, Zhongshan Ophthalmic Center, Sun Yat-sen  University, Guangdong Provincial Key Laboratory of Ophthalmology and Visual  Science, Guangdong Provincial Clinical Research Center for Ocular Diseases,  Guangzhou, Guangdong Province, China.; State Key Laboratory of Ophthalmology, Zhongshan Ophthalmic Center, Sun Yat-sen  University, Guangdong Provincial Key Laboratory of Ophthalmology and Visual  Science, Guangdong Provincial Clinical Research Center for Ocular Diseases,  Guangzhou, Guangdong Province, China.; Centre for Eye Research Australia, Royal Victorian Eye and Ear Hospital,  Melbourne, Victoria, Australia.; Faculty of Science, Medicine and Health, University of Melbourne, Melbourne,  Victoria, Australia.; State Key Laboratory of Ophthalmology, Zhongshan Ophthalmic Center, Sun Yat-sen  University, Guangdong Provincial Key Laboratory of Ophthalmology and Visual  Science, Guangdong Provincial Clinical Research Center for Ocular Diseases,  Guangzhou, Guangdong Province, China.; State Key Laboratory of Ophthalmology, Zhongshan Ophthalmic Center, Sun Yat-sen  University, Guangdong Provincial Key Laboratory of Ophthalmology and Visual  Science, Guangdong Provincial Clinical Research Center for Ocular Diseases,  Guangzhou, Guangdong Province, China.; Centre for Eye Research Australia, Royal Victorian Eye and Ear Hospital,  Melbourne, Victoria, Australia.; Ophthalmology, Department of Surgery, University of Melbourne, Melbourne,  Victoria, Australia.&lt;/_author_adr&gt;&lt;_collection_scope&gt;SCIE&lt;/_collection_scope&gt;&lt;_created&gt;66445853&lt;/_created&gt;&lt;_date&gt;2023-07-01&lt;/_date&gt;&lt;_date_display&gt;2023 Jul-Aug 01&lt;/_date_display&gt;&lt;_doi&gt;10.1097/APO.0000000000000618&lt;/_doi&gt;&lt;_impact_factor&gt;   4.500&lt;/_impact_factor&gt;&lt;_isbn&gt;2162-0989 (Electronic); 2162-0989 (Linking)&lt;/_isbn&gt;&lt;_issue&gt;4&lt;/_issue&gt;&lt;_journal&gt;Asia Pac J Ophthalmol (Phila)&lt;/_journal&gt;&lt;_language&gt;English&lt;/_language&gt;&lt;_modified&gt;66445853&lt;/_modified&gt;&lt;_ori_publication&gt;Copyright © 2023 Asia-Pacific Academy of Ophthalmology. Published by Wolters _x000d__x000a_      Kluwer Health, Inc. on behalf of the Asia-Pacific Academy of Ophthalmology.&lt;/_ori_publication&gt;&lt;_pages&gt;377-383&lt;/_pages&gt;&lt;_social_category&gt;眼科学(2)&lt;/_social_category&gt;&lt;_subject_headings&gt;Child; Humans; *Choroid; Light; *Myopia/therapy; Tomography, Optical Coherence; Phototherapy&lt;/_subject_headings&gt;&lt;_tertiary_title&gt;Asia-Pacific journal of ophthalmology (Philadelphia, Pa.)&lt;/_tertiary_title&gt;&lt;_type_work&gt;Journal Article; Multicenter Study; Randomized Controlled Trial&lt;/_type_work&gt;&lt;_url&gt;http://www.ncbi.nlm.nih.gov/entrez/query.fcgi?cmd=Retrieve&amp;amp;db=pubmed&amp;amp;dopt=Abstract&amp;amp;list_uids=37523429&amp;amp;query_hl=1&lt;/_url&gt;&lt;_volume&gt;12&lt;/_volume&gt;&lt;/Details&gt;&lt;Extra&gt;&lt;DBUID&gt;{4639BE48-E8DA-433D-936E-D6A27A715D41}&lt;/DBUID&gt;&lt;/Extra&gt;&lt;/Item&gt;&lt;/References&gt;&lt;/Group&gt;&lt;/Citation&gt;_x000a_"/>
    <w:docVar w:name="NE.Ref{CDE2016A-2C2B-42C4-BCCA-689F62A77EC7}" w:val=" ADDIN NE.Ref.{CDE2016A-2C2B-42C4-BCCA-689F62A77EC7}&lt;Citation&gt;&lt;Group&gt;&lt;References&gt;&lt;Item&gt;&lt;ID&gt;2693&lt;/ID&gt;&lt;UID&gt;{291C9728-BDAC-47C1-9E5F-B141AA9B6835}&lt;/UID&gt;&lt;Title&gt;Techniques for imaging the choroid and choroidal blood flow in vivo&lt;/Title&gt;&lt;Template&gt;Journal Article&lt;/Template&gt;&lt;Star&gt;0&lt;/Star&gt;&lt;Tag&gt;0&lt;/Tag&gt;&lt;Author&gt;Tan, Bingyao; Chua, Jacqueline; Wong, Damon; Liu, Xinyu; Ismail, Munirah; Schmetterer, Leopold&lt;/Author&gt;&lt;Year&gt;2024&lt;/Year&gt;&lt;Details&gt;&lt;_alternate_title&gt;Experimental Eye Research&lt;/_alternate_title&gt;&lt;_collection_scope&gt;SCIE&lt;/_collection_scope&gt;&lt;_created&gt;66445819&lt;/_created&gt;&lt;_date&gt;2024-01-01&lt;/_date&gt;&lt;_date_display&gt;2024&lt;/_date_display&gt;&lt;_doi&gt;https://doi.org/10.1016/j.exer.2024.110045&lt;/_doi&gt;&lt;_impact_factor&gt;   2.700&lt;/_impact_factor&gt;&lt;_isbn&gt;0014-4835&lt;/_isbn&gt;&lt;_journal&gt;Experimental Eye Research&lt;/_journal&gt;&lt;_keywords&gt;Choroidal imaging; Choroidal blood flow; Optical coherence tomography; Optical coherence tomography angiography&lt;/_keywords&gt;&lt;_modified&gt;66445819&lt;/_modified&gt;&lt;_pages&gt;110045&lt;/_pages&gt;&lt;_social_category&gt;眼科学(2)&lt;/_social_category&gt;&lt;_url&gt;https://www.sciencedirect.com/science/article/pii/S0014483524002665&lt;/_url&gt;&lt;_volume&gt;247&lt;/_volume&gt;&lt;_language&gt;English&lt;/_language&gt;&lt;/Details&gt;&lt;Extra&gt;&lt;DBUID&gt;{4639BE48-E8DA-433D-936E-D6A27A715D41}&lt;/DBUID&gt;&lt;/Extra&gt;&lt;/Item&gt;&lt;/References&gt;&lt;/Group&gt;&lt;/Citation&gt;_x000a_"/>
    <w:docVar w:name="NE.Ref{D1965F7E-BEB6-4A56-825D-B325FFD3B00C}" w:val=" ADDIN NE.Ref.{D1965F7E-BEB6-4A56-825D-B325FFD3B00C}&lt;Citation&gt;&lt;Group&gt;&lt;References&gt;&lt;Item&gt;&lt;ID&gt;4089&lt;/ID&gt;&lt;UID&gt;{F8CE1B41-ED16-4933-94EE-4A2F39C3D210}&lt;/UID&gt;&lt;Title&gt;The structure and function of the human choroid&lt;/Title&gt;&lt;Template&gt;Journal Article&lt;/Template&gt;&lt;Star&gt;0&lt;/Star&gt;&lt;Tag&gt;0&lt;/Tag&gt;&lt;Author&gt;Zhang, Weina; Kaser-Eichberger, Alexandra; Fan, Wanlin; Platzl, Christian; Schrödl, Falk; Heindl, Ludwig M&lt;/Author&gt;&lt;Year&gt;2024&lt;/Year&gt;&lt;Details&gt;&lt;_accession_num&gt;38432349&lt;/_accession_num&gt;&lt;_author_adr&gt;Department of Ophthalmology, University of Cologne, Faculty of Medicine and  University Hospital Cologne, Cologne, Germany.; Center for Anatomy and Cell Biology, Institute of Anatomy and Cell Biology  -Salzburg, Paracelsus Medical University, Salzburg, Austria.; Department of Ophthalmology, University of Cologne, Faculty of Medicine and  University Hospital Cologne, Cologne, Germany.; Center for Anatomy and Cell Biology, Institute of Anatomy and Cell Biology  -Salzburg, Paracelsus Medical University, Salzburg, Austria.; Center for Anatomy and Cell Biology, Institute of Anatomy and Cell Biology  -Salzburg, Paracelsus Medical University, Salzburg, Austria.; Department of Ophthalmology, University of Cologne, Faculty of Medicine and  University Hospital Cologne, Cologne, Germany. Electronic address:  ludwig.heindl@uk-koeln.de.&lt;/_author_adr&gt;&lt;_date_display&gt;2024 Jun&lt;/_date_display&gt;&lt;_date&gt;2024-06-01&lt;/_date&gt;&lt;_doi&gt;10.1016/j.aanat.2024.152239&lt;/_doi&gt;&lt;_isbn&gt;1618-0402 (Electronic); 0940-9602 (Linking)&lt;/_isbn&gt;&lt;_journal&gt;Ann Anat&lt;/_journal&gt;&lt;_keywords&gt;Angiogenesis; Choroidal innervation; Choroidal lymphatics; Choroidal macroscopical structure; Choroidal microscopical structure&lt;/_keywords&gt;&lt;_language&gt;eng&lt;/_language&gt;&lt;_ori_publication&gt;Copyright © 2024 The Authors. Published by Elsevier GmbH.. All rights reserved.&lt;/_ori_publication&gt;&lt;_pages&gt;152239&lt;/_pages&gt;&lt;_subject_headings&gt;Humans; *Choroid/anatomy &amp;amp; histology/blood supply; Bruch Membrane/anatomy &amp;amp; histology/pathology&lt;/_subject_headings&gt;&lt;_tertiary_title&gt;Annals of anatomy = Anatomischer Anzeiger : official organ of the Anatomische _x000d__x000a_      Gesellschaft&lt;/_tertiary_title&gt;&lt;_type_work&gt;Journal Article; Review&lt;/_type_work&gt;&lt;_url&gt;http://www.ncbi.nlm.nih.gov/entrez/query.fcgi?cmd=Retrieve&amp;amp;db=pubmed&amp;amp;dopt=Abstract&amp;amp;list_uids=38432349&amp;amp;query_hl=1&lt;/_url&gt;&lt;_volume&gt;254&lt;/_volume&gt;&lt;_created&gt;66563444&lt;/_created&gt;&lt;_modified&gt;66563444&lt;/_modified&gt;&lt;_impact_factor&gt;   1.700&lt;/_impact_factor&gt;&lt;_social_category&gt;解剖学与形态学(1)&lt;/_social_category&gt;&lt;_collection_scope&gt;SCIE&lt;/_collection_scope&gt;&lt;/Details&gt;&lt;Extra&gt;&lt;DBUID&gt;{4639BE48-E8DA-433D-936E-D6A27A715D41}&lt;/DBUID&gt;&lt;/Extra&gt;&lt;/Item&gt;&lt;/References&gt;&lt;/Group&gt;&lt;/Citation&gt;_x000a_"/>
    <w:docVar w:name="NE.Ref{DD4327B6-C892-4750-BBA7-04BC887A0FD3}" w:val=" ADDIN NE.Ref.{DD4327B6-C892-4750-BBA7-04BC887A0FD3}&lt;Citation&gt;&lt;Group&gt;&lt;References&gt;&lt;Item&gt;&lt;ID&gt;2696&lt;/ID&gt;&lt;UID&gt;{1DE9987F-6307-432E-9757-391EE57C9FC2}&lt;/UID&gt;&lt;Title&gt;Choroidal vasculature act as predictive biomarkers of long-term ocular elongation in myopic children treated with orthokeratology: a prospective cohort study&lt;/Title&gt;&lt;Template&gt;Journal Article&lt;/Template&gt;&lt;Star&gt;0&lt;/Star&gt;&lt;Tag&gt;0&lt;/Tag&gt;&lt;Author&gt;Wu, Hao; Peng, Tianli; Zhou, Weihe; Huang, Zihan; Li, Hongyu; Wang, Tengfei; Zhang, Jingwei; Zhang, Kou; Li, Haoer; Zhao, Yunpeng; Qu, Jia; Lu, Fan; Zhou, Xiangtian; Jiang, Jun&lt;/Author&gt;&lt;Year&gt;2023&lt;/Year&gt;&lt;Details&gt;&lt;_alternate_title&gt;Eye and Vision&lt;/_alternate_title&gt;&lt;_collection_scope&gt;CSCD&lt;/_collection_scope&gt;&lt;_created&gt;66445825&lt;/_created&gt;&lt;_date&gt;2023-01-01&lt;/_date&gt;&lt;_date_display&gt;2023&lt;/_date_display&gt;&lt;_doi&gt;10.1186/s40662-023-00345-2&lt;/_doi&gt;&lt;_impact_factor&gt;   4.000&lt;/_impact_factor&gt;&lt;_isbn&gt;2326-0254&lt;/_isbn&gt;&lt;_issue&gt;1&lt;/_issue&gt;&lt;_journal&gt;Eye and Vision&lt;/_journal&gt;&lt;_modified&gt;66445825&lt;/_modified&gt;&lt;_number&gt;Wu2023&lt;/_number&gt;&lt;_pages&gt;27&lt;/_pages&gt;&lt;_social_category&gt;眼科学(1)&lt;/_social_category&gt;&lt;_url&gt;https://doi.org/10.1186/s40662-023-00345-2&lt;/_url&gt;&lt;_volume&gt;10&lt;/_volume&gt;&lt;_language&gt;English&lt;/_language&gt;&lt;/Details&gt;&lt;Extra&gt;&lt;DBUID&gt;{4639BE48-E8DA-433D-936E-D6A27A715D41}&lt;/DBUID&gt;&lt;/Extra&gt;&lt;/Item&gt;&lt;/References&gt;&lt;/Group&gt;&lt;/Citation&gt;_x000a_"/>
    <w:docVar w:name="NE.Ref{F453BA4F-AA19-4EB9-987A-6218B454E48F}" w:val=" ADDIN NE.Ref.{F453BA4F-AA19-4EB9-987A-6218B454E48F}&lt;Citation&gt;&lt;Group&gt;&lt;References&gt;&lt;Item&gt;&lt;ID&gt;2695&lt;/ID&gt;&lt;UID&gt;{D3EAD4F0-A099-4E3B-8249-8F9478333A4E}&lt;/UID&gt;&lt;Title&gt;Macular choroidal thickness, volume, and vascularity index in patients with systemic sclerosis&lt;/Title&gt;&lt;Template&gt;Journal Article&lt;/Template&gt;&lt;Star&gt;0&lt;/Star&gt;&lt;Tag&gt;0&lt;/Tag&gt;&lt;Author&gt;Pieklarz, Barbara; Gińdzieńska-Sieśkiewicz, Ewa; Zawadzka, Izabela; Bagrowska, Magdalena; Daniluk, Joanna; Palewski, Marcin; Zonenberg, Agnieszka; Kowal-Bielecka, Otylia; Konopińska, Joanna; Dmuchowska, Diana Anna&lt;/Author&gt;&lt;Year&gt;2024&lt;/Year&gt;&lt;Details&gt;&lt;_alternate_title&gt;Graefe&amp;apos;s Archive for Clinical and Experimental Ophthalmology&lt;/_alternate_title&gt;&lt;_created&gt;66445823&lt;/_created&gt;&lt;_date&gt;2024-01-01&lt;/_date&gt;&lt;_date_display&gt;2024&lt;/_date_display&gt;&lt;_doi&gt;10.1007/s00417-023-06342-4&lt;/_doi&gt;&lt;_isbn&gt;1435-702X&lt;/_isbn&gt;&lt;_issue&gt;5&lt;/_issue&gt;&lt;_journal&gt;Graefe&amp;apos;s Archive for Clinical and Experimental Ophthalmology&lt;/_journal&gt;&lt;_modified&gt;66445823&lt;/_modified&gt;&lt;_number&gt;Pieklarz2024&lt;/_number&gt;&lt;_pages&gt;1475-1487&lt;/_pages&gt;&lt;_url&gt;https://doi.org/10.1007/s00417-023-06342-4&lt;/_url&gt;&lt;_volume&gt;262&lt;/_volume&gt;&lt;_language&gt;English&lt;/_language&gt;&lt;/Details&gt;&lt;Extra&gt;&lt;DBUID&gt;{4639BE48-E8DA-433D-936E-D6A27A715D41}&lt;/DBUID&gt;&lt;/Extra&gt;&lt;/Item&gt;&lt;/References&gt;&lt;/Group&gt;&lt;/Citation&gt;_x000a_"/>
    <w:docVar w:name="ne_build" w:val="16.0.20131"/>
    <w:docVar w:name="ne_docsoft" w:val="MSWord"/>
    <w:docVar w:name="ne_docversion" w:val="NoteExpress 2.0"/>
    <w:docVar w:name="ne_os" w:val="Mircrosoft"/>
    <w:docVar w:name="ne_platform" w:val="Word"/>
    <w:docVar w:name="ne_stylename" w:val="Numbered(multilingual)"/>
  </w:docVars>
  <w:rsids>
    <w:rsidRoot w:val="00074CB9"/>
    <w:rsid w:val="000214C1"/>
    <w:rsid w:val="00074CB9"/>
    <w:rsid w:val="000758C8"/>
    <w:rsid w:val="000B76FF"/>
    <w:rsid w:val="0011517C"/>
    <w:rsid w:val="001A306C"/>
    <w:rsid w:val="001B2700"/>
    <w:rsid w:val="002020A6"/>
    <w:rsid w:val="002036F0"/>
    <w:rsid w:val="0021323F"/>
    <w:rsid w:val="00287A98"/>
    <w:rsid w:val="00357834"/>
    <w:rsid w:val="00357C2F"/>
    <w:rsid w:val="00364A45"/>
    <w:rsid w:val="003A5591"/>
    <w:rsid w:val="003B1F18"/>
    <w:rsid w:val="003C3DA9"/>
    <w:rsid w:val="003C442F"/>
    <w:rsid w:val="003D5CA2"/>
    <w:rsid w:val="0041405A"/>
    <w:rsid w:val="00452663"/>
    <w:rsid w:val="004B1F88"/>
    <w:rsid w:val="00506A6D"/>
    <w:rsid w:val="00546212"/>
    <w:rsid w:val="005A78CF"/>
    <w:rsid w:val="005B7408"/>
    <w:rsid w:val="005C0636"/>
    <w:rsid w:val="005E44F6"/>
    <w:rsid w:val="00627B2D"/>
    <w:rsid w:val="0068086E"/>
    <w:rsid w:val="00686636"/>
    <w:rsid w:val="00693880"/>
    <w:rsid w:val="006B2CC2"/>
    <w:rsid w:val="0070731D"/>
    <w:rsid w:val="00725AAD"/>
    <w:rsid w:val="00753F6E"/>
    <w:rsid w:val="00755053"/>
    <w:rsid w:val="007769EC"/>
    <w:rsid w:val="007E1631"/>
    <w:rsid w:val="00803BC0"/>
    <w:rsid w:val="008F6782"/>
    <w:rsid w:val="009D308A"/>
    <w:rsid w:val="009E1163"/>
    <w:rsid w:val="009F212C"/>
    <w:rsid w:val="00A320DA"/>
    <w:rsid w:val="00A45B1B"/>
    <w:rsid w:val="00A71C23"/>
    <w:rsid w:val="00A95C25"/>
    <w:rsid w:val="00AD4D81"/>
    <w:rsid w:val="00AF5801"/>
    <w:rsid w:val="00BA388A"/>
    <w:rsid w:val="00BA485D"/>
    <w:rsid w:val="00BA4C32"/>
    <w:rsid w:val="00BB3058"/>
    <w:rsid w:val="00C12960"/>
    <w:rsid w:val="00C36629"/>
    <w:rsid w:val="00C71C96"/>
    <w:rsid w:val="00C93471"/>
    <w:rsid w:val="00C945D8"/>
    <w:rsid w:val="00C9486C"/>
    <w:rsid w:val="00CA3D09"/>
    <w:rsid w:val="00CB7F34"/>
    <w:rsid w:val="00CE1DD2"/>
    <w:rsid w:val="00CF2C9F"/>
    <w:rsid w:val="00D32BAC"/>
    <w:rsid w:val="00D348AD"/>
    <w:rsid w:val="00D35B62"/>
    <w:rsid w:val="00D6590B"/>
    <w:rsid w:val="00D946C2"/>
    <w:rsid w:val="00DF7242"/>
    <w:rsid w:val="00E46491"/>
    <w:rsid w:val="00E647C6"/>
    <w:rsid w:val="00E83D07"/>
    <w:rsid w:val="00EE6D4B"/>
    <w:rsid w:val="00EF13A4"/>
    <w:rsid w:val="00F203DF"/>
    <w:rsid w:val="00F72B16"/>
    <w:rsid w:val="00FB2198"/>
    <w:rsid w:val="00FC1C79"/>
    <w:rsid w:val="012F7800"/>
    <w:rsid w:val="018750D4"/>
    <w:rsid w:val="01FF4EDD"/>
    <w:rsid w:val="02474A49"/>
    <w:rsid w:val="02DB2FCC"/>
    <w:rsid w:val="02FE6EBC"/>
    <w:rsid w:val="04932810"/>
    <w:rsid w:val="04EB2305"/>
    <w:rsid w:val="05184867"/>
    <w:rsid w:val="05351C19"/>
    <w:rsid w:val="053A1727"/>
    <w:rsid w:val="076C0B27"/>
    <w:rsid w:val="07E002B5"/>
    <w:rsid w:val="08082B79"/>
    <w:rsid w:val="0B19630D"/>
    <w:rsid w:val="0CBF0D59"/>
    <w:rsid w:val="0D5B02FA"/>
    <w:rsid w:val="0DD94F3E"/>
    <w:rsid w:val="0DF513F2"/>
    <w:rsid w:val="0E153F11"/>
    <w:rsid w:val="0E1B041A"/>
    <w:rsid w:val="0E4B1F3E"/>
    <w:rsid w:val="0F7D3049"/>
    <w:rsid w:val="0FCA3416"/>
    <w:rsid w:val="115B691B"/>
    <w:rsid w:val="1195731A"/>
    <w:rsid w:val="129A3494"/>
    <w:rsid w:val="13B93F97"/>
    <w:rsid w:val="15F76BC3"/>
    <w:rsid w:val="16F80EFA"/>
    <w:rsid w:val="18A84DDA"/>
    <w:rsid w:val="19551A49"/>
    <w:rsid w:val="19654B16"/>
    <w:rsid w:val="199D12F1"/>
    <w:rsid w:val="1A140FD0"/>
    <w:rsid w:val="1AB25F58"/>
    <w:rsid w:val="1AFF24AC"/>
    <w:rsid w:val="1B083D2A"/>
    <w:rsid w:val="1B4A7B77"/>
    <w:rsid w:val="1BAB7E5B"/>
    <w:rsid w:val="1BC872C4"/>
    <w:rsid w:val="1DD86B05"/>
    <w:rsid w:val="1F7B2C10"/>
    <w:rsid w:val="20005D65"/>
    <w:rsid w:val="200B2E6F"/>
    <w:rsid w:val="20440BBB"/>
    <w:rsid w:val="21A63C04"/>
    <w:rsid w:val="22E63B6F"/>
    <w:rsid w:val="24ED40A4"/>
    <w:rsid w:val="25D836B3"/>
    <w:rsid w:val="26395046"/>
    <w:rsid w:val="26E307B2"/>
    <w:rsid w:val="28B91EC7"/>
    <w:rsid w:val="28C24882"/>
    <w:rsid w:val="28E44026"/>
    <w:rsid w:val="29534671"/>
    <w:rsid w:val="29654271"/>
    <w:rsid w:val="29940245"/>
    <w:rsid w:val="29E940EF"/>
    <w:rsid w:val="2A4A387B"/>
    <w:rsid w:val="2B570FA2"/>
    <w:rsid w:val="2BEC4D38"/>
    <w:rsid w:val="2C3818FC"/>
    <w:rsid w:val="2EA5246C"/>
    <w:rsid w:val="2F4A6B22"/>
    <w:rsid w:val="2F835584"/>
    <w:rsid w:val="303B772F"/>
    <w:rsid w:val="30677890"/>
    <w:rsid w:val="30A41B4E"/>
    <w:rsid w:val="31585854"/>
    <w:rsid w:val="3183704D"/>
    <w:rsid w:val="31A97850"/>
    <w:rsid w:val="32B1082E"/>
    <w:rsid w:val="33833A3D"/>
    <w:rsid w:val="35871D71"/>
    <w:rsid w:val="368564FF"/>
    <w:rsid w:val="36D2759E"/>
    <w:rsid w:val="36FB4ACB"/>
    <w:rsid w:val="37BC000F"/>
    <w:rsid w:val="37CA60FE"/>
    <w:rsid w:val="389E51DD"/>
    <w:rsid w:val="38B77E9B"/>
    <w:rsid w:val="392F4E93"/>
    <w:rsid w:val="398E1E81"/>
    <w:rsid w:val="3C3176E4"/>
    <w:rsid w:val="3C88295C"/>
    <w:rsid w:val="3CE27D8E"/>
    <w:rsid w:val="3CFF2C84"/>
    <w:rsid w:val="3E6E61A5"/>
    <w:rsid w:val="3EA0270D"/>
    <w:rsid w:val="3EBB51F4"/>
    <w:rsid w:val="405E7BAA"/>
    <w:rsid w:val="408A4171"/>
    <w:rsid w:val="411C2F91"/>
    <w:rsid w:val="41EB39C1"/>
    <w:rsid w:val="42176E89"/>
    <w:rsid w:val="43A904EE"/>
    <w:rsid w:val="43B14016"/>
    <w:rsid w:val="44B32928"/>
    <w:rsid w:val="452D7E79"/>
    <w:rsid w:val="45790B64"/>
    <w:rsid w:val="46A32772"/>
    <w:rsid w:val="46FC6031"/>
    <w:rsid w:val="473345DF"/>
    <w:rsid w:val="475A6773"/>
    <w:rsid w:val="483F319D"/>
    <w:rsid w:val="487D5C6C"/>
    <w:rsid w:val="48B251D7"/>
    <w:rsid w:val="49F31E18"/>
    <w:rsid w:val="4A913A8A"/>
    <w:rsid w:val="4AEA340E"/>
    <w:rsid w:val="4B04311E"/>
    <w:rsid w:val="4C806C7C"/>
    <w:rsid w:val="4E037AB7"/>
    <w:rsid w:val="4E2125F7"/>
    <w:rsid w:val="4F810D99"/>
    <w:rsid w:val="4FC151B1"/>
    <w:rsid w:val="512D6CA6"/>
    <w:rsid w:val="52EF6615"/>
    <w:rsid w:val="5496533D"/>
    <w:rsid w:val="54EB0BFB"/>
    <w:rsid w:val="567A4102"/>
    <w:rsid w:val="56A57CDF"/>
    <w:rsid w:val="56C453AF"/>
    <w:rsid w:val="572E1597"/>
    <w:rsid w:val="57DE3BCA"/>
    <w:rsid w:val="57F55ADD"/>
    <w:rsid w:val="580E5451"/>
    <w:rsid w:val="5915699E"/>
    <w:rsid w:val="59F27AC0"/>
    <w:rsid w:val="5A272E2C"/>
    <w:rsid w:val="5A694041"/>
    <w:rsid w:val="5AD1788A"/>
    <w:rsid w:val="5C3744D8"/>
    <w:rsid w:val="5D9101A7"/>
    <w:rsid w:val="5DB949BF"/>
    <w:rsid w:val="5EF419D5"/>
    <w:rsid w:val="5FE552B9"/>
    <w:rsid w:val="5FE931D6"/>
    <w:rsid w:val="5FFB2C89"/>
    <w:rsid w:val="60A0633F"/>
    <w:rsid w:val="616C7742"/>
    <w:rsid w:val="617309D9"/>
    <w:rsid w:val="61D902B3"/>
    <w:rsid w:val="638825CB"/>
    <w:rsid w:val="639D597B"/>
    <w:rsid w:val="64FE442F"/>
    <w:rsid w:val="65427570"/>
    <w:rsid w:val="654E5711"/>
    <w:rsid w:val="655E4E86"/>
    <w:rsid w:val="65FD6839"/>
    <w:rsid w:val="66E005EB"/>
    <w:rsid w:val="67406F9B"/>
    <w:rsid w:val="677478BF"/>
    <w:rsid w:val="68153443"/>
    <w:rsid w:val="6871779A"/>
    <w:rsid w:val="69104359"/>
    <w:rsid w:val="69750844"/>
    <w:rsid w:val="6B0B397E"/>
    <w:rsid w:val="6B351D0A"/>
    <w:rsid w:val="6B934B28"/>
    <w:rsid w:val="6BF31DB3"/>
    <w:rsid w:val="6C327292"/>
    <w:rsid w:val="6C3730A5"/>
    <w:rsid w:val="6C55074B"/>
    <w:rsid w:val="6D2A0812"/>
    <w:rsid w:val="6D2D20B0"/>
    <w:rsid w:val="6D6D3796"/>
    <w:rsid w:val="6E3E74AE"/>
    <w:rsid w:val="6E587601"/>
    <w:rsid w:val="6E5D529D"/>
    <w:rsid w:val="6EDA5EEB"/>
    <w:rsid w:val="6F120E29"/>
    <w:rsid w:val="6FB67AB5"/>
    <w:rsid w:val="70D6014A"/>
    <w:rsid w:val="713524C7"/>
    <w:rsid w:val="745B1AF0"/>
    <w:rsid w:val="74AC35B3"/>
    <w:rsid w:val="752B3379"/>
    <w:rsid w:val="77822FF8"/>
    <w:rsid w:val="78476F57"/>
    <w:rsid w:val="790E3028"/>
    <w:rsid w:val="79C54FD1"/>
    <w:rsid w:val="7A67448F"/>
    <w:rsid w:val="7A6D1D3E"/>
    <w:rsid w:val="7AFD3B58"/>
    <w:rsid w:val="7B552678"/>
    <w:rsid w:val="7C350F81"/>
    <w:rsid w:val="7CC20D92"/>
    <w:rsid w:val="7D501EA9"/>
    <w:rsid w:val="7DCF5A98"/>
    <w:rsid w:val="7DEB4546"/>
    <w:rsid w:val="7E033CE7"/>
    <w:rsid w:val="7E3077B5"/>
    <w:rsid w:val="7E5775F0"/>
    <w:rsid w:val="7E643E29"/>
    <w:rsid w:val="7F054669"/>
    <w:rsid w:val="7F445A11"/>
    <w:rsid w:val="7FAE32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4CF951"/>
  <w14:defaultImageDpi w14:val="330"/>
  <w15:docId w15:val="{B2D8416E-01B9-4C92-919C-862D26F84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spacing w:beforeAutospacing="1" w:afterAutospacing="1"/>
      <w:jc w:val="left"/>
      <w:outlineLvl w:val="0"/>
    </w:pPr>
    <w:rPr>
      <w:rFonts w:ascii="宋体" w:eastAsia="宋体" w:hAnsi="宋体" w:cs="Times New Roman" w:hint="eastAsia"/>
      <w:b/>
      <w:bCs/>
      <w:kern w:val="44"/>
      <w:sz w:val="48"/>
      <w:szCs w:val="48"/>
    </w:rPr>
  </w:style>
  <w:style w:type="paragraph" w:styleId="2">
    <w:name w:val="heading 2"/>
    <w:basedOn w:val="a"/>
    <w:next w:val="a"/>
    <w:semiHidden/>
    <w:unhideWhenUsed/>
    <w:qFormat/>
    <w:pPr>
      <w:spacing w:beforeAutospacing="1" w:afterAutospacing="1"/>
      <w:jc w:val="left"/>
      <w:outlineLvl w:val="1"/>
    </w:pPr>
    <w:rPr>
      <w:rFonts w:ascii="宋体" w:eastAsia="宋体" w:hAnsi="宋体" w:cs="Times New Roman" w:hint="eastAsia"/>
      <w:b/>
      <w:bCs/>
      <w:kern w:val="0"/>
      <w:sz w:val="36"/>
      <w:szCs w:val="36"/>
    </w:rPr>
  </w:style>
  <w:style w:type="paragraph" w:styleId="3">
    <w:name w:val="heading 3"/>
    <w:basedOn w:val="a"/>
    <w:next w:val="a"/>
    <w:semiHidden/>
    <w:unhideWhenUsed/>
    <w:qFormat/>
    <w:pPr>
      <w:spacing w:beforeAutospacing="1" w:afterAutospacing="1"/>
      <w:jc w:val="left"/>
      <w:outlineLvl w:val="2"/>
    </w:pPr>
    <w:rPr>
      <w:rFonts w:ascii="宋体" w:eastAsia="宋体" w:hAnsi="宋体" w:cs="Times New Roman" w:hint="eastAsia"/>
      <w:b/>
      <w:bCs/>
      <w:kern w:val="0"/>
      <w:sz w:val="27"/>
      <w:szCs w:val="27"/>
    </w:rPr>
  </w:style>
  <w:style w:type="paragraph" w:styleId="4">
    <w:name w:val="heading 4"/>
    <w:basedOn w:val="a"/>
    <w:next w:val="a"/>
    <w:semiHidden/>
    <w:unhideWhenUsed/>
    <w:qFormat/>
    <w:pPr>
      <w:spacing w:beforeAutospacing="1" w:afterAutospacing="1"/>
      <w:jc w:val="left"/>
      <w:outlineLvl w:val="3"/>
    </w:pPr>
    <w:rPr>
      <w:rFonts w:ascii="宋体" w:eastAsia="宋体" w:hAnsi="宋体" w:cs="Times New Roman" w:hint="eastAsia"/>
      <w:b/>
      <w:bCs/>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snapToGrid w:val="0"/>
      <w:jc w:val="left"/>
    </w:pPr>
    <w:rPr>
      <w:sz w:val="18"/>
      <w:szCs w:val="18"/>
    </w:rPr>
  </w:style>
  <w:style w:type="paragraph" w:styleId="a5">
    <w:name w:val="header"/>
    <w:basedOn w:val="a"/>
    <w:link w:val="a6"/>
    <w:qFormat/>
    <w:pPr>
      <w:tabs>
        <w:tab w:val="center" w:pos="4153"/>
        <w:tab w:val="right" w:pos="8306"/>
      </w:tabs>
      <w:snapToGrid w:val="0"/>
      <w:jc w:val="center"/>
    </w:pPr>
    <w:rPr>
      <w:sz w:val="18"/>
      <w:szCs w:val="18"/>
    </w:rPr>
  </w:style>
  <w:style w:type="paragraph" w:styleId="a7">
    <w:name w:val="Normal (Web)"/>
    <w:basedOn w:val="a"/>
    <w:qFormat/>
    <w:pPr>
      <w:spacing w:beforeAutospacing="1" w:afterAutospacing="1"/>
      <w:jc w:val="left"/>
    </w:pPr>
    <w:rPr>
      <w:rFonts w:cs="Times New Roman"/>
      <w:kern w:val="0"/>
      <w:sz w:val="24"/>
    </w:rPr>
  </w:style>
  <w:style w:type="character" w:styleId="a8">
    <w:name w:val="Strong"/>
    <w:basedOn w:val="a0"/>
    <w:qFormat/>
    <w:rPr>
      <w:b/>
    </w:rPr>
  </w:style>
  <w:style w:type="character" w:customStyle="1" w:styleId="a6">
    <w:name w:val="页眉 字符"/>
    <w:basedOn w:val="a0"/>
    <w:link w:val="a5"/>
    <w:qFormat/>
    <w:rPr>
      <w:rFonts w:asciiTheme="minorHAnsi" w:eastAsiaTheme="minorEastAsia" w:hAnsiTheme="minorHAnsi" w:cstheme="minorBidi"/>
      <w:kern w:val="2"/>
      <w:sz w:val="18"/>
      <w:szCs w:val="18"/>
    </w:rPr>
  </w:style>
  <w:style w:type="character" w:customStyle="1" w:styleId="a4">
    <w:name w:val="页脚 字符"/>
    <w:basedOn w:val="a0"/>
    <w:link w:val="a3"/>
    <w:qFormat/>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3</Pages>
  <Words>607</Words>
  <Characters>3694</Characters>
  <Application>Microsoft Office Word</Application>
  <DocSecurity>0</DocSecurity>
  <Lines>111</Lines>
  <Paragraphs>53</Paragraphs>
  <ScaleCrop>false</ScaleCrop>
  <Company/>
  <LinksUpToDate>false</LinksUpToDate>
  <CharactersWithSpaces>4248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郭</dc:creator>
  <dc:description>NE.Ref</dc:description>
  <cp:lastModifiedBy>硕 韩</cp:lastModifiedBy>
  <cp:revision>16</cp:revision>
  <dcterms:created xsi:type="dcterms:W3CDTF">2026-04-30T02:58:00Z</dcterms:created>
  <dcterms:modified xsi:type="dcterms:W3CDTF">2026-07-27T02:37:00Z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eyJoZGlkIjoiMzEwNTM5NzYwMDRjMzkwZTVkZjY2ODkwMGIxNGU0OTUiLCJ1c2VySWQiOiI0NTI1MzgyOTIifQ==</vt:lpwstr>
  </property>
  <property fmtid="{D5CDD505-2E9C-101B-9397-08002B2CF9AE}" pid="4" name="ICV">
    <vt:lpwstr>B4F10AC6A7654DC8871800A8B71FB902_13</vt:lpwstr>
  </property>
</Properties>
</file>