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480632">
      <w:pPr>
        <w:spacing w:line="480" w:lineRule="auto"/>
        <w:rPr>
          <w:rFonts w:ascii="Times New Roman" w:hAnsi="Times New Roman"/>
          <w:sz w:val="24"/>
          <w14:ligatures w14:val="standardContextual"/>
        </w:rPr>
      </w:pPr>
      <w:bookmarkStart w:id="0" w:name="_GoBack"/>
      <w:r>
        <w:rPr>
          <w:rFonts w:ascii="Times New Roman" w:hAnsi="Times New Roman"/>
          <w:sz w:val="24"/>
          <w14:ligatures w14:val="standardContextual"/>
        </w:rPr>
        <w:t>Supplementary Table</w:t>
      </w:r>
      <w:bookmarkEnd w:id="0"/>
      <w:r>
        <w:rPr>
          <w:rFonts w:ascii="Times New Roman" w:hAnsi="Times New Roman"/>
          <w:sz w:val="24"/>
          <w14:ligatures w14:val="standardContextual"/>
        </w:rPr>
        <w:t xml:space="preserve"> S1. Sensitivity Analysis of Acute Changes in Macular Structural Thickness and CVV Using Unilateral Data.</w:t>
      </w:r>
    </w:p>
    <w:tbl>
      <w:tblPr>
        <w:tblStyle w:val="5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5"/>
        <w:gridCol w:w="1813"/>
        <w:gridCol w:w="1906"/>
        <w:gridCol w:w="1866"/>
        <w:gridCol w:w="791"/>
        <w:gridCol w:w="621"/>
      </w:tblGrid>
      <w:tr w14:paraId="6F924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pc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40227645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MingLiU"/>
                <w:color w:val="010205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MingLiU"/>
                <w:color w:val="010205"/>
                <w:kern w:val="0"/>
                <w:sz w:val="16"/>
                <w:szCs w:val="16"/>
                <w14:ligatures w14:val="standardContextual"/>
              </w:rPr>
              <w:t>Parameters</w:t>
            </w:r>
          </w:p>
        </w:tc>
        <w:tc>
          <w:tcPr>
            <w:tcW w:w="1064" w:type="pc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05200133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MingLiU"/>
                <w:color w:val="010205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P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re-game</w:t>
            </w:r>
          </w:p>
        </w:tc>
        <w:tc>
          <w:tcPr>
            <w:tcW w:w="1118" w:type="pc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37DAA39F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MingLiU"/>
                <w:color w:val="010205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P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ost-game</w:t>
            </w:r>
          </w:p>
        </w:tc>
        <w:tc>
          <w:tcPr>
            <w:tcW w:w="1095" w:type="pc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59C3D70A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MingLiU"/>
                <w:color w:val="010205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MingLiU"/>
                <w:color w:val="010205"/>
                <w:kern w:val="0"/>
                <w:sz w:val="16"/>
                <w:szCs w:val="16"/>
                <w14:ligatures w14:val="standardContextual"/>
              </w:rPr>
              <w:t>Change</w:t>
            </w:r>
          </w:p>
        </w:tc>
        <w:tc>
          <w:tcPr>
            <w:tcW w:w="464" w:type="pc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491D7106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宋体" w:cs="MingLiU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宋体" w:cs="MingLiU"/>
                <w:kern w:val="0"/>
                <w:sz w:val="16"/>
                <w:szCs w:val="16"/>
                <w14:ligatures w14:val="standardContextual"/>
              </w:rPr>
              <w:t>S</w:t>
            </w:r>
            <w:r>
              <w:rPr>
                <w:rFonts w:ascii="Times New Roman" w:hAnsi="Times New Roman" w:eastAsia="宋体" w:cs="MingLiU"/>
                <w:kern w:val="0"/>
                <w:sz w:val="16"/>
                <w:szCs w:val="16"/>
                <w14:ligatures w14:val="standardContextual"/>
              </w:rPr>
              <w:t>tatistic</w:t>
            </w:r>
          </w:p>
        </w:tc>
        <w:tc>
          <w:tcPr>
            <w:tcW w:w="364" w:type="pc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0985DD95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MingLiU"/>
                <w:i/>
                <w:iCs/>
                <w:color w:val="010205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宋体" w:cs="MingLiU"/>
                <w:i/>
                <w:iCs/>
                <w:kern w:val="0"/>
                <w:sz w:val="16"/>
                <w:szCs w:val="16"/>
                <w14:ligatures w14:val="standardContextual"/>
              </w:rPr>
              <w:t>P</w:t>
            </w:r>
          </w:p>
        </w:tc>
      </w:tr>
      <w:tr w14:paraId="1DF66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6"/>
            <w:tcBorders>
              <w:top w:val="single" w:color="auto" w:sz="6" w:space="0"/>
            </w:tcBorders>
            <w:vAlign w:val="center"/>
          </w:tcPr>
          <w:p w14:paraId="5AC3A0A3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宋体" w:cs="MingLiU"/>
                <w:i/>
                <w:iCs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MingLiU"/>
                <w:b/>
                <w:bCs/>
                <w:color w:val="010205"/>
                <w:kern w:val="0"/>
                <w:sz w:val="16"/>
                <w:szCs w:val="16"/>
                <w14:ligatures w14:val="standardContextual"/>
              </w:rPr>
              <w:t>Choroidal Vascular Volume (mm³)</w:t>
            </w:r>
          </w:p>
        </w:tc>
      </w:tr>
      <w:tr w14:paraId="018B5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pct"/>
            <w:vAlign w:val="center"/>
          </w:tcPr>
          <w:p w14:paraId="100D5F13">
            <w:pPr>
              <w:autoSpaceDE w:val="0"/>
              <w:autoSpaceDN w:val="0"/>
              <w:adjustRightInd w:val="0"/>
              <w:spacing w:line="280" w:lineRule="exact"/>
              <w:ind w:firstLine="160" w:firstLineChars="100"/>
              <w:rPr>
                <w:rFonts w:ascii="Times New Roman" w:hAnsi="Times New Roman" w:eastAsia="等线" w:cs="MingLiU"/>
                <w:color w:val="010205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0-1 mm sum</w:t>
            </w:r>
          </w:p>
        </w:tc>
        <w:tc>
          <w:tcPr>
            <w:tcW w:w="1064" w:type="pct"/>
            <w:vAlign w:val="center"/>
          </w:tcPr>
          <w:p w14:paraId="6C0504BC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0.162 (0.102, 0.215)</w:t>
            </w:r>
          </w:p>
        </w:tc>
        <w:tc>
          <w:tcPr>
            <w:tcW w:w="1118" w:type="pct"/>
            <w:vAlign w:val="center"/>
          </w:tcPr>
          <w:p w14:paraId="1793A047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0.168 (0.101, 0.217)</w:t>
            </w:r>
          </w:p>
        </w:tc>
        <w:tc>
          <w:tcPr>
            <w:tcW w:w="1095" w:type="pct"/>
            <w:vAlign w:val="center"/>
          </w:tcPr>
          <w:p w14:paraId="15788090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0.002 (-0.002, 0.011)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:vertAlign w:val="superscript"/>
                <w14:ligatures w14:val="standardContextual"/>
              </w:rPr>
              <w:t>a</w:t>
            </w:r>
          </w:p>
        </w:tc>
        <w:tc>
          <w:tcPr>
            <w:tcW w:w="464" w:type="pct"/>
            <w:vAlign w:val="center"/>
          </w:tcPr>
          <w:p w14:paraId="4AE8D3B4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2.06</w:t>
            </w:r>
          </w:p>
        </w:tc>
        <w:tc>
          <w:tcPr>
            <w:tcW w:w="364" w:type="pct"/>
            <w:vAlign w:val="center"/>
          </w:tcPr>
          <w:p w14:paraId="610E6D7D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standardContextual"/>
              </w:rPr>
              <w:t>0.</w:t>
            </w:r>
            <w:r>
              <w:rPr>
                <w:rFonts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standardContextual"/>
              </w:rPr>
              <w:t>0</w:t>
            </w:r>
            <w:r>
              <w:rPr>
                <w:rFonts w:hint="eastAsia"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standardContextual"/>
              </w:rPr>
              <w:t>40</w:t>
            </w:r>
          </w:p>
        </w:tc>
      </w:tr>
      <w:tr w14:paraId="1B3A8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pct"/>
            <w:vAlign w:val="center"/>
          </w:tcPr>
          <w:p w14:paraId="58B2C2C9">
            <w:pPr>
              <w:autoSpaceDE w:val="0"/>
              <w:autoSpaceDN w:val="0"/>
              <w:adjustRightInd w:val="0"/>
              <w:spacing w:line="280" w:lineRule="exact"/>
              <w:ind w:firstLine="160" w:firstLineChars="100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0-3 mm sum</w:t>
            </w:r>
          </w:p>
        </w:tc>
        <w:tc>
          <w:tcPr>
            <w:tcW w:w="1064" w:type="pct"/>
            <w:vAlign w:val="center"/>
          </w:tcPr>
          <w:p w14:paraId="5CE77448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1.39</w:t>
            </w:r>
            <m:oMath>
              <m:r>
                <m:rPr/>
                <w:rPr>
                  <w:rFonts w:ascii="Cambria Math" w:hAnsi="Cambria Math" w:eastAsia="等线" w:cs="Times New Roman"/>
                  <w:kern w:val="0"/>
                  <w:sz w:val="16"/>
                  <w:szCs w:val="16"/>
                  <w14:ligatures w14:val="standardContextual"/>
                </w:rPr>
                <m:t>3</m:t>
              </m:r>
              <m:r>
                <m:rPr>
                  <m:sty m:val="p"/>
                </m:rPr>
                <w:rPr>
                  <w:rFonts w:ascii="Cambria Math" w:hAnsi="Cambria Math" w:eastAsia="等线" w:cs="Times New Roman"/>
                  <w:kern w:val="0"/>
                  <w:sz w:val="16"/>
                  <w:szCs w:val="16"/>
                  <w14:ligatures w14:val="standardContextual"/>
                </w:rPr>
                <m:t xml:space="preserve"> ±</m:t>
              </m:r>
            </m:oMath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 xml:space="preserve"> 0.578</w:t>
            </w:r>
          </w:p>
        </w:tc>
        <w:tc>
          <w:tcPr>
            <w:tcW w:w="1118" w:type="pct"/>
            <w:vAlign w:val="center"/>
          </w:tcPr>
          <w:p w14:paraId="3664DC9A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1.417</w:t>
            </w:r>
            <m:oMath>
              <m:r>
                <m:rPr>
                  <m:sty m:val="p"/>
                </m:rPr>
                <w:rPr>
                  <w:rFonts w:ascii="Cambria Math" w:hAnsi="Cambria Math" w:eastAsia="等线" w:cs="Times New Roman"/>
                  <w:kern w:val="0"/>
                  <w:sz w:val="16"/>
                  <w:szCs w:val="16"/>
                  <w14:ligatures w14:val="standardContextual"/>
                </w:rPr>
                <m:t xml:space="preserve"> ± </m:t>
              </m:r>
            </m:oMath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0.572</w:t>
            </w:r>
          </w:p>
        </w:tc>
        <w:tc>
          <w:tcPr>
            <w:tcW w:w="1095" w:type="pct"/>
            <w:vAlign w:val="center"/>
          </w:tcPr>
          <w:p w14:paraId="566FCFBE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0.024 (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0.015,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0.063)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:vertAlign w:val="superscript"/>
                <w14:ligatures w14:val="standardContextual"/>
              </w:rPr>
              <w:t>b</w:t>
            </w:r>
          </w:p>
        </w:tc>
        <w:tc>
          <w:tcPr>
            <w:tcW w:w="464" w:type="pct"/>
            <w:vAlign w:val="center"/>
          </w:tcPr>
          <w:p w14:paraId="1A819706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-1.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24</w:t>
            </w:r>
          </w:p>
        </w:tc>
        <w:tc>
          <w:tcPr>
            <w:tcW w:w="364" w:type="pct"/>
            <w:vAlign w:val="center"/>
          </w:tcPr>
          <w:p w14:paraId="788B8357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.2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22</w:t>
            </w:r>
          </w:p>
        </w:tc>
      </w:tr>
      <w:tr w14:paraId="6BDE5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pct"/>
            <w:vAlign w:val="center"/>
          </w:tcPr>
          <w:p w14:paraId="2FB43F80">
            <w:pPr>
              <w:autoSpaceDE w:val="0"/>
              <w:autoSpaceDN w:val="0"/>
              <w:adjustRightInd w:val="0"/>
              <w:spacing w:line="280" w:lineRule="exact"/>
              <w:ind w:firstLine="160" w:firstLineChars="100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1-3 mm sum</w:t>
            </w:r>
          </w:p>
        </w:tc>
        <w:tc>
          <w:tcPr>
            <w:tcW w:w="1064" w:type="pct"/>
            <w:vAlign w:val="center"/>
          </w:tcPr>
          <w:p w14:paraId="30F4EA5E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1.288 (0.746, 1.648)</w:t>
            </w:r>
          </w:p>
        </w:tc>
        <w:tc>
          <w:tcPr>
            <w:tcW w:w="1118" w:type="pct"/>
            <w:vAlign w:val="center"/>
          </w:tcPr>
          <w:p w14:paraId="3ECFDBF5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1.312 (0.804, 1.675)</w:t>
            </w:r>
          </w:p>
        </w:tc>
        <w:tc>
          <w:tcPr>
            <w:tcW w:w="1095" w:type="pct"/>
            <w:vAlign w:val="center"/>
          </w:tcPr>
          <w:p w14:paraId="47362E9B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0.008 (-0.046, 0.052)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:vertAlign w:val="superscript"/>
                <w14:ligatures w14:val="standardContextual"/>
              </w:rPr>
              <w:t>b</w:t>
            </w:r>
          </w:p>
        </w:tc>
        <w:tc>
          <w:tcPr>
            <w:tcW w:w="464" w:type="pct"/>
            <w:vAlign w:val="center"/>
          </w:tcPr>
          <w:p w14:paraId="04A6B9AB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1.08</w:t>
            </w:r>
          </w:p>
        </w:tc>
        <w:tc>
          <w:tcPr>
            <w:tcW w:w="364" w:type="pct"/>
            <w:vAlign w:val="center"/>
          </w:tcPr>
          <w:p w14:paraId="0B2D81EF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0.288</w:t>
            </w:r>
          </w:p>
        </w:tc>
      </w:tr>
      <w:tr w14:paraId="5B1A4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pct"/>
            <w:vAlign w:val="center"/>
          </w:tcPr>
          <w:p w14:paraId="4B19F1BC">
            <w:pPr>
              <w:autoSpaceDE w:val="0"/>
              <w:autoSpaceDN w:val="0"/>
              <w:adjustRightInd w:val="0"/>
              <w:spacing w:line="280" w:lineRule="exact"/>
              <w:ind w:firstLine="160" w:firstLineChars="100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1-3 mm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 xml:space="preserve"> nasal</w:t>
            </w:r>
          </w:p>
        </w:tc>
        <w:tc>
          <w:tcPr>
            <w:tcW w:w="1064" w:type="pct"/>
            <w:vAlign w:val="center"/>
          </w:tcPr>
          <w:p w14:paraId="3D5B8C8B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0.298 (0.160, 0.406)</w:t>
            </w:r>
          </w:p>
        </w:tc>
        <w:tc>
          <w:tcPr>
            <w:tcW w:w="1118" w:type="pct"/>
            <w:vAlign w:val="center"/>
          </w:tcPr>
          <w:p w14:paraId="7C2B82C4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0.323 (0.149, 0.408)</w:t>
            </w:r>
          </w:p>
        </w:tc>
        <w:tc>
          <w:tcPr>
            <w:tcW w:w="1095" w:type="pct"/>
            <w:vAlign w:val="center"/>
          </w:tcPr>
          <w:p w14:paraId="2C4483FA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-0.001 (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0.012, -0.014)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:vertAlign w:val="superscript"/>
                <w14:ligatures w14:val="standardContextual"/>
              </w:rPr>
              <w:t>a</w:t>
            </w:r>
          </w:p>
        </w:tc>
        <w:tc>
          <w:tcPr>
            <w:tcW w:w="464" w:type="pct"/>
            <w:vAlign w:val="center"/>
          </w:tcPr>
          <w:p w14:paraId="5B87E184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.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31</w:t>
            </w:r>
          </w:p>
        </w:tc>
        <w:tc>
          <w:tcPr>
            <w:tcW w:w="364" w:type="pct"/>
            <w:vAlign w:val="center"/>
          </w:tcPr>
          <w:p w14:paraId="06E35AAD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0.756</w:t>
            </w:r>
          </w:p>
        </w:tc>
      </w:tr>
      <w:tr w14:paraId="68A24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pct"/>
            <w:vAlign w:val="center"/>
          </w:tcPr>
          <w:p w14:paraId="1AAA1947">
            <w:pPr>
              <w:autoSpaceDE w:val="0"/>
              <w:autoSpaceDN w:val="0"/>
              <w:adjustRightInd w:val="0"/>
              <w:spacing w:line="280" w:lineRule="exact"/>
              <w:ind w:firstLine="160" w:firstLineChars="100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1-3 mm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 xml:space="preserve"> temporal</w:t>
            </w:r>
          </w:p>
        </w:tc>
        <w:tc>
          <w:tcPr>
            <w:tcW w:w="1064" w:type="pct"/>
            <w:vAlign w:val="center"/>
          </w:tcPr>
          <w:p w14:paraId="0A98726B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0.314 (0.236, 0.394)</w:t>
            </w:r>
          </w:p>
        </w:tc>
        <w:tc>
          <w:tcPr>
            <w:tcW w:w="1118" w:type="pct"/>
            <w:vAlign w:val="center"/>
          </w:tcPr>
          <w:p w14:paraId="156A1A23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0.321 (0.237, 0.403)</w:t>
            </w:r>
          </w:p>
        </w:tc>
        <w:tc>
          <w:tcPr>
            <w:tcW w:w="1095" w:type="pct"/>
            <w:vAlign w:val="center"/>
          </w:tcPr>
          <w:p w14:paraId="22796B16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0.006 (-0.007, 0.020)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:vertAlign w:val="superscript"/>
                <w14:ligatures w14:val="standardContextual"/>
              </w:rPr>
              <w:t>a</w:t>
            </w:r>
          </w:p>
        </w:tc>
        <w:tc>
          <w:tcPr>
            <w:tcW w:w="464" w:type="pct"/>
            <w:vAlign w:val="center"/>
          </w:tcPr>
          <w:p w14:paraId="270DF194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-1.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65</w:t>
            </w:r>
          </w:p>
        </w:tc>
        <w:tc>
          <w:tcPr>
            <w:tcW w:w="364" w:type="pct"/>
            <w:vAlign w:val="center"/>
          </w:tcPr>
          <w:p w14:paraId="5CF97249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0.100</w:t>
            </w:r>
          </w:p>
        </w:tc>
      </w:tr>
      <w:tr w14:paraId="46A69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pct"/>
            <w:vAlign w:val="center"/>
          </w:tcPr>
          <w:p w14:paraId="352C37A6">
            <w:pPr>
              <w:autoSpaceDE w:val="0"/>
              <w:autoSpaceDN w:val="0"/>
              <w:adjustRightInd w:val="0"/>
              <w:spacing w:line="280" w:lineRule="exact"/>
              <w:ind w:firstLine="160" w:firstLineChars="100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1-3 mm superior</w:t>
            </w:r>
          </w:p>
        </w:tc>
        <w:tc>
          <w:tcPr>
            <w:tcW w:w="1064" w:type="pct"/>
            <w:vAlign w:val="center"/>
          </w:tcPr>
          <w:p w14:paraId="7C5FBDC2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0.307</w:t>
            </w:r>
            <m:oMath>
              <m:r>
                <m:rPr>
                  <m:sty m:val="p"/>
                </m:rPr>
                <w:rPr>
                  <w:rFonts w:ascii="Cambria Math" w:hAnsi="Cambria Math" w:eastAsia="等线" w:cs="Times New Roman"/>
                  <w:kern w:val="0"/>
                  <w:sz w:val="16"/>
                  <w:szCs w:val="16"/>
                  <w14:ligatures w14:val="standardContextual"/>
                </w:rPr>
                <m:t xml:space="preserve"> ± </m:t>
              </m:r>
            </m:oMath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0.132</w:t>
            </w:r>
          </w:p>
        </w:tc>
        <w:tc>
          <w:tcPr>
            <w:tcW w:w="1118" w:type="pct"/>
            <w:vAlign w:val="center"/>
          </w:tcPr>
          <w:p w14:paraId="7FFFAF3D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0.310</w:t>
            </w:r>
            <m:oMath>
              <m:r>
                <m:rPr>
                  <m:sty m:val="p"/>
                </m:rPr>
                <w:rPr>
                  <w:rFonts w:ascii="Cambria Math" w:hAnsi="Cambria Math" w:eastAsia="等线" w:cs="Times New Roman"/>
                  <w:kern w:val="0"/>
                  <w:sz w:val="16"/>
                  <w:szCs w:val="16"/>
                  <w14:ligatures w14:val="standardContextual"/>
                </w:rPr>
                <m:t xml:space="preserve"> ± </m:t>
              </m:r>
            </m:oMath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0.129</w:t>
            </w:r>
          </w:p>
        </w:tc>
        <w:tc>
          <w:tcPr>
            <w:tcW w:w="1095" w:type="pct"/>
            <w:vAlign w:val="center"/>
          </w:tcPr>
          <w:p w14:paraId="0EF2A96E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0.003 (-0.006, 0.011)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:vertAlign w:val="superscript"/>
                <w14:ligatures w14:val="standardContextual"/>
              </w:rPr>
              <w:t>b</w:t>
            </w:r>
          </w:p>
        </w:tc>
        <w:tc>
          <w:tcPr>
            <w:tcW w:w="464" w:type="pct"/>
            <w:vAlign w:val="center"/>
          </w:tcPr>
          <w:p w14:paraId="0E5A9497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-0.63</w:t>
            </w:r>
          </w:p>
        </w:tc>
        <w:tc>
          <w:tcPr>
            <w:tcW w:w="364" w:type="pct"/>
            <w:vAlign w:val="center"/>
          </w:tcPr>
          <w:p w14:paraId="44031E1A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0.532</w:t>
            </w:r>
          </w:p>
        </w:tc>
      </w:tr>
      <w:tr w14:paraId="1F466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pct"/>
            <w:vAlign w:val="center"/>
          </w:tcPr>
          <w:p w14:paraId="00D24233">
            <w:pPr>
              <w:autoSpaceDE w:val="0"/>
              <w:autoSpaceDN w:val="0"/>
              <w:adjustRightInd w:val="0"/>
              <w:spacing w:line="280" w:lineRule="exact"/>
              <w:ind w:firstLine="160" w:firstLineChars="100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1-3 mm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 xml:space="preserve"> inferior</w:t>
            </w:r>
          </w:p>
        </w:tc>
        <w:tc>
          <w:tcPr>
            <w:tcW w:w="1064" w:type="pct"/>
            <w:vAlign w:val="center"/>
          </w:tcPr>
          <w:p w14:paraId="1D423CE0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0.327 (0.210, 0.449)</w:t>
            </w:r>
          </w:p>
        </w:tc>
        <w:tc>
          <w:tcPr>
            <w:tcW w:w="1118" w:type="pct"/>
            <w:vAlign w:val="center"/>
          </w:tcPr>
          <w:p w14:paraId="11262682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0.328 (0.218, 0.443)</w:t>
            </w:r>
          </w:p>
        </w:tc>
        <w:tc>
          <w:tcPr>
            <w:tcW w:w="1095" w:type="pct"/>
            <w:vAlign w:val="center"/>
          </w:tcPr>
          <w:p w14:paraId="7FA012FD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-0.002 (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0.011, 0.014)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:vertAlign w:val="superscript"/>
                <w14:ligatures w14:val="standardContextual"/>
              </w:rPr>
              <w:t>b</w:t>
            </w:r>
          </w:p>
        </w:tc>
        <w:tc>
          <w:tcPr>
            <w:tcW w:w="464" w:type="pct"/>
            <w:vAlign w:val="center"/>
          </w:tcPr>
          <w:p w14:paraId="3B058097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.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58</w:t>
            </w:r>
          </w:p>
        </w:tc>
        <w:tc>
          <w:tcPr>
            <w:tcW w:w="364" w:type="pct"/>
            <w:vAlign w:val="center"/>
          </w:tcPr>
          <w:p w14:paraId="5D22E8B6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0.566</w:t>
            </w:r>
          </w:p>
        </w:tc>
      </w:tr>
      <w:tr w14:paraId="5CE20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6"/>
            <w:vAlign w:val="center"/>
          </w:tcPr>
          <w:p w14:paraId="6C2B86DF">
            <w:pPr>
              <w:autoSpaceDE w:val="0"/>
              <w:autoSpaceDN w:val="0"/>
              <w:adjustRightInd w:val="0"/>
              <w:spacing w:line="280" w:lineRule="exac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standardContextual"/>
              </w:rPr>
              <w:t>Choroidal thickness</w:t>
            </w:r>
            <w:r>
              <w:rPr>
                <w:rFonts w:hint="eastAsia"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standardContextual"/>
              </w:rPr>
              <w:t xml:space="preserve"> </w:t>
            </w:r>
            <w:r>
              <w:rPr>
                <w:rFonts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standardContextual"/>
              </w:rPr>
              <w:t>(μm)</w:t>
            </w:r>
          </w:p>
        </w:tc>
      </w:tr>
      <w:tr w14:paraId="1ECBF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pct"/>
            <w:vAlign w:val="center"/>
          </w:tcPr>
          <w:p w14:paraId="6536AF75">
            <w:pPr>
              <w:autoSpaceDE w:val="0"/>
              <w:autoSpaceDN w:val="0"/>
              <w:adjustRightInd w:val="0"/>
              <w:spacing w:line="280" w:lineRule="exact"/>
              <w:ind w:firstLine="160" w:firstLineChars="100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0-1 mm average</w:t>
            </w:r>
          </w:p>
        </w:tc>
        <w:tc>
          <w:tcPr>
            <w:tcW w:w="1064" w:type="pct"/>
            <w:vAlign w:val="center"/>
          </w:tcPr>
          <w:p w14:paraId="7DF60A3F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3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48.90 (264.93, 425.07)</w:t>
            </w:r>
          </w:p>
        </w:tc>
        <w:tc>
          <w:tcPr>
            <w:tcW w:w="1118" w:type="pct"/>
            <w:vAlign w:val="center"/>
          </w:tcPr>
          <w:p w14:paraId="62F3FE8F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351.11 (267.88, 431.17)</w:t>
            </w:r>
          </w:p>
        </w:tc>
        <w:tc>
          <w:tcPr>
            <w:tcW w:w="1095" w:type="pct"/>
            <w:vAlign w:val="center"/>
          </w:tcPr>
          <w:p w14:paraId="45798E8A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:vertAlign w:val="superscript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4.72 (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0.62, 10.10)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:vertAlign w:val="superscript"/>
                <w14:ligatures w14:val="standardContextual"/>
              </w:rPr>
              <w:t>a</w:t>
            </w:r>
          </w:p>
        </w:tc>
        <w:tc>
          <w:tcPr>
            <w:tcW w:w="464" w:type="pct"/>
            <w:vAlign w:val="center"/>
          </w:tcPr>
          <w:p w14:paraId="635E0EC2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3.16</w:t>
            </w:r>
          </w:p>
        </w:tc>
        <w:tc>
          <w:tcPr>
            <w:tcW w:w="364" w:type="pct"/>
            <w:vAlign w:val="center"/>
          </w:tcPr>
          <w:p w14:paraId="2A692562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standardContextual"/>
              </w:rPr>
              <w:t>0.</w:t>
            </w:r>
            <w:r>
              <w:rPr>
                <w:rFonts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standardContextual"/>
              </w:rPr>
              <w:t>0</w:t>
            </w:r>
            <w:r>
              <w:rPr>
                <w:rFonts w:hint="eastAsia"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standardContextual"/>
              </w:rPr>
              <w:t>02</w:t>
            </w:r>
          </w:p>
        </w:tc>
      </w:tr>
      <w:tr w14:paraId="5E52F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pct"/>
            <w:vAlign w:val="center"/>
          </w:tcPr>
          <w:p w14:paraId="1125C04E">
            <w:pPr>
              <w:autoSpaceDE w:val="0"/>
              <w:autoSpaceDN w:val="0"/>
              <w:adjustRightInd w:val="0"/>
              <w:spacing w:line="280" w:lineRule="exact"/>
              <w:ind w:firstLine="160" w:firstLineChars="100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0-3 mm average</w:t>
            </w:r>
          </w:p>
        </w:tc>
        <w:tc>
          <w:tcPr>
            <w:tcW w:w="1064" w:type="pct"/>
            <w:vAlign w:val="center"/>
          </w:tcPr>
          <w:p w14:paraId="704F2E13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348.25 (273.44, 434.47)</w:t>
            </w:r>
          </w:p>
        </w:tc>
        <w:tc>
          <w:tcPr>
            <w:tcW w:w="1118" w:type="pct"/>
            <w:vAlign w:val="center"/>
          </w:tcPr>
          <w:p w14:paraId="28A78285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346.96 (270.12, 437.16)</w:t>
            </w:r>
          </w:p>
        </w:tc>
        <w:tc>
          <w:tcPr>
            <w:tcW w:w="1095" w:type="pct"/>
            <w:vAlign w:val="center"/>
          </w:tcPr>
          <w:p w14:paraId="3D46E648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2.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78 (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1.51,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6.45)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:vertAlign w:val="superscript"/>
                <w14:ligatures w14:val="standardContextual"/>
              </w:rPr>
              <w:t>a</w:t>
            </w:r>
          </w:p>
        </w:tc>
        <w:tc>
          <w:tcPr>
            <w:tcW w:w="464" w:type="pct"/>
            <w:vAlign w:val="center"/>
          </w:tcPr>
          <w:p w14:paraId="63FD3A4F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2.42</w:t>
            </w:r>
          </w:p>
        </w:tc>
        <w:tc>
          <w:tcPr>
            <w:tcW w:w="364" w:type="pct"/>
            <w:vAlign w:val="center"/>
          </w:tcPr>
          <w:p w14:paraId="04B2E6F5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standardContextual"/>
              </w:rPr>
              <w:t>0.015</w:t>
            </w:r>
          </w:p>
        </w:tc>
      </w:tr>
      <w:tr w14:paraId="4EF1C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pct"/>
            <w:vAlign w:val="center"/>
          </w:tcPr>
          <w:p w14:paraId="30723417">
            <w:pPr>
              <w:autoSpaceDE w:val="0"/>
              <w:autoSpaceDN w:val="0"/>
              <w:adjustRightInd w:val="0"/>
              <w:spacing w:line="280" w:lineRule="exact"/>
              <w:ind w:firstLine="160" w:firstLineChars="100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1-3 mm average</w:t>
            </w:r>
          </w:p>
        </w:tc>
        <w:tc>
          <w:tcPr>
            <w:tcW w:w="1064" w:type="pct"/>
            <w:vAlign w:val="center"/>
          </w:tcPr>
          <w:p w14:paraId="28451AD7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341.33 (274.80, 432.10)</w:t>
            </w:r>
          </w:p>
        </w:tc>
        <w:tc>
          <w:tcPr>
            <w:tcW w:w="1118" w:type="pct"/>
            <w:vAlign w:val="center"/>
          </w:tcPr>
          <w:p w14:paraId="7E2384B1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342.23 (271.81, 437.90)</w:t>
            </w:r>
          </w:p>
        </w:tc>
        <w:tc>
          <w:tcPr>
            <w:tcW w:w="1095" w:type="pct"/>
            <w:vAlign w:val="center"/>
          </w:tcPr>
          <w:p w14:paraId="33A66B4B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2.28 (-1.34, 5.95)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:vertAlign w:val="superscript"/>
                <w14:ligatures w14:val="standardContextual"/>
              </w:rPr>
              <w:t>a</w:t>
            </w:r>
          </w:p>
        </w:tc>
        <w:tc>
          <w:tcPr>
            <w:tcW w:w="464" w:type="pct"/>
            <w:vAlign w:val="center"/>
          </w:tcPr>
          <w:p w14:paraId="126EF2CB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-2.13</w:t>
            </w:r>
          </w:p>
        </w:tc>
        <w:tc>
          <w:tcPr>
            <w:tcW w:w="364" w:type="pct"/>
            <w:vAlign w:val="center"/>
          </w:tcPr>
          <w:p w14:paraId="4565015B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standardContextual"/>
              </w:rPr>
              <w:t>0.033</w:t>
            </w:r>
          </w:p>
        </w:tc>
      </w:tr>
      <w:tr w14:paraId="70146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pct"/>
            <w:vAlign w:val="center"/>
          </w:tcPr>
          <w:p w14:paraId="2D9D711C">
            <w:pPr>
              <w:autoSpaceDE w:val="0"/>
              <w:autoSpaceDN w:val="0"/>
              <w:adjustRightInd w:val="0"/>
              <w:spacing w:line="280" w:lineRule="exact"/>
              <w:ind w:firstLine="160" w:firstLineChars="100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1-3 mm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 xml:space="preserve"> nasal</w:t>
            </w:r>
          </w:p>
        </w:tc>
        <w:tc>
          <w:tcPr>
            <w:tcW w:w="1064" w:type="pct"/>
            <w:vAlign w:val="center"/>
          </w:tcPr>
          <w:p w14:paraId="0C090C6D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334.80 (236.32, 417.80)</w:t>
            </w:r>
          </w:p>
        </w:tc>
        <w:tc>
          <w:tcPr>
            <w:tcW w:w="1118" w:type="pct"/>
            <w:vAlign w:val="center"/>
          </w:tcPr>
          <w:p w14:paraId="522E6F7D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3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42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.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39 (242.38, 421.51)</w:t>
            </w:r>
          </w:p>
        </w:tc>
        <w:tc>
          <w:tcPr>
            <w:tcW w:w="1095" w:type="pct"/>
            <w:vAlign w:val="center"/>
          </w:tcPr>
          <w:p w14:paraId="5A77E999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3.09 (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.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 xml:space="preserve">20, 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6.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61)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:vertAlign w:val="superscript"/>
                <w14:ligatures w14:val="standardContextual"/>
              </w:rPr>
              <w:t>a</w:t>
            </w:r>
          </w:p>
        </w:tc>
        <w:tc>
          <w:tcPr>
            <w:tcW w:w="464" w:type="pct"/>
            <w:vAlign w:val="center"/>
          </w:tcPr>
          <w:p w14:paraId="45496E98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-2.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69</w:t>
            </w:r>
          </w:p>
        </w:tc>
        <w:tc>
          <w:tcPr>
            <w:tcW w:w="364" w:type="pct"/>
            <w:vAlign w:val="center"/>
          </w:tcPr>
          <w:p w14:paraId="2D249928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standardContextual"/>
              </w:rPr>
              <w:t>0.007</w:t>
            </w:r>
          </w:p>
        </w:tc>
      </w:tr>
      <w:tr w14:paraId="7948D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pct"/>
            <w:vAlign w:val="center"/>
          </w:tcPr>
          <w:p w14:paraId="59F9CF97">
            <w:pPr>
              <w:autoSpaceDE w:val="0"/>
              <w:autoSpaceDN w:val="0"/>
              <w:adjustRightInd w:val="0"/>
              <w:spacing w:line="280" w:lineRule="exact"/>
              <w:ind w:firstLine="160" w:firstLineChars="100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1-3 mm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 xml:space="preserve"> temporal</w:t>
            </w:r>
          </w:p>
        </w:tc>
        <w:tc>
          <w:tcPr>
            <w:tcW w:w="1064" w:type="pct"/>
            <w:vAlign w:val="center"/>
          </w:tcPr>
          <w:p w14:paraId="5F9DACA5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3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50.11 (292.69, 405.20)</w:t>
            </w:r>
          </w:p>
        </w:tc>
        <w:tc>
          <w:tcPr>
            <w:tcW w:w="1118" w:type="pct"/>
            <w:vAlign w:val="center"/>
          </w:tcPr>
          <w:p w14:paraId="3EF51926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349.09 (297.04, 411.38)</w:t>
            </w:r>
          </w:p>
        </w:tc>
        <w:tc>
          <w:tcPr>
            <w:tcW w:w="1095" w:type="pct"/>
            <w:vAlign w:val="center"/>
          </w:tcPr>
          <w:p w14:paraId="5BD28D29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3.45 (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1.90, 8.05)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:vertAlign w:val="superscript"/>
                <w14:ligatures w14:val="standardContextual"/>
              </w:rPr>
              <w:t>a</w:t>
            </w:r>
          </w:p>
        </w:tc>
        <w:tc>
          <w:tcPr>
            <w:tcW w:w="464" w:type="pct"/>
            <w:vAlign w:val="center"/>
          </w:tcPr>
          <w:p w14:paraId="377E4D3D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2.16</w:t>
            </w:r>
          </w:p>
        </w:tc>
        <w:tc>
          <w:tcPr>
            <w:tcW w:w="364" w:type="pct"/>
            <w:vAlign w:val="center"/>
          </w:tcPr>
          <w:p w14:paraId="0365F3DB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standardContextual"/>
              </w:rPr>
              <w:t>0.031</w:t>
            </w:r>
          </w:p>
        </w:tc>
      </w:tr>
      <w:tr w14:paraId="485C8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pct"/>
            <w:vAlign w:val="center"/>
          </w:tcPr>
          <w:p w14:paraId="79B11C76">
            <w:pPr>
              <w:autoSpaceDE w:val="0"/>
              <w:autoSpaceDN w:val="0"/>
              <w:adjustRightInd w:val="0"/>
              <w:spacing w:line="280" w:lineRule="exact"/>
              <w:ind w:firstLine="160" w:firstLineChars="100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1-3 mm superior</w:t>
            </w:r>
          </w:p>
        </w:tc>
        <w:tc>
          <w:tcPr>
            <w:tcW w:w="1064" w:type="pct"/>
            <w:vAlign w:val="center"/>
          </w:tcPr>
          <w:p w14:paraId="1A9DE629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353.50</w:t>
            </w:r>
            <m:oMath>
              <m:r>
                <m:rPr>
                  <m:sty m:val="p"/>
                </m:rPr>
                <w:rPr>
                  <w:rFonts w:ascii="Cambria Math" w:hAnsi="Cambria Math" w:eastAsia="等线" w:cs="Times New Roman"/>
                  <w:kern w:val="0"/>
                  <w:sz w:val="16"/>
                  <w:szCs w:val="16"/>
                  <w14:ligatures w14:val="standardContextual"/>
                </w:rPr>
                <m:t xml:space="preserve"> ± </m:t>
              </m:r>
            </m:oMath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07.32</w:t>
            </w:r>
          </w:p>
        </w:tc>
        <w:tc>
          <w:tcPr>
            <w:tcW w:w="1118" w:type="pct"/>
            <w:vAlign w:val="center"/>
          </w:tcPr>
          <w:p w14:paraId="36938026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354.77</w:t>
            </w:r>
            <m:oMath>
              <m:r>
                <m:rPr>
                  <m:sty m:val="p"/>
                </m:rPr>
                <w:rPr>
                  <w:rFonts w:ascii="Cambria Math" w:hAnsi="Cambria Math" w:eastAsia="等线" w:cs="Times New Roman"/>
                  <w:kern w:val="0"/>
                  <w:sz w:val="16"/>
                  <w:szCs w:val="16"/>
                  <w14:ligatures w14:val="standardContextual"/>
                </w:rPr>
                <m:t xml:space="preserve"> ± </m:t>
              </m:r>
            </m:oMath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08.36</w:t>
            </w:r>
          </w:p>
        </w:tc>
        <w:tc>
          <w:tcPr>
            <w:tcW w:w="1095" w:type="pct"/>
            <w:vAlign w:val="center"/>
          </w:tcPr>
          <w:p w14:paraId="53A7EFB2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1.28 (-2.23, 4.79)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:vertAlign w:val="superscript"/>
                <w14:ligatures w14:val="standardContextual"/>
              </w:rPr>
              <w:t>b</w:t>
            </w:r>
          </w:p>
        </w:tc>
        <w:tc>
          <w:tcPr>
            <w:tcW w:w="464" w:type="pct"/>
            <w:vAlign w:val="center"/>
          </w:tcPr>
          <w:p w14:paraId="6CA35AD9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-0.16</w:t>
            </w:r>
          </w:p>
        </w:tc>
        <w:tc>
          <w:tcPr>
            <w:tcW w:w="364" w:type="pct"/>
            <w:vAlign w:val="center"/>
          </w:tcPr>
          <w:p w14:paraId="51E13935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0.876</w:t>
            </w:r>
          </w:p>
        </w:tc>
      </w:tr>
      <w:tr w14:paraId="6ECAC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pct"/>
            <w:vAlign w:val="center"/>
          </w:tcPr>
          <w:p w14:paraId="1FFB66C6">
            <w:pPr>
              <w:autoSpaceDE w:val="0"/>
              <w:autoSpaceDN w:val="0"/>
              <w:adjustRightInd w:val="0"/>
              <w:spacing w:line="280" w:lineRule="exact"/>
              <w:ind w:firstLine="160" w:firstLineChars="100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1-3 mm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 xml:space="preserve"> inferior</w:t>
            </w:r>
          </w:p>
        </w:tc>
        <w:tc>
          <w:tcPr>
            <w:tcW w:w="1064" w:type="pct"/>
            <w:vAlign w:val="center"/>
          </w:tcPr>
          <w:p w14:paraId="0AA26CA9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337.80 (277.28, 442.68)</w:t>
            </w:r>
          </w:p>
        </w:tc>
        <w:tc>
          <w:tcPr>
            <w:tcW w:w="1118" w:type="pct"/>
            <w:vAlign w:val="center"/>
          </w:tcPr>
          <w:p w14:paraId="142F41C0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3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41.04 (282.26, 454.00)</w:t>
            </w:r>
          </w:p>
        </w:tc>
        <w:tc>
          <w:tcPr>
            <w:tcW w:w="1095" w:type="pct"/>
            <w:vAlign w:val="center"/>
          </w:tcPr>
          <w:p w14:paraId="73FA189F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1.06 (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 xml:space="preserve">2.54, 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6.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7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2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)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:vertAlign w:val="superscript"/>
                <w14:ligatures w14:val="standardContextual"/>
              </w:rPr>
              <w:t>a</w:t>
            </w:r>
          </w:p>
        </w:tc>
        <w:tc>
          <w:tcPr>
            <w:tcW w:w="464" w:type="pct"/>
            <w:vAlign w:val="center"/>
          </w:tcPr>
          <w:p w14:paraId="5C8F7C9A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0.74</w:t>
            </w:r>
          </w:p>
        </w:tc>
        <w:tc>
          <w:tcPr>
            <w:tcW w:w="364" w:type="pct"/>
            <w:vAlign w:val="center"/>
          </w:tcPr>
          <w:p w14:paraId="07AC0F11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0.465</w:t>
            </w:r>
          </w:p>
        </w:tc>
      </w:tr>
      <w:tr w14:paraId="4D021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6"/>
            <w:vAlign w:val="center"/>
          </w:tcPr>
          <w:p w14:paraId="735989A3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standardContextual"/>
              </w:rPr>
              <w:t>INL Thickness (μm)</w:t>
            </w:r>
          </w:p>
        </w:tc>
      </w:tr>
      <w:tr w14:paraId="01BC9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pct"/>
            <w:vAlign w:val="center"/>
          </w:tcPr>
          <w:p w14:paraId="654CE789">
            <w:pPr>
              <w:autoSpaceDE w:val="0"/>
              <w:autoSpaceDN w:val="0"/>
              <w:adjustRightInd w:val="0"/>
              <w:spacing w:line="280" w:lineRule="exact"/>
              <w:ind w:firstLine="160" w:firstLineChars="100"/>
              <w:jc w:val="left"/>
              <w:rPr>
                <w:rFonts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0-1 mm average</w:t>
            </w:r>
          </w:p>
        </w:tc>
        <w:tc>
          <w:tcPr>
            <w:tcW w:w="1064" w:type="pct"/>
            <w:vAlign w:val="center"/>
          </w:tcPr>
          <w:p w14:paraId="525B5347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2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8.54 (27.14, 30.79)</w:t>
            </w:r>
          </w:p>
        </w:tc>
        <w:tc>
          <w:tcPr>
            <w:tcW w:w="1118" w:type="pct"/>
            <w:vAlign w:val="center"/>
          </w:tcPr>
          <w:p w14:paraId="1496A2D6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2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8.08 (27.05, 30.89)</w:t>
            </w:r>
          </w:p>
        </w:tc>
        <w:tc>
          <w:tcPr>
            <w:tcW w:w="1095" w:type="pct"/>
            <w:vAlign w:val="center"/>
          </w:tcPr>
          <w:p w14:paraId="71F1AFA0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-0.19 (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0.74, 0.24)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:vertAlign w:val="superscript"/>
                <w14:ligatures w14:val="standardContextual"/>
              </w:rPr>
              <w:t>a</w:t>
            </w:r>
          </w:p>
        </w:tc>
        <w:tc>
          <w:tcPr>
            <w:tcW w:w="464" w:type="pct"/>
            <w:vAlign w:val="center"/>
          </w:tcPr>
          <w:p w14:paraId="5FEB7CB1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1.76</w:t>
            </w:r>
          </w:p>
        </w:tc>
        <w:tc>
          <w:tcPr>
            <w:tcW w:w="364" w:type="pct"/>
            <w:vAlign w:val="center"/>
          </w:tcPr>
          <w:p w14:paraId="681B7DF8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0.078</w:t>
            </w:r>
          </w:p>
        </w:tc>
      </w:tr>
      <w:tr w14:paraId="184C1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pct"/>
            <w:vAlign w:val="center"/>
          </w:tcPr>
          <w:p w14:paraId="3A857B1E">
            <w:pPr>
              <w:autoSpaceDE w:val="0"/>
              <w:autoSpaceDN w:val="0"/>
              <w:adjustRightInd w:val="0"/>
              <w:spacing w:line="280" w:lineRule="exact"/>
              <w:ind w:firstLine="160" w:firstLineChars="10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0-3 mm average</w:t>
            </w:r>
          </w:p>
        </w:tc>
        <w:tc>
          <w:tcPr>
            <w:tcW w:w="1064" w:type="pct"/>
            <w:vAlign w:val="center"/>
          </w:tcPr>
          <w:p w14:paraId="2DD10891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4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1.99</w:t>
            </w:r>
            <m:oMath>
              <m:r>
                <m:rPr>
                  <m:sty m:val="p"/>
                </m:rPr>
                <w:rPr>
                  <w:rFonts w:ascii="Cambria Math" w:hAnsi="Cambria Math" w:eastAsia="等线" w:cs="Times New Roman"/>
                  <w:kern w:val="0"/>
                  <w:sz w:val="16"/>
                  <w:szCs w:val="16"/>
                  <w14:ligatures w14:val="standardContextual"/>
                </w:rPr>
                <m:t xml:space="preserve"> ± </m:t>
              </m:r>
            </m:oMath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1.9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6</w:t>
            </w:r>
          </w:p>
        </w:tc>
        <w:tc>
          <w:tcPr>
            <w:tcW w:w="1118" w:type="pct"/>
            <w:vAlign w:val="center"/>
          </w:tcPr>
          <w:p w14:paraId="474264EA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4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1.89</w:t>
            </w:r>
            <m:oMath>
              <m:r>
                <m:rPr>
                  <m:sty m:val="p"/>
                </m:rPr>
                <w:rPr>
                  <w:rFonts w:ascii="Cambria Math" w:hAnsi="Cambria Math" w:eastAsia="等线" w:cs="Times New Roman"/>
                  <w:kern w:val="0"/>
                  <w:sz w:val="16"/>
                  <w:szCs w:val="16"/>
                  <w14:ligatures w14:val="standardContextual"/>
                </w:rPr>
                <m:t xml:space="preserve"> ± </m:t>
              </m:r>
            </m:oMath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1.9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4</w:t>
            </w:r>
          </w:p>
        </w:tc>
        <w:tc>
          <w:tcPr>
            <w:tcW w:w="1095" w:type="pct"/>
            <w:vAlign w:val="center"/>
          </w:tcPr>
          <w:p w14:paraId="59262E5D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.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10 (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0.21,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0.00)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:vertAlign w:val="superscript"/>
                <w14:ligatures w14:val="standardContextual"/>
              </w:rPr>
              <w:t>b</w:t>
            </w:r>
          </w:p>
        </w:tc>
        <w:tc>
          <w:tcPr>
            <w:tcW w:w="464" w:type="pct"/>
            <w:vAlign w:val="center"/>
          </w:tcPr>
          <w:p w14:paraId="28CD78F5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1.97</w:t>
            </w:r>
          </w:p>
        </w:tc>
        <w:tc>
          <w:tcPr>
            <w:tcW w:w="364" w:type="pct"/>
            <w:vAlign w:val="center"/>
          </w:tcPr>
          <w:p w14:paraId="6DA61A4E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0.057</w:t>
            </w:r>
          </w:p>
        </w:tc>
      </w:tr>
      <w:tr w14:paraId="7AB28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pct"/>
            <w:vAlign w:val="center"/>
          </w:tcPr>
          <w:p w14:paraId="393DD7AE">
            <w:pPr>
              <w:autoSpaceDE w:val="0"/>
              <w:autoSpaceDN w:val="0"/>
              <w:adjustRightInd w:val="0"/>
              <w:spacing w:line="280" w:lineRule="exact"/>
              <w:ind w:firstLine="160" w:firstLineChars="10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1-3 mm average</w:t>
            </w:r>
          </w:p>
        </w:tc>
        <w:tc>
          <w:tcPr>
            <w:tcW w:w="1064" w:type="pct"/>
            <w:vAlign w:val="center"/>
          </w:tcPr>
          <w:p w14:paraId="1488007C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43.59</w:t>
            </w:r>
            <m:oMath>
              <m:r>
                <m:rPr>
                  <m:sty m:val="p"/>
                </m:rPr>
                <w:rPr>
                  <w:rFonts w:ascii="Cambria Math" w:hAnsi="Cambria Math" w:eastAsia="等线" w:cs="Times New Roman"/>
                  <w:kern w:val="0"/>
                  <w:sz w:val="16"/>
                  <w:szCs w:val="16"/>
                  <w14:ligatures w14:val="standardContextual"/>
                </w:rPr>
                <m:t xml:space="preserve"> ± </m:t>
              </m:r>
            </m:oMath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2.05</w:t>
            </w:r>
          </w:p>
        </w:tc>
        <w:tc>
          <w:tcPr>
            <w:tcW w:w="1118" w:type="pct"/>
            <w:vAlign w:val="center"/>
          </w:tcPr>
          <w:p w14:paraId="40875975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43.50</w:t>
            </w:r>
            <m:oMath>
              <m:r>
                <m:rPr>
                  <m:sty m:val="p"/>
                </m:rPr>
                <w:rPr>
                  <w:rFonts w:ascii="Cambria Math" w:hAnsi="Cambria Math" w:eastAsia="等线" w:cs="Times New Roman"/>
                  <w:kern w:val="0"/>
                  <w:sz w:val="16"/>
                  <w:szCs w:val="16"/>
                  <w14:ligatures w14:val="standardContextual"/>
                </w:rPr>
                <m:t xml:space="preserve"> ± </m:t>
              </m:r>
            </m:oMath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2.02</w:t>
            </w:r>
          </w:p>
        </w:tc>
        <w:tc>
          <w:tcPr>
            <w:tcW w:w="1095" w:type="pct"/>
            <w:vAlign w:val="center"/>
          </w:tcPr>
          <w:p w14:paraId="237FB120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-0.08 (-0.20, 0.03)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:vertAlign w:val="superscript"/>
                <w14:ligatures w14:val="standardContextual"/>
              </w:rPr>
              <w:t>b</w:t>
            </w:r>
          </w:p>
        </w:tc>
        <w:tc>
          <w:tcPr>
            <w:tcW w:w="464" w:type="pct"/>
            <w:vAlign w:val="center"/>
          </w:tcPr>
          <w:p w14:paraId="74BAE75F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1.50</w:t>
            </w:r>
          </w:p>
        </w:tc>
        <w:tc>
          <w:tcPr>
            <w:tcW w:w="364" w:type="pct"/>
            <w:vAlign w:val="center"/>
          </w:tcPr>
          <w:p w14:paraId="414B240B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0.143</w:t>
            </w:r>
          </w:p>
        </w:tc>
      </w:tr>
      <w:tr w14:paraId="5C940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pct"/>
            <w:vAlign w:val="center"/>
          </w:tcPr>
          <w:p w14:paraId="2F3D51A8">
            <w:pPr>
              <w:autoSpaceDE w:val="0"/>
              <w:autoSpaceDN w:val="0"/>
              <w:adjustRightInd w:val="0"/>
              <w:spacing w:line="280" w:lineRule="exact"/>
              <w:ind w:firstLine="160" w:firstLineChars="10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1-3 mm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 xml:space="preserve"> nasal</w:t>
            </w:r>
          </w:p>
        </w:tc>
        <w:tc>
          <w:tcPr>
            <w:tcW w:w="1064" w:type="pct"/>
            <w:vAlign w:val="center"/>
          </w:tcPr>
          <w:p w14:paraId="5E72742B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44.38 (42.65, 45.93)</w:t>
            </w:r>
          </w:p>
        </w:tc>
        <w:tc>
          <w:tcPr>
            <w:tcW w:w="1118" w:type="pct"/>
            <w:vAlign w:val="center"/>
          </w:tcPr>
          <w:p w14:paraId="67DF832A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4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4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.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38 (42.49, 45.77)</w:t>
            </w:r>
          </w:p>
        </w:tc>
        <w:tc>
          <w:tcPr>
            <w:tcW w:w="1095" w:type="pct"/>
            <w:vAlign w:val="center"/>
          </w:tcPr>
          <w:p w14:paraId="04B7D188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0.13 (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0.67, 0.40)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:vertAlign w:val="superscript"/>
                <w14:ligatures w14:val="standardContextual"/>
              </w:rPr>
              <w:t>a</w:t>
            </w:r>
          </w:p>
        </w:tc>
        <w:tc>
          <w:tcPr>
            <w:tcW w:w="464" w:type="pct"/>
            <w:vAlign w:val="center"/>
          </w:tcPr>
          <w:p w14:paraId="1AEDF7C5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1.41</w:t>
            </w:r>
          </w:p>
        </w:tc>
        <w:tc>
          <w:tcPr>
            <w:tcW w:w="364" w:type="pct"/>
            <w:vAlign w:val="center"/>
          </w:tcPr>
          <w:p w14:paraId="3646FE3C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0.157</w:t>
            </w:r>
          </w:p>
        </w:tc>
      </w:tr>
      <w:tr w14:paraId="0CC09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pct"/>
            <w:vAlign w:val="center"/>
          </w:tcPr>
          <w:p w14:paraId="365389A4">
            <w:pPr>
              <w:autoSpaceDE w:val="0"/>
              <w:autoSpaceDN w:val="0"/>
              <w:adjustRightInd w:val="0"/>
              <w:spacing w:line="280" w:lineRule="exact"/>
              <w:ind w:firstLine="160" w:firstLineChars="10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1-3 mm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 xml:space="preserve"> temporal</w:t>
            </w:r>
          </w:p>
        </w:tc>
        <w:tc>
          <w:tcPr>
            <w:tcW w:w="1064" w:type="pct"/>
            <w:vAlign w:val="center"/>
          </w:tcPr>
          <w:p w14:paraId="3DD43364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 xml:space="preserve">41.91 </w:t>
            </w:r>
            <m:oMath>
              <m:r>
                <m:rPr>
                  <m:sty m:val="p"/>
                </m:rPr>
                <w:rPr>
                  <w:rFonts w:ascii="Cambria Math" w:hAnsi="Cambria Math" w:eastAsia="等线" w:cs="Times New Roman"/>
                  <w:kern w:val="0"/>
                  <w:sz w:val="16"/>
                  <w:szCs w:val="16"/>
                  <w14:ligatures w14:val="standardContextual"/>
                </w:rPr>
                <m:t>±</m:t>
              </m:r>
            </m:oMath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 xml:space="preserve"> 2.23</w:t>
            </w:r>
          </w:p>
        </w:tc>
        <w:tc>
          <w:tcPr>
            <w:tcW w:w="1118" w:type="pct"/>
            <w:vAlign w:val="center"/>
          </w:tcPr>
          <w:p w14:paraId="10C462DD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4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 xml:space="preserve">1.87 </w:t>
            </w:r>
            <m:oMath>
              <m:r>
                <m:rPr>
                  <m:sty m:val="p"/>
                </m:rPr>
                <w:rPr>
                  <w:rFonts w:ascii="Cambria Math" w:hAnsi="Cambria Math" w:eastAsia="等线" w:cs="Times New Roman"/>
                  <w:kern w:val="0"/>
                  <w:sz w:val="16"/>
                  <w:szCs w:val="16"/>
                  <w14:ligatures w14:val="standardContextual"/>
                </w:rPr>
                <m:t>±</m:t>
              </m:r>
            </m:oMath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 xml:space="preserve"> 2.21</w:t>
            </w:r>
          </w:p>
        </w:tc>
        <w:tc>
          <w:tcPr>
            <w:tcW w:w="1095" w:type="pct"/>
            <w:vAlign w:val="center"/>
          </w:tcPr>
          <w:p w14:paraId="59118277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-0.05 (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0.23, 0.14)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:vertAlign w:val="superscript"/>
                <w14:ligatures w14:val="standardContextual"/>
              </w:rPr>
              <w:t>b</w:t>
            </w:r>
          </w:p>
        </w:tc>
        <w:tc>
          <w:tcPr>
            <w:tcW w:w="464" w:type="pct"/>
            <w:vAlign w:val="center"/>
          </w:tcPr>
          <w:p w14:paraId="0FC6E254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0.50</w:t>
            </w:r>
          </w:p>
        </w:tc>
        <w:tc>
          <w:tcPr>
            <w:tcW w:w="364" w:type="pct"/>
            <w:vAlign w:val="center"/>
          </w:tcPr>
          <w:p w14:paraId="5BE574D9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0.621</w:t>
            </w:r>
          </w:p>
        </w:tc>
      </w:tr>
      <w:tr w14:paraId="34A6A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pct"/>
            <w:vAlign w:val="center"/>
          </w:tcPr>
          <w:p w14:paraId="5427A6B4">
            <w:pPr>
              <w:autoSpaceDE w:val="0"/>
              <w:autoSpaceDN w:val="0"/>
              <w:adjustRightInd w:val="0"/>
              <w:spacing w:line="280" w:lineRule="exact"/>
              <w:ind w:firstLine="160" w:firstLineChars="10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1-3 mm superior</w:t>
            </w:r>
          </w:p>
        </w:tc>
        <w:tc>
          <w:tcPr>
            <w:tcW w:w="1064" w:type="pct"/>
            <w:vAlign w:val="center"/>
          </w:tcPr>
          <w:p w14:paraId="10331D30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44.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 xml:space="preserve">67 </w:t>
            </w:r>
            <m:oMath>
              <m:r>
                <m:rPr>
                  <m:sty m:val="p"/>
                </m:rPr>
                <w:rPr>
                  <w:rFonts w:ascii="Cambria Math" w:hAnsi="Cambria Math" w:eastAsia="等线" w:cs="Times New Roman"/>
                  <w:kern w:val="0"/>
                  <w:sz w:val="16"/>
                  <w:szCs w:val="16"/>
                  <w14:ligatures w14:val="standardContextual"/>
                </w:rPr>
                <m:t>±</m:t>
              </m:r>
            </m:oMath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 xml:space="preserve"> 2.22</w:t>
            </w:r>
          </w:p>
        </w:tc>
        <w:tc>
          <w:tcPr>
            <w:tcW w:w="1118" w:type="pct"/>
            <w:vAlign w:val="center"/>
          </w:tcPr>
          <w:p w14:paraId="13F36D18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44.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 xml:space="preserve">62 </w:t>
            </w:r>
            <m:oMath>
              <m:r>
                <m:rPr>
                  <m:sty m:val="p"/>
                </m:rPr>
                <w:rPr>
                  <w:rFonts w:ascii="Cambria Math" w:hAnsi="Cambria Math" w:eastAsia="等线" w:cs="Times New Roman"/>
                  <w:kern w:val="0"/>
                  <w:sz w:val="16"/>
                  <w:szCs w:val="16"/>
                  <w14:ligatures w14:val="standardContextual"/>
                </w:rPr>
                <m:t>±</m:t>
              </m:r>
            </m:oMath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 xml:space="preserve"> 2.28</w:t>
            </w:r>
          </w:p>
        </w:tc>
        <w:tc>
          <w:tcPr>
            <w:tcW w:w="1095" w:type="pct"/>
            <w:vAlign w:val="center"/>
          </w:tcPr>
          <w:p w14:paraId="7CACDD19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-0.05 (-0.32,0.22)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:vertAlign w:val="superscript"/>
                <w14:ligatures w14:val="standardContextual"/>
              </w:rPr>
              <w:t>b</w:t>
            </w:r>
          </w:p>
        </w:tc>
        <w:tc>
          <w:tcPr>
            <w:tcW w:w="464" w:type="pct"/>
            <w:vAlign w:val="center"/>
          </w:tcPr>
          <w:p w14:paraId="0EAB0ECE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0.37</w:t>
            </w:r>
          </w:p>
        </w:tc>
        <w:tc>
          <w:tcPr>
            <w:tcW w:w="364" w:type="pct"/>
            <w:vAlign w:val="center"/>
          </w:tcPr>
          <w:p w14:paraId="5363BF17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0.715</w:t>
            </w:r>
          </w:p>
        </w:tc>
      </w:tr>
      <w:tr w14:paraId="17DEE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pct"/>
            <w:tcBorders>
              <w:bottom w:val="single" w:color="auto" w:sz="12" w:space="0"/>
            </w:tcBorders>
            <w:vAlign w:val="center"/>
          </w:tcPr>
          <w:p w14:paraId="79A48272">
            <w:pPr>
              <w:autoSpaceDE w:val="0"/>
              <w:autoSpaceDN w:val="0"/>
              <w:adjustRightInd w:val="0"/>
              <w:spacing w:line="280" w:lineRule="exact"/>
              <w:ind w:firstLine="160" w:firstLineChars="10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1-3 mm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 xml:space="preserve"> inferior</w:t>
            </w:r>
          </w:p>
        </w:tc>
        <w:tc>
          <w:tcPr>
            <w:tcW w:w="1064" w:type="pct"/>
            <w:tcBorders>
              <w:bottom w:val="single" w:color="auto" w:sz="12" w:space="0"/>
            </w:tcBorders>
            <w:vAlign w:val="center"/>
          </w:tcPr>
          <w:p w14:paraId="372D42CE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43.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52</w:t>
            </w:r>
            <m:oMath>
              <m:r>
                <m:rPr>
                  <m:sty m:val="p"/>
                </m:rPr>
                <w:rPr>
                  <w:rFonts w:ascii="Cambria Math" w:hAnsi="Cambria Math" w:eastAsia="等线" w:cs="Times New Roman"/>
                  <w:kern w:val="0"/>
                  <w:sz w:val="16"/>
                  <w:szCs w:val="16"/>
                  <w14:ligatures w14:val="standardContextual"/>
                </w:rPr>
                <m:t xml:space="preserve"> ± </m:t>
              </m:r>
            </m:oMath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2.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52</w:t>
            </w:r>
          </w:p>
        </w:tc>
        <w:tc>
          <w:tcPr>
            <w:tcW w:w="1118" w:type="pct"/>
            <w:tcBorders>
              <w:bottom w:val="single" w:color="auto" w:sz="12" w:space="0"/>
            </w:tcBorders>
            <w:vAlign w:val="center"/>
          </w:tcPr>
          <w:p w14:paraId="5E68A82F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43.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46</w:t>
            </w:r>
            <m:oMath>
              <m:r>
                <m:rPr>
                  <m:sty m:val="p"/>
                </m:rPr>
                <w:rPr>
                  <w:rFonts w:ascii="Cambria Math" w:hAnsi="Cambria Math" w:eastAsia="等线" w:cs="Times New Roman"/>
                  <w:kern w:val="0"/>
                  <w:sz w:val="16"/>
                  <w:szCs w:val="16"/>
                  <w14:ligatures w14:val="standardContextual"/>
                </w:rPr>
                <m:t xml:space="preserve"> ± </m:t>
              </m:r>
            </m:oMath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2.2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2</w:t>
            </w:r>
          </w:p>
        </w:tc>
        <w:tc>
          <w:tcPr>
            <w:tcW w:w="1095" w:type="pct"/>
            <w:tcBorders>
              <w:bottom w:val="single" w:color="auto" w:sz="12" w:space="0"/>
            </w:tcBorders>
            <w:vAlign w:val="center"/>
          </w:tcPr>
          <w:p w14:paraId="7008FA9F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.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06 (-0.30,0.19)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:vertAlign w:val="superscript"/>
                <w14:ligatures w14:val="standardContextual"/>
              </w:rPr>
              <w:t>b</w:t>
            </w:r>
          </w:p>
        </w:tc>
        <w:tc>
          <w:tcPr>
            <w:tcW w:w="464" w:type="pct"/>
            <w:tcBorders>
              <w:bottom w:val="single" w:color="auto" w:sz="12" w:space="0"/>
            </w:tcBorders>
            <w:vAlign w:val="center"/>
          </w:tcPr>
          <w:p w14:paraId="2383A704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0.49</w:t>
            </w:r>
          </w:p>
        </w:tc>
        <w:tc>
          <w:tcPr>
            <w:tcW w:w="364" w:type="pct"/>
            <w:tcBorders>
              <w:bottom w:val="single" w:color="auto" w:sz="12" w:space="0"/>
            </w:tcBorders>
            <w:vAlign w:val="center"/>
          </w:tcPr>
          <w:p w14:paraId="0CAB04AC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0.626</w:t>
            </w:r>
          </w:p>
        </w:tc>
      </w:tr>
    </w:tbl>
    <w:p w14:paraId="5C703E27">
      <w:pPr>
        <w:autoSpaceDE w:val="0"/>
        <w:autoSpaceDN w:val="0"/>
        <w:adjustRightInd w:val="0"/>
        <w:rPr>
          <w:rFonts w:ascii="Times New Roman" w:hAnsi="Times New Roman" w:eastAsia="等线" w:cs="MingLiU"/>
          <w:color w:val="010205"/>
          <w:kern w:val="0"/>
          <w:sz w:val="16"/>
          <w:szCs w:val="16"/>
          <w14:ligatures w14:val="standardContextual"/>
        </w:rPr>
      </w:pPr>
      <w:r>
        <w:rPr>
          <w:rFonts w:ascii="Times New Roman" w:hAnsi="Times New Roman" w:eastAsia="等线" w:cs="MingLiU"/>
          <w:color w:val="010205"/>
          <w:kern w:val="0"/>
          <w:sz w:val="16"/>
          <w:szCs w:val="16"/>
          <w14:ligatures w14:val="standardContextual"/>
        </w:rPr>
        <w:t>Note: Bold values indicate statistical significance (</w:t>
      </w:r>
      <w:r>
        <w:rPr>
          <w:rFonts w:ascii="Times New Roman" w:hAnsi="Times New Roman" w:eastAsia="等线" w:cs="MingLiU"/>
          <w:i/>
          <w:iCs/>
          <w:color w:val="010205"/>
          <w:kern w:val="0"/>
          <w:sz w:val="16"/>
          <w:szCs w:val="16"/>
          <w14:ligatures w14:val="standardContextual"/>
        </w:rPr>
        <w:t>P</w:t>
      </w:r>
      <w:r>
        <w:rPr>
          <w:rFonts w:ascii="Times New Roman" w:hAnsi="Times New Roman" w:eastAsia="等线" w:cs="MingLiU"/>
          <w:color w:val="010205"/>
          <w:kern w:val="0"/>
          <w:sz w:val="16"/>
          <w:szCs w:val="16"/>
          <w14:ligatures w14:val="standardContextual"/>
        </w:rPr>
        <w:t xml:space="preserve"> &lt; 0.05).</w:t>
      </w:r>
    </w:p>
    <w:p w14:paraId="590D45B8">
      <w:pPr>
        <w:autoSpaceDE w:val="0"/>
        <w:autoSpaceDN w:val="0"/>
        <w:adjustRightInd w:val="0"/>
        <w:rPr>
          <w:rFonts w:ascii="Times New Roman" w:hAnsi="Times New Roman" w:eastAsia="等线" w:cs="MingLiU"/>
          <w:color w:val="010205"/>
          <w:kern w:val="0"/>
          <w:sz w:val="16"/>
          <w:szCs w:val="16"/>
          <w14:ligatures w14:val="standardContextual"/>
        </w:rPr>
      </w:pPr>
      <w:r>
        <w:rPr>
          <w:rFonts w:hint="eastAsia" w:ascii="Times New Roman" w:hAnsi="Times New Roman" w:eastAsia="等线" w:cs="MingLiU"/>
          <w:color w:val="010205"/>
          <w:kern w:val="0"/>
          <w:sz w:val="16"/>
          <w:szCs w:val="16"/>
          <w:vertAlign w:val="superscript"/>
          <w14:ligatures w14:val="standardContextual"/>
        </w:rPr>
        <w:t>a</w:t>
      </w:r>
      <w:r>
        <w:rPr>
          <w:rFonts w:hint="eastAsia" w:ascii="Times New Roman" w:hAnsi="Times New Roman" w:eastAsia="等线" w:cs="MingLiU"/>
          <w:color w:val="010205"/>
          <w:kern w:val="0"/>
          <w:sz w:val="16"/>
          <w:szCs w:val="16"/>
          <w14:ligatures w14:val="standardContextual"/>
        </w:rPr>
        <w:t xml:space="preserve"> </w:t>
      </w:r>
      <w:r>
        <w:rPr>
          <w:rFonts w:ascii="Times New Roman" w:hAnsi="Times New Roman" w:eastAsia="等线" w:cs="MingLiU"/>
          <w:color w:val="010205"/>
          <w:kern w:val="0"/>
          <w:sz w:val="16"/>
          <w:szCs w:val="16"/>
          <w14:ligatures w14:val="standardContextual"/>
        </w:rPr>
        <w:t xml:space="preserve">Data </w:t>
      </w:r>
      <w:r>
        <w:rPr>
          <w:rFonts w:hint="eastAsia" w:ascii="Times New Roman" w:hAnsi="Times New Roman" w:eastAsia="等线" w:cs="MingLiU"/>
          <w:color w:val="010205"/>
          <w:kern w:val="0"/>
          <w:sz w:val="16"/>
          <w:szCs w:val="16"/>
          <w14:ligatures w14:val="standardContextual"/>
        </w:rPr>
        <w:t>were</w:t>
      </w:r>
      <w:r>
        <w:rPr>
          <w:rFonts w:ascii="Times New Roman" w:hAnsi="Times New Roman" w:eastAsia="等线" w:cs="MingLiU"/>
          <w:color w:val="010205"/>
          <w:kern w:val="0"/>
          <w:sz w:val="16"/>
          <w:szCs w:val="16"/>
          <w14:ligatures w14:val="standardContextual"/>
        </w:rPr>
        <w:t xml:space="preserve"> presented as median (</w:t>
      </w:r>
      <w:r>
        <w:rPr>
          <w:rFonts w:ascii="Times New Roman" w:hAnsi="Times New Roman" w:eastAsia="等线" w:cs="MingLiU"/>
          <w:i/>
          <w:iCs/>
          <w:color w:val="010205"/>
          <w:kern w:val="0"/>
          <w:sz w:val="16"/>
          <w:szCs w:val="16"/>
          <w14:ligatures w14:val="standardContextual"/>
        </w:rPr>
        <w:t>Q1, Q3</w:t>
      </w:r>
      <w:r>
        <w:rPr>
          <w:rFonts w:ascii="Times New Roman" w:hAnsi="Times New Roman" w:eastAsia="等线" w:cs="MingLiU"/>
          <w:color w:val="010205"/>
          <w:kern w:val="0"/>
          <w:sz w:val="16"/>
          <w:szCs w:val="16"/>
          <w14:ligatures w14:val="standardContextual"/>
        </w:rPr>
        <w:t>) and analyzed by the Wilcoxon signed-rank test.</w:t>
      </w:r>
    </w:p>
    <w:p w14:paraId="6D387EBB">
      <w:pPr>
        <w:autoSpaceDE w:val="0"/>
        <w:autoSpaceDN w:val="0"/>
        <w:adjustRightInd w:val="0"/>
        <w:rPr>
          <w:rFonts w:ascii="Times New Roman" w:hAnsi="Times New Roman" w:eastAsia="等线" w:cs="MingLiU"/>
          <w:color w:val="010205"/>
          <w:kern w:val="0"/>
          <w:sz w:val="16"/>
          <w:szCs w:val="16"/>
          <w14:ligatures w14:val="standardContextual"/>
        </w:rPr>
      </w:pPr>
      <w:r>
        <w:rPr>
          <w:rFonts w:hint="eastAsia" w:ascii="Times New Roman" w:hAnsi="Times New Roman" w:eastAsia="等线" w:cs="MingLiU"/>
          <w:color w:val="010205"/>
          <w:kern w:val="0"/>
          <w:sz w:val="16"/>
          <w:szCs w:val="16"/>
          <w:vertAlign w:val="superscript"/>
          <w14:ligatures w14:val="standardContextual"/>
        </w:rPr>
        <w:t>b</w:t>
      </w:r>
      <w:r>
        <w:rPr>
          <w:rFonts w:hint="eastAsia" w:ascii="Times New Roman" w:hAnsi="Times New Roman" w:eastAsia="等线" w:cs="MingLiU"/>
          <w:color w:val="010205"/>
          <w:kern w:val="0"/>
          <w:sz w:val="16"/>
          <w:szCs w:val="16"/>
          <w14:ligatures w14:val="standardContextual"/>
        </w:rPr>
        <w:t xml:space="preserve"> </w:t>
      </w:r>
      <w:r>
        <w:rPr>
          <w:rFonts w:ascii="Times New Roman" w:hAnsi="Times New Roman" w:eastAsia="等线" w:cs="MingLiU"/>
          <w:color w:val="010205"/>
          <w:kern w:val="0"/>
          <w:sz w:val="16"/>
          <w:szCs w:val="16"/>
          <w14:ligatures w14:val="standardContextual"/>
        </w:rPr>
        <w:t xml:space="preserve">Data </w:t>
      </w:r>
      <w:r>
        <w:rPr>
          <w:rFonts w:hint="eastAsia" w:ascii="Times New Roman" w:hAnsi="Times New Roman" w:eastAsia="等线" w:cs="MingLiU"/>
          <w:color w:val="010205"/>
          <w:kern w:val="0"/>
          <w:sz w:val="16"/>
          <w:szCs w:val="16"/>
          <w14:ligatures w14:val="standardContextual"/>
        </w:rPr>
        <w:t>were</w:t>
      </w:r>
      <w:r>
        <w:rPr>
          <w:rFonts w:ascii="Times New Roman" w:hAnsi="Times New Roman" w:eastAsia="等线" w:cs="MingLiU"/>
          <w:color w:val="010205"/>
          <w:kern w:val="0"/>
          <w:sz w:val="16"/>
          <w:szCs w:val="16"/>
          <w14:ligatures w14:val="standardContextual"/>
        </w:rPr>
        <w:t xml:space="preserve"> presented as mean</w:t>
      </w:r>
      <m:oMath>
        <m:r>
          <m:rPr>
            <m:sty m:val="p"/>
          </m:rPr>
          <w:rPr>
            <w:rFonts w:ascii="Cambria Math" w:hAnsi="Cambria Math" w:eastAsia="等线" w:cs="Times New Roman"/>
            <w:kern w:val="0"/>
            <w:sz w:val="16"/>
            <w:szCs w:val="16"/>
            <w14:ligatures w14:val="standardContextual"/>
          </w:rPr>
          <m:t xml:space="preserve"> ± </m:t>
        </m:r>
      </m:oMath>
      <w:r>
        <w:rPr>
          <w:rFonts w:ascii="Times New Roman" w:hAnsi="Times New Roman" w:eastAsia="等线" w:cs="MingLiU"/>
          <w:i/>
          <w:iCs/>
          <w:color w:val="010205"/>
          <w:kern w:val="0"/>
          <w:sz w:val="16"/>
          <w:szCs w:val="16"/>
          <w14:ligatures w14:val="standardContextual"/>
        </w:rPr>
        <w:t>SD</w:t>
      </w:r>
      <w:r>
        <w:rPr>
          <w:rFonts w:ascii="Times New Roman" w:hAnsi="Times New Roman" w:eastAsia="等线" w:cs="MingLiU"/>
          <w:color w:val="010205"/>
          <w:kern w:val="0"/>
          <w:sz w:val="16"/>
          <w:szCs w:val="16"/>
          <w14:ligatures w14:val="standardContextual"/>
        </w:rPr>
        <w:t xml:space="preserve"> [with change values as mean (95% </w:t>
      </w:r>
      <w:r>
        <w:rPr>
          <w:rFonts w:ascii="Times New Roman" w:hAnsi="Times New Roman" w:eastAsia="等线" w:cs="MingLiU"/>
          <w:i/>
          <w:iCs/>
          <w:color w:val="010205"/>
          <w:kern w:val="0"/>
          <w:sz w:val="16"/>
          <w:szCs w:val="16"/>
          <w14:ligatures w14:val="standardContextual"/>
        </w:rPr>
        <w:t>CI</w:t>
      </w:r>
      <w:r>
        <w:rPr>
          <w:rFonts w:ascii="Times New Roman" w:hAnsi="Times New Roman" w:eastAsia="等线" w:cs="MingLiU"/>
          <w:color w:val="010205"/>
          <w:kern w:val="0"/>
          <w:sz w:val="16"/>
          <w:szCs w:val="16"/>
          <w14:ligatures w14:val="standardContextual"/>
        </w:rPr>
        <w:t xml:space="preserve">)] and analyzed by the paired </w:t>
      </w:r>
      <w:r>
        <w:rPr>
          <w:rFonts w:ascii="Times New Roman" w:hAnsi="Times New Roman" w:eastAsia="等线" w:cs="MingLiU"/>
          <w:i/>
          <w:iCs/>
          <w:color w:val="010205"/>
          <w:kern w:val="0"/>
          <w:sz w:val="16"/>
          <w:szCs w:val="16"/>
          <w14:ligatures w14:val="standardContextual"/>
        </w:rPr>
        <w:t>t</w:t>
      </w:r>
      <w:r>
        <w:rPr>
          <w:rFonts w:hint="eastAsia" w:ascii="Times New Roman" w:hAnsi="Times New Roman" w:eastAsia="等线" w:cs="MingLiU"/>
          <w:color w:val="010205"/>
          <w:kern w:val="0"/>
          <w:sz w:val="16"/>
          <w:szCs w:val="16"/>
          <w14:ligatures w14:val="standardContextual"/>
        </w:rPr>
        <w:t xml:space="preserve"> </w:t>
      </w:r>
      <w:r>
        <w:rPr>
          <w:rFonts w:ascii="Times New Roman" w:hAnsi="Times New Roman" w:eastAsia="等线" w:cs="MingLiU"/>
          <w:color w:val="010205"/>
          <w:kern w:val="0"/>
          <w:sz w:val="16"/>
          <w:szCs w:val="16"/>
          <w14:ligatures w14:val="standardContextual"/>
        </w:rPr>
        <w:t>test.</w:t>
      </w:r>
    </w:p>
    <w:p w14:paraId="2B62B270">
      <w:pPr>
        <w:autoSpaceDE w:val="0"/>
        <w:autoSpaceDN w:val="0"/>
        <w:adjustRightInd w:val="0"/>
        <w:rPr>
          <w:rFonts w:ascii="Times New Roman" w:hAnsi="Times New Roman" w:eastAsia="等线" w:cs="MingLiU"/>
          <w:color w:val="010205"/>
          <w:kern w:val="0"/>
          <w:sz w:val="16"/>
          <w:szCs w:val="16"/>
          <w14:ligatures w14:val="standardContextual"/>
        </w:rPr>
      </w:pPr>
      <w:r>
        <w:rPr>
          <w:rFonts w:ascii="Times New Roman" w:hAnsi="Times New Roman" w:eastAsia="等线" w:cs="MingLiU"/>
          <w:color w:val="010205"/>
          <w:kern w:val="0"/>
          <w:sz w:val="16"/>
          <w:szCs w:val="16"/>
          <w14:ligatures w14:val="standardContextual"/>
        </w:rPr>
        <w:t>This sensitivity analysis include</w:t>
      </w:r>
      <w:r>
        <w:rPr>
          <w:rFonts w:hint="eastAsia" w:ascii="Times New Roman" w:hAnsi="Times New Roman" w:eastAsia="等线" w:cs="MingLiU"/>
          <w:color w:val="010205"/>
          <w:kern w:val="0"/>
          <w:sz w:val="16"/>
          <w:szCs w:val="16"/>
          <w14:ligatures w14:val="standardContextual"/>
        </w:rPr>
        <w:t>d</w:t>
      </w:r>
      <w:r>
        <w:rPr>
          <w:rFonts w:ascii="Times New Roman" w:hAnsi="Times New Roman" w:eastAsia="等线" w:cs="MingLiU"/>
          <w:color w:val="010205"/>
          <w:kern w:val="0"/>
          <w:sz w:val="16"/>
          <w:szCs w:val="16"/>
          <w14:ligatures w14:val="standardContextual"/>
        </w:rPr>
        <w:t xml:space="preserve"> data from only one eligible eye per subject (</w:t>
      </w:r>
      <w:r>
        <w:rPr>
          <w:rFonts w:hint="eastAsia" w:ascii="Times New Roman" w:hAnsi="Times New Roman" w:eastAsia="等线" w:cs="MingLiU"/>
          <w:i/>
          <w:iCs/>
          <w:color w:val="010205"/>
          <w:kern w:val="0"/>
          <w:sz w:val="16"/>
          <w:szCs w:val="16"/>
          <w14:ligatures w14:val="standardContextual"/>
        </w:rPr>
        <w:t>N</w:t>
      </w:r>
      <w:r>
        <w:rPr>
          <w:rFonts w:hint="eastAsia" w:ascii="Times New Roman" w:hAnsi="Times New Roman" w:eastAsia="等线" w:cs="MingLiU"/>
          <w:color w:val="010205"/>
          <w:kern w:val="0"/>
          <w:sz w:val="16"/>
          <w:szCs w:val="16"/>
          <w14:ligatures w14:val="standardContextual"/>
        </w:rPr>
        <w:t xml:space="preserve"> = 35</w:t>
      </w:r>
      <w:r>
        <w:rPr>
          <w:rFonts w:ascii="Times New Roman" w:hAnsi="Times New Roman" w:eastAsia="等线" w:cs="MingLiU"/>
          <w:color w:val="010205"/>
          <w:kern w:val="0"/>
          <w:sz w:val="16"/>
          <w:szCs w:val="16"/>
          <w14:ligatures w14:val="standardContextual"/>
        </w:rPr>
        <w:t>). The right eye was primarily selected; however, if the right eye failed to meet the predefined image quality threshold (signal quality score &lt; 8), the fellow left eye was included.</w:t>
      </w:r>
    </w:p>
    <w:p w14:paraId="046438C0">
      <w:pPr>
        <w:rPr>
          <w:rFonts w:ascii="Times New Roman" w:hAnsi="Times New Roman"/>
          <w:sz w:val="24"/>
          <w14:ligatures w14:val="standardContextual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3E1CADC">
      <w:pPr>
        <w:spacing w:line="480" w:lineRule="auto"/>
        <w:rPr>
          <w:rFonts w:ascii="Times New Roman" w:hAnsi="Times New Roman"/>
          <w:sz w:val="24"/>
          <w14:ligatures w14:val="standardContextual"/>
        </w:rPr>
      </w:pPr>
      <w:r>
        <w:rPr>
          <w:rFonts w:ascii="Times New Roman" w:hAnsi="Times New Roman"/>
          <w:sz w:val="24"/>
          <w14:ligatures w14:val="standardContextual"/>
        </w:rPr>
        <w:t>Supplementary Table S2. Sensitivity Analysis of Acute Changes in Cone Cell Voronoi Polygons Using Unilateral Data (Right Eyes).</w:t>
      </w:r>
    </w:p>
    <w:tbl>
      <w:tblPr>
        <w:tblStyle w:val="3"/>
        <w:tblW w:w="480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7"/>
        <w:gridCol w:w="1762"/>
        <w:gridCol w:w="1541"/>
        <w:gridCol w:w="1561"/>
        <w:gridCol w:w="848"/>
        <w:gridCol w:w="709"/>
      </w:tblGrid>
      <w:tr w14:paraId="25D2D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9" w:type="pc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58301ABC">
            <w:pPr>
              <w:autoSpaceDE w:val="0"/>
              <w:autoSpaceDN w:val="0"/>
              <w:adjustRightInd w:val="0"/>
              <w:snapToGrid w:val="0"/>
              <w:spacing w:line="280" w:lineRule="exact"/>
              <w:jc w:val="left"/>
              <w:rPr>
                <w:rFonts w:ascii="Times New Roman" w:hAnsi="Times New Roman" w:eastAsia="等线" w:cs="MingLiU"/>
                <w:color w:val="010205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MingLiU"/>
                <w:color w:val="010205"/>
                <w:kern w:val="0"/>
                <w:sz w:val="16"/>
                <w:szCs w:val="16"/>
                <w14:ligatures w14:val="standardContextual"/>
              </w:rPr>
              <w:t>Parameters</w:t>
            </w:r>
          </w:p>
        </w:tc>
        <w:tc>
          <w:tcPr>
            <w:tcW w:w="1076" w:type="pc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487E7CB5">
            <w:pPr>
              <w:autoSpaceDE w:val="0"/>
              <w:autoSpaceDN w:val="0"/>
              <w:adjustRightInd w:val="0"/>
              <w:snapToGrid w:val="0"/>
              <w:spacing w:line="280" w:lineRule="exact"/>
              <w:jc w:val="left"/>
              <w:rPr>
                <w:rFonts w:ascii="Times New Roman" w:hAnsi="Times New Roman" w:eastAsia="等线" w:cs="MingLiU"/>
                <w:color w:val="010205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P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re-game</w:t>
            </w:r>
          </w:p>
        </w:tc>
        <w:tc>
          <w:tcPr>
            <w:tcW w:w="941" w:type="pc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37830080">
            <w:pPr>
              <w:autoSpaceDE w:val="0"/>
              <w:autoSpaceDN w:val="0"/>
              <w:adjustRightInd w:val="0"/>
              <w:snapToGrid w:val="0"/>
              <w:spacing w:line="280" w:lineRule="exact"/>
              <w:jc w:val="left"/>
              <w:rPr>
                <w:rFonts w:ascii="Times New Roman" w:hAnsi="Times New Roman" w:eastAsia="等线" w:cs="MingLiU"/>
                <w:color w:val="010205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P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ost-game</w:t>
            </w:r>
          </w:p>
        </w:tc>
        <w:tc>
          <w:tcPr>
            <w:tcW w:w="953" w:type="pc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37B6F2B0">
            <w:pPr>
              <w:autoSpaceDE w:val="0"/>
              <w:autoSpaceDN w:val="0"/>
              <w:adjustRightInd w:val="0"/>
              <w:snapToGrid w:val="0"/>
              <w:spacing w:line="280" w:lineRule="exact"/>
              <w:jc w:val="left"/>
              <w:rPr>
                <w:rFonts w:ascii="Times New Roman" w:hAnsi="Times New Roman" w:eastAsia="等线" w:cs="MingLiU"/>
                <w:color w:val="010205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MingLiU"/>
                <w:color w:val="010205"/>
                <w:kern w:val="0"/>
                <w:sz w:val="16"/>
                <w:szCs w:val="16"/>
                <w14:ligatures w14:val="standardContextual"/>
              </w:rPr>
              <w:t>Change</w:t>
            </w:r>
          </w:p>
        </w:tc>
        <w:tc>
          <w:tcPr>
            <w:tcW w:w="518" w:type="pc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008908A8">
            <w:pPr>
              <w:autoSpaceDE w:val="0"/>
              <w:autoSpaceDN w:val="0"/>
              <w:adjustRightInd w:val="0"/>
              <w:snapToGrid w:val="0"/>
              <w:spacing w:line="280" w:lineRule="exact"/>
              <w:jc w:val="left"/>
              <w:rPr>
                <w:rFonts w:ascii="Times New Roman" w:hAnsi="Times New Roman" w:eastAsia="宋体" w:cs="MingLiU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宋体" w:cs="MingLiU"/>
                <w:kern w:val="0"/>
                <w:sz w:val="16"/>
                <w:szCs w:val="16"/>
                <w14:ligatures w14:val="standardContextual"/>
              </w:rPr>
              <w:t>S</w:t>
            </w:r>
            <w:r>
              <w:rPr>
                <w:rFonts w:ascii="Times New Roman" w:hAnsi="Times New Roman" w:eastAsia="宋体" w:cs="MingLiU"/>
                <w:kern w:val="0"/>
                <w:sz w:val="16"/>
                <w:szCs w:val="16"/>
                <w14:ligatures w14:val="standardContextual"/>
              </w:rPr>
              <w:t>tatistic</w:t>
            </w:r>
          </w:p>
        </w:tc>
        <w:tc>
          <w:tcPr>
            <w:tcW w:w="433" w:type="pc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241DC9C8">
            <w:pPr>
              <w:autoSpaceDE w:val="0"/>
              <w:autoSpaceDN w:val="0"/>
              <w:adjustRightInd w:val="0"/>
              <w:snapToGrid w:val="0"/>
              <w:spacing w:line="280" w:lineRule="exact"/>
              <w:jc w:val="left"/>
              <w:rPr>
                <w:rFonts w:ascii="Times New Roman" w:hAnsi="Times New Roman" w:eastAsia="等线" w:cs="MingLiU"/>
                <w:i/>
                <w:iCs/>
                <w:color w:val="010205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宋体" w:cs="MingLiU"/>
                <w:i/>
                <w:iCs/>
                <w:kern w:val="0"/>
                <w:sz w:val="16"/>
                <w:szCs w:val="16"/>
                <w14:ligatures w14:val="standardContextual"/>
              </w:rPr>
              <w:t>P</w:t>
            </w:r>
          </w:p>
        </w:tc>
      </w:tr>
      <w:tr w14:paraId="64584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6"/>
            <w:tcBorders>
              <w:top w:val="single" w:color="auto" w:sz="6" w:space="0"/>
            </w:tcBorders>
            <w:vAlign w:val="center"/>
          </w:tcPr>
          <w:p w14:paraId="23EA0897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宋体" w:cs="MingLiU"/>
                <w:i/>
                <w:iCs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MingLiU"/>
                <w:b/>
                <w:bCs/>
                <w:color w:val="010205"/>
                <w:kern w:val="0"/>
                <w:sz w:val="16"/>
                <w:szCs w:val="16"/>
                <w14:ligatures w14:val="standardContextual"/>
              </w:rPr>
              <w:t>Temporal</w:t>
            </w:r>
            <w:r>
              <w:rPr>
                <w:rFonts w:hint="eastAsia" w:ascii="Times New Roman" w:hAnsi="Times New Roman" w:eastAsia="等线" w:cs="MingLiU"/>
                <w:b/>
                <w:bCs/>
                <w:color w:val="010205"/>
                <w:kern w:val="0"/>
                <w:sz w:val="16"/>
                <w:szCs w:val="16"/>
                <w14:ligatures w14:val="standardContextual"/>
              </w:rPr>
              <w:t xml:space="preserve"> (%)</w:t>
            </w:r>
          </w:p>
        </w:tc>
      </w:tr>
      <w:tr w14:paraId="0293C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9" w:type="pct"/>
            <w:vAlign w:val="center"/>
          </w:tcPr>
          <w:p w14:paraId="29781A52">
            <w:pPr>
              <w:autoSpaceDE w:val="0"/>
              <w:autoSpaceDN w:val="0"/>
              <w:adjustRightInd w:val="0"/>
              <w:snapToGrid w:val="0"/>
              <w:spacing w:line="280" w:lineRule="exact"/>
              <w:ind w:firstLine="160" w:firstLineChars="100"/>
              <w:jc w:val="left"/>
              <w:rPr>
                <w:rFonts w:ascii="Times New Roman" w:hAnsi="Times New Roman" w:eastAsia="等线" w:cs="MingLiU"/>
                <w:color w:val="010205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P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roportion of nn = 4</w:t>
            </w:r>
          </w:p>
        </w:tc>
        <w:tc>
          <w:tcPr>
            <w:tcW w:w="1076" w:type="pct"/>
            <w:vAlign w:val="center"/>
          </w:tcPr>
          <w:p w14:paraId="7F9695D9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MingLiU"/>
                <w:color w:val="010205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1.9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5</w:t>
            </w:r>
            <m:oMath>
              <m:r>
                <m:rPr>
                  <m:sty m:val="p"/>
                </m:rPr>
                <w:rPr>
                  <w:rFonts w:ascii="Cambria Math" w:hAnsi="Cambria Math" w:eastAsia="等线" w:cs="Times New Roman"/>
                  <w:kern w:val="0"/>
                  <w:sz w:val="16"/>
                  <w:szCs w:val="16"/>
                  <w14:ligatures w14:val="standardContextual"/>
                </w:rPr>
                <m:t xml:space="preserve"> ± </m:t>
              </m:r>
            </m:oMath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0.41</w:t>
            </w:r>
          </w:p>
        </w:tc>
        <w:tc>
          <w:tcPr>
            <w:tcW w:w="941" w:type="pct"/>
            <w:vAlign w:val="center"/>
          </w:tcPr>
          <w:p w14:paraId="4EFFB2C6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MingLiU"/>
                <w:color w:val="010205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1.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80</w:t>
            </w:r>
            <m:oMath>
              <m:r>
                <m:rPr>
                  <m:sty m:val="p"/>
                </m:rPr>
                <w:rPr>
                  <w:rFonts w:ascii="Cambria Math" w:hAnsi="Cambria Math" w:eastAsia="等线" w:cs="Times New Roman"/>
                  <w:kern w:val="0"/>
                  <w:sz w:val="16"/>
                  <w:szCs w:val="16"/>
                  <w14:ligatures w14:val="standardContextual"/>
                </w:rPr>
                <m:t xml:space="preserve"> ± </m:t>
              </m:r>
            </m:oMath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0.40</w:t>
            </w:r>
          </w:p>
        </w:tc>
        <w:tc>
          <w:tcPr>
            <w:tcW w:w="953" w:type="pct"/>
            <w:vAlign w:val="center"/>
          </w:tcPr>
          <w:p w14:paraId="427A2308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-0.16 (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-0.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 xml:space="preserve">32, 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0.0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1)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:vertAlign w:val="superscript"/>
                <w14:ligatures w14:val="standardContextual"/>
              </w:rPr>
              <w:t>a</w:t>
            </w:r>
          </w:p>
        </w:tc>
        <w:tc>
          <w:tcPr>
            <w:tcW w:w="518" w:type="pct"/>
            <w:vAlign w:val="center"/>
          </w:tcPr>
          <w:p w14:paraId="629EC039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2.02</w:t>
            </w:r>
          </w:p>
        </w:tc>
        <w:tc>
          <w:tcPr>
            <w:tcW w:w="433" w:type="pct"/>
            <w:vAlign w:val="center"/>
          </w:tcPr>
          <w:p w14:paraId="7F412E22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0.065</w:t>
            </w:r>
          </w:p>
        </w:tc>
      </w:tr>
      <w:tr w14:paraId="33A46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9" w:type="pct"/>
            <w:vAlign w:val="center"/>
          </w:tcPr>
          <w:p w14:paraId="7B9E8CF2">
            <w:pPr>
              <w:autoSpaceDE w:val="0"/>
              <w:autoSpaceDN w:val="0"/>
              <w:adjustRightInd w:val="0"/>
              <w:snapToGrid w:val="0"/>
              <w:spacing w:line="280" w:lineRule="exact"/>
              <w:ind w:firstLine="160" w:firstLineChars="10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P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roportion of nn = 5</w:t>
            </w:r>
          </w:p>
        </w:tc>
        <w:tc>
          <w:tcPr>
            <w:tcW w:w="1076" w:type="pct"/>
            <w:vAlign w:val="center"/>
          </w:tcPr>
          <w:p w14:paraId="0C922C09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MingLiU"/>
                <w:color w:val="010205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24.4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3</w:t>
            </w:r>
            <m:oMath>
              <m:r>
                <m:rPr>
                  <m:sty m:val="p"/>
                </m:rPr>
                <w:rPr>
                  <w:rFonts w:ascii="Cambria Math" w:hAnsi="Cambria Math" w:eastAsia="等线" w:cs="Times New Roman"/>
                  <w:kern w:val="0"/>
                  <w:sz w:val="16"/>
                  <w:szCs w:val="16"/>
                  <w14:ligatures w14:val="standardContextual"/>
                </w:rPr>
                <m:t xml:space="preserve"> ± </m:t>
              </m:r>
            </m:oMath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1.25</w:t>
            </w:r>
          </w:p>
        </w:tc>
        <w:tc>
          <w:tcPr>
            <w:tcW w:w="941" w:type="pct"/>
            <w:vAlign w:val="center"/>
          </w:tcPr>
          <w:p w14:paraId="5EB01315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MingLiU"/>
                <w:color w:val="010205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2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3.94</w:t>
            </w:r>
            <m:oMath>
              <m:r>
                <m:rPr>
                  <m:sty m:val="p"/>
                </m:rPr>
                <w:rPr>
                  <w:rFonts w:ascii="Cambria Math" w:hAnsi="Cambria Math" w:eastAsia="等线" w:cs="Times New Roman"/>
                  <w:kern w:val="0"/>
                  <w:sz w:val="16"/>
                  <w:szCs w:val="16"/>
                  <w14:ligatures w14:val="standardContextual"/>
                </w:rPr>
                <m:t xml:space="preserve"> ± </m:t>
              </m:r>
            </m:oMath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1.16</w:t>
            </w:r>
          </w:p>
        </w:tc>
        <w:tc>
          <w:tcPr>
            <w:tcW w:w="953" w:type="pct"/>
            <w:vAlign w:val="center"/>
          </w:tcPr>
          <w:p w14:paraId="23D90737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-0.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49 (-0.81, -0.18)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:vertAlign w:val="superscript"/>
                <w14:ligatures w14:val="standardContextual"/>
              </w:rPr>
              <w:t>a</w:t>
            </w:r>
          </w:p>
        </w:tc>
        <w:tc>
          <w:tcPr>
            <w:tcW w:w="518" w:type="pct"/>
            <w:vAlign w:val="center"/>
          </w:tcPr>
          <w:p w14:paraId="57F682C0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3.38</w:t>
            </w:r>
          </w:p>
        </w:tc>
        <w:tc>
          <w:tcPr>
            <w:tcW w:w="433" w:type="pct"/>
            <w:vAlign w:val="center"/>
          </w:tcPr>
          <w:p w14:paraId="2702DB50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standardContextual"/>
              </w:rPr>
              <w:t>0.005</w:t>
            </w:r>
          </w:p>
        </w:tc>
      </w:tr>
      <w:tr w14:paraId="7D44A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9" w:type="pct"/>
            <w:vAlign w:val="center"/>
          </w:tcPr>
          <w:p w14:paraId="44B262EB">
            <w:pPr>
              <w:autoSpaceDE w:val="0"/>
              <w:autoSpaceDN w:val="0"/>
              <w:adjustRightInd w:val="0"/>
              <w:snapToGrid w:val="0"/>
              <w:spacing w:line="280" w:lineRule="exact"/>
              <w:ind w:firstLine="160" w:firstLineChars="10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Proportion of nn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 xml:space="preserve"> 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=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 xml:space="preserve"> 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6</w:t>
            </w:r>
          </w:p>
        </w:tc>
        <w:tc>
          <w:tcPr>
            <w:tcW w:w="1076" w:type="pct"/>
            <w:vAlign w:val="center"/>
          </w:tcPr>
          <w:p w14:paraId="0A89A837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MingLiU"/>
                <w:color w:val="010205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49.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6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2</w:t>
            </w:r>
            <m:oMath>
              <m:r>
                <m:rPr>
                  <m:sty m:val="p"/>
                </m:rPr>
                <w:rPr>
                  <w:rFonts w:ascii="Cambria Math" w:hAnsi="Cambria Math" w:eastAsia="等线" w:cs="Times New Roman"/>
                  <w:kern w:val="0"/>
                  <w:sz w:val="16"/>
                  <w:szCs w:val="16"/>
                  <w14:ligatures w14:val="standardContextual"/>
                </w:rPr>
                <m:t xml:space="preserve"> ± </m:t>
              </m:r>
            </m:oMath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2.87</w:t>
            </w:r>
          </w:p>
        </w:tc>
        <w:tc>
          <w:tcPr>
            <w:tcW w:w="941" w:type="pct"/>
            <w:vAlign w:val="center"/>
          </w:tcPr>
          <w:p w14:paraId="5E070D76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50.77</w:t>
            </w:r>
            <m:oMath>
              <m:r>
                <m:rPr>
                  <m:sty m:val="p"/>
                </m:rPr>
                <w:rPr>
                  <w:rFonts w:ascii="Cambria Math" w:hAnsi="Cambria Math" w:eastAsia="等线" w:cs="Times New Roman"/>
                  <w:kern w:val="0"/>
                  <w:sz w:val="16"/>
                  <w:szCs w:val="16"/>
                  <w14:ligatures w14:val="standardContextual"/>
                </w:rPr>
                <m:t xml:space="preserve"> ± </m:t>
              </m:r>
            </m:oMath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2.74</w:t>
            </w:r>
          </w:p>
        </w:tc>
        <w:tc>
          <w:tcPr>
            <w:tcW w:w="953" w:type="pct"/>
            <w:vAlign w:val="center"/>
          </w:tcPr>
          <w:p w14:paraId="4F9C4CA5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1.15 (0.32, 1.99)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:vertAlign w:val="superscript"/>
                <w14:ligatures w14:val="standardContextual"/>
              </w:rPr>
              <w:t>a</w:t>
            </w:r>
          </w:p>
        </w:tc>
        <w:tc>
          <w:tcPr>
            <w:tcW w:w="518" w:type="pct"/>
            <w:vAlign w:val="center"/>
          </w:tcPr>
          <w:p w14:paraId="3A353B8B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-2.98</w:t>
            </w:r>
          </w:p>
        </w:tc>
        <w:tc>
          <w:tcPr>
            <w:tcW w:w="433" w:type="pct"/>
            <w:vAlign w:val="center"/>
          </w:tcPr>
          <w:p w14:paraId="273A2907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standardContextual"/>
              </w:rPr>
              <w:t>0.011</w:t>
            </w:r>
          </w:p>
        </w:tc>
      </w:tr>
      <w:tr w14:paraId="4E867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9" w:type="pct"/>
            <w:vAlign w:val="center"/>
          </w:tcPr>
          <w:p w14:paraId="4E309A57">
            <w:pPr>
              <w:autoSpaceDE w:val="0"/>
              <w:autoSpaceDN w:val="0"/>
              <w:adjustRightInd w:val="0"/>
              <w:snapToGrid w:val="0"/>
              <w:spacing w:line="280" w:lineRule="exact"/>
              <w:ind w:firstLine="160" w:firstLineChars="10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P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roportion of nn = 7</w:t>
            </w:r>
          </w:p>
        </w:tc>
        <w:tc>
          <w:tcPr>
            <w:tcW w:w="1076" w:type="pct"/>
            <w:vAlign w:val="center"/>
          </w:tcPr>
          <w:p w14:paraId="399DDDFD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20.93</w:t>
            </w:r>
            <m:oMath>
              <m:r>
                <m:rPr>
                  <m:sty m:val="p"/>
                </m:rPr>
                <w:rPr>
                  <w:rFonts w:ascii="Cambria Math" w:hAnsi="Cambria Math" w:eastAsia="等线" w:cs="Times New Roman"/>
                  <w:kern w:val="0"/>
                  <w:sz w:val="16"/>
                  <w:szCs w:val="16"/>
                  <w14:ligatures w14:val="standardContextual"/>
                </w:rPr>
                <m:t xml:space="preserve"> ± </m:t>
              </m:r>
            </m:oMath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0.63</w:t>
            </w:r>
          </w:p>
        </w:tc>
        <w:tc>
          <w:tcPr>
            <w:tcW w:w="941" w:type="pct"/>
            <w:vAlign w:val="center"/>
          </w:tcPr>
          <w:p w14:paraId="7859F957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20.69</w:t>
            </w:r>
            <m:oMath>
              <m:r>
                <m:rPr>
                  <m:sty m:val="p"/>
                </m:rPr>
                <w:rPr>
                  <w:rFonts w:ascii="Cambria Math" w:hAnsi="Cambria Math" w:eastAsia="等线" w:cs="Times New Roman"/>
                  <w:kern w:val="0"/>
                  <w:sz w:val="16"/>
                  <w:szCs w:val="16"/>
                  <w14:ligatures w14:val="standardContextual"/>
                </w:rPr>
                <m:t xml:space="preserve"> ± </m:t>
              </m:r>
            </m:oMath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0.58</w:t>
            </w:r>
          </w:p>
        </w:tc>
        <w:tc>
          <w:tcPr>
            <w:tcW w:w="953" w:type="pct"/>
            <w:vAlign w:val="center"/>
          </w:tcPr>
          <w:p w14:paraId="2EBF74EB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-0.24 (-0.50, 0.01)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:vertAlign w:val="superscript"/>
                <w14:ligatures w14:val="standardContextual"/>
              </w:rPr>
              <w:t>a</w:t>
            </w:r>
          </w:p>
        </w:tc>
        <w:tc>
          <w:tcPr>
            <w:tcW w:w="518" w:type="pct"/>
            <w:vAlign w:val="center"/>
          </w:tcPr>
          <w:p w14:paraId="01F52E05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2.04</w:t>
            </w:r>
          </w:p>
        </w:tc>
        <w:tc>
          <w:tcPr>
            <w:tcW w:w="433" w:type="pct"/>
            <w:vAlign w:val="center"/>
          </w:tcPr>
          <w:p w14:paraId="35F336B5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0.062</w:t>
            </w:r>
          </w:p>
        </w:tc>
      </w:tr>
      <w:tr w14:paraId="6E535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9" w:type="pct"/>
            <w:vAlign w:val="center"/>
          </w:tcPr>
          <w:p w14:paraId="186D7932">
            <w:pPr>
              <w:autoSpaceDE w:val="0"/>
              <w:autoSpaceDN w:val="0"/>
              <w:adjustRightInd w:val="0"/>
              <w:snapToGrid w:val="0"/>
              <w:spacing w:line="280" w:lineRule="exact"/>
              <w:ind w:firstLine="160" w:firstLineChars="10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P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roportion of</w:t>
            </w:r>
          </w:p>
          <w:p w14:paraId="3ACF2EA8">
            <w:pPr>
              <w:autoSpaceDE w:val="0"/>
              <w:autoSpaceDN w:val="0"/>
              <w:adjustRightInd w:val="0"/>
              <w:snapToGrid w:val="0"/>
              <w:spacing w:line="280" w:lineRule="exact"/>
              <w:ind w:firstLine="160" w:firstLineChars="10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non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hexagonal cells</w:t>
            </w:r>
          </w:p>
        </w:tc>
        <w:tc>
          <w:tcPr>
            <w:tcW w:w="1076" w:type="pct"/>
            <w:vAlign w:val="center"/>
          </w:tcPr>
          <w:p w14:paraId="393DC56A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50.39</w:t>
            </w:r>
            <m:oMath>
              <m:r>
                <m:rPr>
                  <m:sty m:val="p"/>
                </m:rPr>
                <w:rPr>
                  <w:rFonts w:ascii="Cambria Math" w:hAnsi="Cambria Math" w:eastAsia="等线" w:cs="Times New Roman"/>
                  <w:kern w:val="0"/>
                  <w:sz w:val="16"/>
                  <w:szCs w:val="16"/>
                  <w14:ligatures w14:val="standardContextual"/>
                </w:rPr>
                <m:t xml:space="preserve"> ± </m:t>
              </m:r>
            </m:oMath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2.88</w:t>
            </w:r>
          </w:p>
        </w:tc>
        <w:tc>
          <w:tcPr>
            <w:tcW w:w="941" w:type="pct"/>
            <w:vAlign w:val="center"/>
          </w:tcPr>
          <w:p w14:paraId="11CB39F2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49.23</w:t>
            </w:r>
            <m:oMath>
              <m:r>
                <m:rPr>
                  <m:sty m:val="p"/>
                </m:rPr>
                <w:rPr>
                  <w:rFonts w:ascii="Cambria Math" w:hAnsi="Cambria Math" w:eastAsia="等线" w:cs="Times New Roman"/>
                  <w:kern w:val="0"/>
                  <w:sz w:val="16"/>
                  <w:szCs w:val="16"/>
                  <w14:ligatures w14:val="standardContextual"/>
                </w:rPr>
                <m:t xml:space="preserve"> ±</m:t>
              </m:r>
            </m:oMath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2.74</w:t>
            </w:r>
          </w:p>
        </w:tc>
        <w:tc>
          <w:tcPr>
            <w:tcW w:w="953" w:type="pct"/>
            <w:vAlign w:val="center"/>
          </w:tcPr>
          <w:p w14:paraId="3C7AA280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1.15 (-1.99, -0.32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)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:vertAlign w:val="superscript"/>
                <w14:ligatures w14:val="standardContextual"/>
              </w:rPr>
              <w:t>a</w:t>
            </w:r>
          </w:p>
        </w:tc>
        <w:tc>
          <w:tcPr>
            <w:tcW w:w="518" w:type="pct"/>
            <w:vAlign w:val="center"/>
          </w:tcPr>
          <w:p w14:paraId="47B8DB12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3.00</w:t>
            </w:r>
          </w:p>
        </w:tc>
        <w:tc>
          <w:tcPr>
            <w:tcW w:w="433" w:type="pct"/>
            <w:vAlign w:val="center"/>
          </w:tcPr>
          <w:p w14:paraId="19B921D3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standardContextual"/>
              </w:rPr>
              <w:t>0.010</w:t>
            </w:r>
          </w:p>
        </w:tc>
      </w:tr>
      <w:tr w14:paraId="2CC47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6"/>
            <w:vAlign w:val="center"/>
          </w:tcPr>
          <w:p w14:paraId="0F683BA2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standardContextual"/>
              </w:rPr>
              <w:t>Mean</w:t>
            </w:r>
            <w:r>
              <w:rPr>
                <w:rFonts w:hint="eastAsia" w:ascii="Times New Roman" w:hAnsi="Times New Roman" w:eastAsia="等线" w:cs="Times New Roman"/>
                <w:b/>
                <w:bCs/>
                <w:kern w:val="0"/>
                <w:sz w:val="16"/>
                <w:szCs w:val="16"/>
                <w:vertAlign w:val="superscript"/>
                <w14:ligatures w14:val="standardContextual"/>
              </w:rPr>
              <w:t>b</w:t>
            </w:r>
            <w:r>
              <w:rPr>
                <w:rFonts w:hint="eastAsia"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standardContextual"/>
              </w:rPr>
              <w:t xml:space="preserve"> </w:t>
            </w:r>
            <w:r>
              <w:rPr>
                <w:rFonts w:hint="eastAsia" w:ascii="Times New Roman" w:hAnsi="Times New Roman" w:eastAsia="等线" w:cs="MingLiU"/>
                <w:b/>
                <w:bCs/>
                <w:color w:val="010205"/>
                <w:kern w:val="0"/>
                <w:sz w:val="16"/>
                <w:szCs w:val="16"/>
                <w14:ligatures w14:val="standardContextual"/>
              </w:rPr>
              <w:t>(%)</w:t>
            </w:r>
          </w:p>
        </w:tc>
      </w:tr>
      <w:tr w14:paraId="1BBA9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9" w:type="pct"/>
            <w:vAlign w:val="center"/>
          </w:tcPr>
          <w:p w14:paraId="0922E97F">
            <w:pPr>
              <w:autoSpaceDE w:val="0"/>
              <w:autoSpaceDN w:val="0"/>
              <w:adjustRightInd w:val="0"/>
              <w:snapToGrid w:val="0"/>
              <w:spacing w:line="280" w:lineRule="exact"/>
              <w:ind w:firstLine="160" w:firstLineChars="100"/>
              <w:jc w:val="left"/>
              <w:rPr>
                <w:rFonts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P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roportion of nn = 4</w:t>
            </w:r>
          </w:p>
        </w:tc>
        <w:tc>
          <w:tcPr>
            <w:tcW w:w="1076" w:type="pct"/>
            <w:vAlign w:val="center"/>
          </w:tcPr>
          <w:p w14:paraId="1B646DA7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2.20</w:t>
            </w:r>
            <m:oMath>
              <m:r>
                <m:rPr>
                  <m:sty m:val="p"/>
                </m:rPr>
                <w:rPr>
                  <w:rFonts w:ascii="Cambria Math" w:hAnsi="Cambria Math" w:eastAsia="等线" w:cs="Times New Roman"/>
                  <w:kern w:val="0"/>
                  <w:sz w:val="16"/>
                  <w:szCs w:val="16"/>
                  <w14:ligatures w14:val="standardContextual"/>
                </w:rPr>
                <m:t xml:space="preserve"> ± </m:t>
              </m:r>
            </m:oMath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0.35</w:t>
            </w:r>
          </w:p>
        </w:tc>
        <w:tc>
          <w:tcPr>
            <w:tcW w:w="941" w:type="pct"/>
            <w:vAlign w:val="center"/>
          </w:tcPr>
          <w:p w14:paraId="76CF6234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2.13</w:t>
            </w:r>
            <m:oMath>
              <m:r>
                <m:rPr>
                  <m:sty m:val="p"/>
                </m:rPr>
                <w:rPr>
                  <w:rFonts w:ascii="Cambria Math" w:hAnsi="Cambria Math" w:eastAsia="等线" w:cs="Times New Roman"/>
                  <w:kern w:val="0"/>
                  <w:sz w:val="16"/>
                  <w:szCs w:val="16"/>
                  <w14:ligatures w14:val="standardContextual"/>
                </w:rPr>
                <m:t xml:space="preserve"> ± </m:t>
              </m:r>
            </m:oMath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0.42</w:t>
            </w:r>
          </w:p>
        </w:tc>
        <w:tc>
          <w:tcPr>
            <w:tcW w:w="953" w:type="pct"/>
            <w:vAlign w:val="center"/>
          </w:tcPr>
          <w:p w14:paraId="0CF74A1F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-0.07 (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-0.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 xml:space="preserve">18, 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0.0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4)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:vertAlign w:val="superscript"/>
                <w14:ligatures w14:val="standardContextual"/>
              </w:rPr>
              <w:t>a</w:t>
            </w:r>
          </w:p>
        </w:tc>
        <w:tc>
          <w:tcPr>
            <w:tcW w:w="518" w:type="pct"/>
            <w:vAlign w:val="center"/>
          </w:tcPr>
          <w:p w14:paraId="05E34A07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1.36</w:t>
            </w:r>
          </w:p>
        </w:tc>
        <w:tc>
          <w:tcPr>
            <w:tcW w:w="433" w:type="pct"/>
            <w:vAlign w:val="center"/>
          </w:tcPr>
          <w:p w14:paraId="7B9B9BF2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0.198</w:t>
            </w:r>
          </w:p>
        </w:tc>
      </w:tr>
      <w:tr w14:paraId="300CE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9" w:type="pct"/>
            <w:vAlign w:val="center"/>
          </w:tcPr>
          <w:p w14:paraId="6017F2BB">
            <w:pPr>
              <w:autoSpaceDE w:val="0"/>
              <w:autoSpaceDN w:val="0"/>
              <w:adjustRightInd w:val="0"/>
              <w:snapToGrid w:val="0"/>
              <w:spacing w:line="280" w:lineRule="exact"/>
              <w:ind w:firstLine="160" w:firstLineChars="10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P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roportion of nn = 5</w:t>
            </w:r>
          </w:p>
        </w:tc>
        <w:tc>
          <w:tcPr>
            <w:tcW w:w="1076" w:type="pct"/>
            <w:vAlign w:val="center"/>
          </w:tcPr>
          <w:p w14:paraId="11C7CD26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24.60 (23.97, 25.60)</w:t>
            </w:r>
          </w:p>
        </w:tc>
        <w:tc>
          <w:tcPr>
            <w:tcW w:w="941" w:type="pct"/>
            <w:vAlign w:val="center"/>
          </w:tcPr>
          <w:p w14:paraId="3915DCC8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24.28 (23.49, 25.48)</w:t>
            </w:r>
          </w:p>
        </w:tc>
        <w:tc>
          <w:tcPr>
            <w:tcW w:w="953" w:type="pct"/>
            <w:vAlign w:val="center"/>
          </w:tcPr>
          <w:p w14:paraId="16C3C46B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-0.27 (-0.43, -0.05)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:vertAlign w:val="superscript"/>
                <w14:ligatures w14:val="standardContextual"/>
              </w:rPr>
              <w:t>c</w:t>
            </w:r>
          </w:p>
        </w:tc>
        <w:tc>
          <w:tcPr>
            <w:tcW w:w="518" w:type="pct"/>
            <w:vAlign w:val="center"/>
          </w:tcPr>
          <w:p w14:paraId="6F52F597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-2.48</w:t>
            </w:r>
          </w:p>
        </w:tc>
        <w:tc>
          <w:tcPr>
            <w:tcW w:w="433" w:type="pct"/>
            <w:vAlign w:val="center"/>
          </w:tcPr>
          <w:p w14:paraId="5CA48EF3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standardContextual"/>
              </w:rPr>
              <w:t>0.013</w:t>
            </w:r>
          </w:p>
        </w:tc>
      </w:tr>
      <w:tr w14:paraId="04A04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9" w:type="pct"/>
            <w:vAlign w:val="center"/>
          </w:tcPr>
          <w:p w14:paraId="7ACA6387">
            <w:pPr>
              <w:autoSpaceDE w:val="0"/>
              <w:autoSpaceDN w:val="0"/>
              <w:adjustRightInd w:val="0"/>
              <w:snapToGrid w:val="0"/>
              <w:spacing w:line="280" w:lineRule="exact"/>
              <w:ind w:firstLine="160" w:firstLineChars="10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Proportion of nn = 6</w:t>
            </w:r>
          </w:p>
        </w:tc>
        <w:tc>
          <w:tcPr>
            <w:tcW w:w="1076" w:type="pct"/>
            <w:vAlign w:val="center"/>
          </w:tcPr>
          <w:p w14:paraId="41593A30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48.84</w:t>
            </w:r>
            <m:oMath>
              <m:r>
                <m:rPr>
                  <m:sty m:val="p"/>
                </m:rPr>
                <w:rPr>
                  <w:rFonts w:ascii="Cambria Math" w:hAnsi="Cambria Math" w:eastAsia="等线" w:cs="Times New Roman"/>
                  <w:kern w:val="0"/>
                  <w:sz w:val="16"/>
                  <w:szCs w:val="16"/>
                  <w14:ligatures w14:val="standardContextual"/>
                </w:rPr>
                <m:t xml:space="preserve"> ± </m:t>
              </m:r>
            </m:oMath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2.34</w:t>
            </w:r>
          </w:p>
        </w:tc>
        <w:tc>
          <w:tcPr>
            <w:tcW w:w="941" w:type="pct"/>
            <w:vAlign w:val="center"/>
          </w:tcPr>
          <w:p w14:paraId="171A1EEE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49.44</w:t>
            </w:r>
            <m:oMath>
              <m:r>
                <m:rPr>
                  <m:sty m:val="p"/>
                </m:rPr>
                <w:rPr>
                  <w:rFonts w:ascii="Cambria Math" w:hAnsi="Cambria Math" w:eastAsia="等线" w:cs="Times New Roman"/>
                  <w:kern w:val="0"/>
                  <w:sz w:val="16"/>
                  <w:szCs w:val="16"/>
                  <w14:ligatures w14:val="standardContextual"/>
                </w:rPr>
                <m:t xml:space="preserve"> ± </m:t>
              </m:r>
              <m:r>
                <m:rPr>
                  <m:sty m:val="p"/>
                </m:rPr>
                <w:rPr>
                  <w:rFonts w:ascii="Cambria Math" w:hAnsi="Times New Roman" w:eastAsia="等线" w:cs="Times New Roman"/>
                  <w:kern w:val="0"/>
                  <w:sz w:val="16"/>
                  <w:szCs w:val="16"/>
                  <w14:ligatures w14:val="standardContextual"/>
                </w:rPr>
                <m:t>2</m:t>
              </m:r>
            </m:oMath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.58</w:t>
            </w:r>
          </w:p>
        </w:tc>
        <w:tc>
          <w:tcPr>
            <w:tcW w:w="953" w:type="pct"/>
            <w:vAlign w:val="center"/>
          </w:tcPr>
          <w:p w14:paraId="60213B9E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0.60 (0.10, 1.10)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:vertAlign w:val="superscript"/>
                <w14:ligatures w14:val="standardContextual"/>
              </w:rPr>
              <w:t>a</w:t>
            </w:r>
          </w:p>
        </w:tc>
        <w:tc>
          <w:tcPr>
            <w:tcW w:w="518" w:type="pct"/>
            <w:vAlign w:val="center"/>
          </w:tcPr>
          <w:p w14:paraId="75F90E36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-2.58</w:t>
            </w:r>
          </w:p>
        </w:tc>
        <w:tc>
          <w:tcPr>
            <w:tcW w:w="433" w:type="pct"/>
            <w:vAlign w:val="center"/>
          </w:tcPr>
          <w:p w14:paraId="6EA32A72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standardContextual"/>
              </w:rPr>
              <w:t>0.023</w:t>
            </w:r>
          </w:p>
        </w:tc>
      </w:tr>
      <w:tr w14:paraId="5638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9" w:type="pct"/>
            <w:vAlign w:val="center"/>
          </w:tcPr>
          <w:p w14:paraId="141AB37F">
            <w:pPr>
              <w:autoSpaceDE w:val="0"/>
              <w:autoSpaceDN w:val="0"/>
              <w:adjustRightInd w:val="0"/>
              <w:snapToGrid w:val="0"/>
              <w:spacing w:line="280" w:lineRule="exact"/>
              <w:ind w:firstLine="160" w:firstLineChars="10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P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roportion of nn = 7</w:t>
            </w:r>
          </w:p>
        </w:tc>
        <w:tc>
          <w:tcPr>
            <w:tcW w:w="1076" w:type="pct"/>
            <w:vAlign w:val="center"/>
          </w:tcPr>
          <w:p w14:paraId="5F64CB3A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20.92</w:t>
            </w:r>
            <m:oMath>
              <m:r>
                <m:rPr>
                  <m:sty m:val="p"/>
                </m:rPr>
                <w:rPr>
                  <w:rFonts w:ascii="Cambria Math" w:hAnsi="Cambria Math" w:eastAsia="等线" w:cs="Times New Roman"/>
                  <w:kern w:val="0"/>
                  <w:sz w:val="16"/>
                  <w:szCs w:val="16"/>
                  <w14:ligatures w14:val="standardContextual"/>
                </w:rPr>
                <m:t xml:space="preserve"> ± </m:t>
              </m:r>
            </m:oMath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0.51</w:t>
            </w:r>
          </w:p>
        </w:tc>
        <w:tc>
          <w:tcPr>
            <w:tcW w:w="941" w:type="pct"/>
            <w:vAlign w:val="center"/>
          </w:tcPr>
          <w:p w14:paraId="38D563D6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20.75</w:t>
            </w:r>
            <m:oMath>
              <m:r>
                <m:rPr>
                  <m:sty m:val="p"/>
                </m:rPr>
                <w:rPr>
                  <w:rFonts w:ascii="Cambria Math" w:hAnsi="Cambria Math" w:eastAsia="等线" w:cs="Times New Roman"/>
                  <w:kern w:val="0"/>
                  <w:sz w:val="16"/>
                  <w:szCs w:val="16"/>
                  <w14:ligatures w14:val="standardContextual"/>
                </w:rPr>
                <m:t xml:space="preserve"> ± </m:t>
              </m:r>
            </m:oMath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0.60</w:t>
            </w:r>
          </w:p>
        </w:tc>
        <w:tc>
          <w:tcPr>
            <w:tcW w:w="953" w:type="pct"/>
            <w:vAlign w:val="center"/>
          </w:tcPr>
          <w:p w14:paraId="6D63D491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-0.16 (-0.29, -0.04)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:vertAlign w:val="superscript"/>
                <w14:ligatures w14:val="standardContextual"/>
              </w:rPr>
              <w:t>a</w:t>
            </w:r>
          </w:p>
        </w:tc>
        <w:tc>
          <w:tcPr>
            <w:tcW w:w="518" w:type="pct"/>
            <w:vAlign w:val="center"/>
          </w:tcPr>
          <w:p w14:paraId="29DEB7FD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2.83</w:t>
            </w:r>
          </w:p>
        </w:tc>
        <w:tc>
          <w:tcPr>
            <w:tcW w:w="433" w:type="pct"/>
            <w:vAlign w:val="center"/>
          </w:tcPr>
          <w:p w14:paraId="60451B62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standardContextual"/>
              </w:rPr>
              <w:t>0.014</w:t>
            </w:r>
          </w:p>
        </w:tc>
      </w:tr>
      <w:tr w14:paraId="38CFD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9" w:type="pct"/>
            <w:tcBorders>
              <w:bottom w:val="single" w:color="auto" w:sz="12" w:space="0"/>
            </w:tcBorders>
            <w:vAlign w:val="center"/>
          </w:tcPr>
          <w:p w14:paraId="4AF3553B">
            <w:pPr>
              <w:autoSpaceDE w:val="0"/>
              <w:autoSpaceDN w:val="0"/>
              <w:adjustRightInd w:val="0"/>
              <w:snapToGrid w:val="0"/>
              <w:spacing w:line="280" w:lineRule="exact"/>
              <w:ind w:firstLine="160" w:firstLineChars="10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P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roportion of</w:t>
            </w:r>
          </w:p>
          <w:p w14:paraId="741995A4">
            <w:pPr>
              <w:autoSpaceDE w:val="0"/>
              <w:autoSpaceDN w:val="0"/>
              <w:adjustRightInd w:val="0"/>
              <w:snapToGrid w:val="0"/>
              <w:spacing w:line="280" w:lineRule="exact"/>
              <w:ind w:firstLine="160" w:firstLineChars="10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non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</w:t>
            </w: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hexagonal cells</w:t>
            </w:r>
          </w:p>
        </w:tc>
        <w:tc>
          <w:tcPr>
            <w:tcW w:w="1076" w:type="pct"/>
            <w:tcBorders>
              <w:bottom w:val="single" w:color="auto" w:sz="12" w:space="0"/>
            </w:tcBorders>
            <w:vAlign w:val="center"/>
          </w:tcPr>
          <w:p w14:paraId="148EB349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51.16</w:t>
            </w:r>
            <m:oMath>
              <m:r>
                <m:rPr>
                  <m:sty m:val="p"/>
                </m:rPr>
                <w:rPr>
                  <w:rFonts w:ascii="Cambria Math" w:hAnsi="Cambria Math" w:eastAsia="等线" w:cs="Times New Roman"/>
                  <w:kern w:val="0"/>
                  <w:sz w:val="16"/>
                  <w:szCs w:val="16"/>
                  <w14:ligatures w14:val="standardContextual"/>
                </w:rPr>
                <m:t xml:space="preserve"> ± </m:t>
              </m:r>
            </m:oMath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2.34</w:t>
            </w:r>
          </w:p>
        </w:tc>
        <w:tc>
          <w:tcPr>
            <w:tcW w:w="941" w:type="pct"/>
            <w:tcBorders>
              <w:bottom w:val="single" w:color="auto" w:sz="12" w:space="0"/>
            </w:tcBorders>
            <w:vAlign w:val="center"/>
          </w:tcPr>
          <w:p w14:paraId="4180B0FD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50.56</w:t>
            </w:r>
            <m:oMath>
              <m:r>
                <m:rPr>
                  <m:sty m:val="p"/>
                </m:rPr>
                <w:rPr>
                  <w:rFonts w:ascii="Cambria Math" w:hAnsi="Cambria Math" w:eastAsia="等线" w:cs="Times New Roman"/>
                  <w:kern w:val="0"/>
                  <w:sz w:val="16"/>
                  <w:szCs w:val="16"/>
                  <w14:ligatures w14:val="standardContextual"/>
                </w:rPr>
                <m:t xml:space="preserve"> ± </m:t>
              </m:r>
            </m:oMath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2.58</w:t>
            </w:r>
          </w:p>
        </w:tc>
        <w:tc>
          <w:tcPr>
            <w:tcW w:w="953" w:type="pct"/>
            <w:tcBorders>
              <w:bottom w:val="single" w:color="auto" w:sz="12" w:space="0"/>
            </w:tcBorders>
            <w:vAlign w:val="center"/>
          </w:tcPr>
          <w:p w14:paraId="0112BFF7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-0.60 (-1.10, -0.10)</w:t>
            </w: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:vertAlign w:val="superscript"/>
                <w14:ligatures w14:val="standardContextual"/>
              </w:rPr>
              <w:t>a</w:t>
            </w:r>
          </w:p>
        </w:tc>
        <w:tc>
          <w:tcPr>
            <w:tcW w:w="518" w:type="pct"/>
            <w:tcBorders>
              <w:bottom w:val="single" w:color="auto" w:sz="12" w:space="0"/>
            </w:tcBorders>
            <w:vAlign w:val="center"/>
          </w:tcPr>
          <w:p w14:paraId="475B2957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16"/>
                <w:szCs w:val="16"/>
                <w14:ligatures w14:val="standardContextual"/>
              </w:rPr>
              <w:t>2.58</w:t>
            </w:r>
          </w:p>
        </w:tc>
        <w:tc>
          <w:tcPr>
            <w:tcW w:w="433" w:type="pct"/>
            <w:tcBorders>
              <w:bottom w:val="single" w:color="auto" w:sz="12" w:space="0"/>
            </w:tcBorders>
            <w:vAlign w:val="center"/>
          </w:tcPr>
          <w:p w14:paraId="0F4DDACE">
            <w:pPr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kern w:val="0"/>
                <w:sz w:val="16"/>
                <w:szCs w:val="16"/>
                <w14:ligatures w14:val="standardContextual"/>
              </w:rPr>
              <w:t>0.023</w:t>
            </w:r>
          </w:p>
        </w:tc>
      </w:tr>
    </w:tbl>
    <w:p w14:paraId="190C3BCF">
      <w:pPr>
        <w:snapToGrid w:val="0"/>
        <w:spacing w:line="280" w:lineRule="exact"/>
        <w:rPr>
          <w:rFonts w:ascii="Times New Roman"/>
          <w:color w:val="010205"/>
          <w:sz w:val="16"/>
          <w:szCs w:val="16"/>
        </w:rPr>
      </w:pPr>
      <w:r>
        <w:rPr>
          <w:rFonts w:hint="eastAsia" w:ascii="Times New Roman"/>
          <w:color w:val="010205"/>
          <w:sz w:val="16"/>
          <w:szCs w:val="16"/>
        </w:rPr>
        <w:t>Note: nn:</w:t>
      </w:r>
      <w:r>
        <w:rPr>
          <w:sz w:val="16"/>
          <w:szCs w:val="16"/>
        </w:rPr>
        <w:t xml:space="preserve"> </w:t>
      </w:r>
      <w:r>
        <w:rPr>
          <w:rFonts w:hint="eastAsia" w:ascii="Times New Roman"/>
          <w:color w:val="010205"/>
          <w:sz w:val="16"/>
          <w:szCs w:val="16"/>
        </w:rPr>
        <w:t>n</w:t>
      </w:r>
      <w:r>
        <w:rPr>
          <w:rFonts w:ascii="Times New Roman"/>
          <w:color w:val="010205"/>
          <w:sz w:val="16"/>
          <w:szCs w:val="16"/>
        </w:rPr>
        <w:t xml:space="preserve">umber of </w:t>
      </w:r>
      <w:r>
        <w:rPr>
          <w:rFonts w:hint="eastAsia" w:ascii="Times New Roman"/>
          <w:color w:val="010205"/>
          <w:sz w:val="16"/>
          <w:szCs w:val="16"/>
        </w:rPr>
        <w:t>n</w:t>
      </w:r>
      <w:r>
        <w:rPr>
          <w:rFonts w:ascii="Times New Roman"/>
          <w:color w:val="010205"/>
          <w:sz w:val="16"/>
          <w:szCs w:val="16"/>
        </w:rPr>
        <w:t>eighbors</w:t>
      </w:r>
      <w:r>
        <w:rPr>
          <w:rFonts w:hint="eastAsia" w:ascii="Times New Roman"/>
          <w:color w:val="010205"/>
          <w:sz w:val="16"/>
          <w:szCs w:val="16"/>
        </w:rPr>
        <w:t>.</w:t>
      </w:r>
    </w:p>
    <w:p w14:paraId="055F40C8">
      <w:pPr>
        <w:snapToGrid w:val="0"/>
        <w:spacing w:line="280" w:lineRule="exact"/>
        <w:rPr>
          <w:rFonts w:ascii="Times New Roman"/>
          <w:color w:val="010205"/>
          <w:sz w:val="16"/>
          <w:szCs w:val="16"/>
        </w:rPr>
      </w:pPr>
      <w:r>
        <w:rPr>
          <w:rFonts w:ascii="Times New Roman"/>
          <w:color w:val="010205"/>
          <w:sz w:val="16"/>
          <w:szCs w:val="16"/>
        </w:rPr>
        <w:t>Bold values indicate statistical significance (</w:t>
      </w:r>
      <w:r>
        <w:rPr>
          <w:rFonts w:hint="eastAsia" w:ascii="Times New Roman"/>
          <w:i/>
          <w:iCs/>
          <w:color w:val="010205"/>
          <w:sz w:val="16"/>
          <w:szCs w:val="16"/>
        </w:rPr>
        <w:t>P</w:t>
      </w:r>
      <w:r>
        <w:rPr>
          <w:rFonts w:ascii="Times New Roman"/>
          <w:color w:val="010205"/>
          <w:sz w:val="16"/>
          <w:szCs w:val="16"/>
        </w:rPr>
        <w:t xml:space="preserve"> &lt; 0.05).</w:t>
      </w:r>
    </w:p>
    <w:p w14:paraId="3244DE32">
      <w:pPr>
        <w:rPr>
          <w:rFonts w:ascii="Times New Roman"/>
          <w:color w:val="010205"/>
          <w:sz w:val="16"/>
          <w:szCs w:val="16"/>
        </w:rPr>
      </w:pPr>
      <w:r>
        <w:rPr>
          <w:rFonts w:hint="eastAsia" w:ascii="Times New Roman"/>
          <w:color w:val="010205"/>
          <w:sz w:val="16"/>
          <w:szCs w:val="16"/>
          <w:vertAlign w:val="superscript"/>
        </w:rPr>
        <w:t>a</w:t>
      </w:r>
      <w:r>
        <w:rPr>
          <w:rFonts w:hint="eastAsia" w:ascii="Times New Roman"/>
          <w:color w:val="010205"/>
          <w:sz w:val="16"/>
          <w:szCs w:val="16"/>
        </w:rPr>
        <w:t xml:space="preserve"> </w:t>
      </w:r>
      <w:r>
        <w:rPr>
          <w:rFonts w:ascii="Times New Roman"/>
          <w:color w:val="010205"/>
          <w:sz w:val="16"/>
          <w:szCs w:val="16"/>
        </w:rPr>
        <w:t xml:space="preserve">Data </w:t>
      </w:r>
      <w:r>
        <w:rPr>
          <w:rFonts w:hint="eastAsia" w:ascii="Times New Roman"/>
          <w:color w:val="010205"/>
          <w:sz w:val="16"/>
          <w:szCs w:val="16"/>
        </w:rPr>
        <w:t>were</w:t>
      </w:r>
      <w:r>
        <w:rPr>
          <w:rFonts w:ascii="Times New Roman"/>
          <w:color w:val="010205"/>
          <w:sz w:val="16"/>
          <w:szCs w:val="16"/>
        </w:rPr>
        <w:t xml:space="preserve"> presented as mean</w:t>
      </w:r>
      <m:oMath>
        <m:r>
          <m:rPr>
            <m:sty m:val="p"/>
          </m:rPr>
          <w:rPr>
            <w:rFonts w:ascii="Cambria Math" w:hAnsi="Cambria Math" w:cs="Times New Roman"/>
            <w:sz w:val="16"/>
            <w:szCs w:val="16"/>
          </w:rPr>
          <m:t xml:space="preserve"> ± </m:t>
        </m:r>
      </m:oMath>
      <w:r>
        <w:rPr>
          <w:rFonts w:ascii="Times New Roman"/>
          <w:i/>
          <w:iCs/>
          <w:color w:val="010205"/>
          <w:sz w:val="16"/>
          <w:szCs w:val="16"/>
        </w:rPr>
        <w:t>SD</w:t>
      </w:r>
      <w:r>
        <w:rPr>
          <w:rFonts w:ascii="Times New Roman"/>
          <w:color w:val="010205"/>
          <w:sz w:val="16"/>
          <w:szCs w:val="16"/>
        </w:rPr>
        <w:t xml:space="preserve"> [with change values as mean (95% </w:t>
      </w:r>
      <w:r>
        <w:rPr>
          <w:rFonts w:ascii="Times New Roman"/>
          <w:i/>
          <w:iCs/>
          <w:color w:val="010205"/>
          <w:sz w:val="16"/>
          <w:szCs w:val="16"/>
        </w:rPr>
        <w:t>CI</w:t>
      </w:r>
      <w:r>
        <w:rPr>
          <w:rFonts w:ascii="Times New Roman"/>
          <w:color w:val="010205"/>
          <w:sz w:val="16"/>
          <w:szCs w:val="16"/>
        </w:rPr>
        <w:t xml:space="preserve">)] and analyzed by the paired </w:t>
      </w:r>
      <w:r>
        <w:rPr>
          <w:rFonts w:ascii="Times New Roman"/>
          <w:i/>
          <w:iCs/>
          <w:color w:val="010205"/>
          <w:sz w:val="16"/>
          <w:szCs w:val="16"/>
        </w:rPr>
        <w:t>t</w:t>
      </w:r>
      <w:r>
        <w:rPr>
          <w:rFonts w:hint="eastAsia" w:ascii="Times New Roman"/>
          <w:color w:val="010205"/>
          <w:sz w:val="16"/>
          <w:szCs w:val="16"/>
        </w:rPr>
        <w:t xml:space="preserve"> </w:t>
      </w:r>
      <w:r>
        <w:rPr>
          <w:rFonts w:ascii="Times New Roman"/>
          <w:color w:val="010205"/>
          <w:sz w:val="16"/>
          <w:szCs w:val="16"/>
        </w:rPr>
        <w:t>test.</w:t>
      </w:r>
    </w:p>
    <w:p w14:paraId="170CFE15">
      <w:pPr>
        <w:spacing w:line="280" w:lineRule="exact"/>
        <w:rPr>
          <w:rFonts w:ascii="Times New Roman"/>
          <w:color w:val="010205"/>
          <w:sz w:val="16"/>
          <w:szCs w:val="16"/>
        </w:rPr>
      </w:pPr>
      <w:r>
        <w:rPr>
          <w:rFonts w:hint="eastAsia" w:ascii="Times New Roman"/>
          <w:color w:val="010205"/>
          <w:sz w:val="16"/>
          <w:szCs w:val="16"/>
          <w:vertAlign w:val="superscript"/>
        </w:rPr>
        <w:t>b</w:t>
      </w:r>
      <w:r>
        <w:rPr>
          <w:rFonts w:hint="eastAsia" w:ascii="Times New Roman"/>
          <w:color w:val="010205"/>
          <w:sz w:val="16"/>
          <w:szCs w:val="16"/>
        </w:rPr>
        <w:t xml:space="preserve"> </w:t>
      </w:r>
      <w:r>
        <w:rPr>
          <w:rFonts w:ascii="Times New Roman"/>
          <w:color w:val="010205"/>
          <w:sz w:val="16"/>
          <w:szCs w:val="16"/>
        </w:rPr>
        <w:t>Calculated as the average of the nine macular regions imaged by AO-SLO.</w:t>
      </w:r>
    </w:p>
    <w:p w14:paraId="3315A883">
      <w:pPr>
        <w:spacing w:line="280" w:lineRule="exact"/>
        <w:rPr>
          <w:rFonts w:ascii="Times New Roman" w:hAnsi="Times New Roman"/>
          <w:sz w:val="24"/>
          <w14:ligatures w14:val="standardContextual"/>
        </w:rPr>
      </w:pPr>
      <w:r>
        <w:rPr>
          <w:rFonts w:hint="eastAsia" w:ascii="Times New Roman"/>
          <w:color w:val="010205"/>
          <w:sz w:val="16"/>
          <w:szCs w:val="16"/>
          <w:vertAlign w:val="superscript"/>
        </w:rPr>
        <w:t>c</w:t>
      </w:r>
      <w:r>
        <w:rPr>
          <w:rFonts w:hint="eastAsia" w:ascii="Times New Roman"/>
          <w:color w:val="010205"/>
          <w:sz w:val="16"/>
          <w:szCs w:val="16"/>
        </w:rPr>
        <w:t xml:space="preserve"> </w:t>
      </w:r>
      <w:r>
        <w:rPr>
          <w:rFonts w:ascii="Times New Roman"/>
          <w:color w:val="010205"/>
          <w:sz w:val="16"/>
          <w:szCs w:val="16"/>
        </w:rPr>
        <w:t xml:space="preserve">Data </w:t>
      </w:r>
      <w:r>
        <w:rPr>
          <w:rFonts w:hint="eastAsia" w:ascii="Times New Roman"/>
          <w:color w:val="010205"/>
          <w:sz w:val="16"/>
          <w:szCs w:val="16"/>
        </w:rPr>
        <w:t>were</w:t>
      </w:r>
      <w:r>
        <w:rPr>
          <w:rFonts w:ascii="Times New Roman"/>
          <w:color w:val="010205"/>
          <w:sz w:val="16"/>
          <w:szCs w:val="16"/>
        </w:rPr>
        <w:t xml:space="preserve"> presented as median (</w:t>
      </w:r>
      <w:r>
        <w:rPr>
          <w:rFonts w:ascii="Times New Roman"/>
          <w:i/>
          <w:iCs/>
          <w:color w:val="010205"/>
          <w:sz w:val="16"/>
          <w:szCs w:val="16"/>
        </w:rPr>
        <w:t>Q1, Q3</w:t>
      </w:r>
      <w:r>
        <w:rPr>
          <w:rFonts w:ascii="Times New Roman"/>
          <w:color w:val="010205"/>
          <w:sz w:val="16"/>
          <w:szCs w:val="16"/>
        </w:rPr>
        <w:t>) and analyzed by the Wilcoxon signed-rank test.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6" w:usb3="00000000" w:csb0="00100001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B81A36"/>
    <w:rsid w:val="10B81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网格型3"/>
    <w:basedOn w:val="2"/>
    <w:qFormat/>
    <w:uiPriority w:val="39"/>
    <w:rPr>
      <w:rFonts w:ascii="等线" w:hAnsi="等线" w:eastAsia="等线"/>
      <w:kern w:val="2"/>
      <w:sz w:val="22"/>
      <w:szCs w:val="24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2026-07-07T08:23:00Z</dcterms:created>
  <dc:creator>。。。</dc:creator>
  <cp:lastModifiedBy>。。。</cp:lastModifiedBy>
  <dcterms:modified xsi:type="dcterms:W3CDTF">2026-07-07T08:24:04Z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302F6F01C4AE4BE8AFB023CB6D811DB8_11</vt:lpwstr>
  </property>
  <property fmtid="{D5CDD505-2E9C-101B-9397-08002B2CF9AE}" pid="4" name="KSOTemplateDocerSaveRecord">
    <vt:lpwstr>eyJoZGlkIjoiNThkNzQ5ODdmN2NmY2ZlNDg3M2NjMzAwYTE3NjAyNzIiLCJ1c2VySWQiOiIxMjMyODQ2NDI0In0=</vt:lpwstr>
  </property>
</Properties>
</file>