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6B3D3" w14:textId="77777777" w:rsidR="00352B2C" w:rsidRPr="00691ABE" w:rsidRDefault="00352B2C">
      <w:pPr>
        <w:rPr>
          <w:rFonts w:cs="Times New Roman"/>
          <w:sz w:val="20"/>
          <w:szCs w:val="20"/>
        </w:rPr>
      </w:pPr>
    </w:p>
    <w:p w14:paraId="718D626B" w14:textId="651EDB64" w:rsidR="00352B2C" w:rsidRPr="000E0EB7" w:rsidRDefault="000E0EB7" w:rsidP="00691ABE">
      <w:pPr>
        <w:rPr>
          <w:rFonts w:cs="Times New Roman"/>
          <w:szCs w:val="24"/>
        </w:rPr>
      </w:pPr>
      <w:r w:rsidRPr="000E0EB7">
        <w:rPr>
          <w:rFonts w:cs="Times New Roman"/>
          <w:b/>
          <w:szCs w:val="24"/>
        </w:rPr>
        <w:t>Additional file 2</w:t>
      </w:r>
      <w:r w:rsidR="00000000" w:rsidRPr="000E0EB7">
        <w:rPr>
          <w:rFonts w:cs="Times New Roman"/>
          <w:b/>
          <w:szCs w:val="24"/>
        </w:rPr>
        <w:t>. Twelve-month defocus area-under-the-curve and contrast-sensitivity outcomes</w:t>
      </w:r>
    </w:p>
    <w:tbl>
      <w:tblPr>
        <w:tblStyle w:val="TabloKlavuzu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20"/>
        <w:gridCol w:w="1512"/>
        <w:gridCol w:w="1512"/>
        <w:gridCol w:w="1440"/>
        <w:gridCol w:w="1440"/>
      </w:tblGrid>
      <w:tr w:rsidR="00352B2C" w:rsidRPr="000E0EB7" w14:paraId="607F4E5B" w14:textId="77777777" w:rsidTr="00691ABE">
        <w:trPr>
          <w:jc w:val="center"/>
        </w:trPr>
        <w:tc>
          <w:tcPr>
            <w:tcW w:w="43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05889F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b/>
                <w:sz w:val="19"/>
                <w:szCs w:val="19"/>
              </w:rPr>
              <w:t>Variable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572F60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b/>
                <w:sz w:val="19"/>
                <w:szCs w:val="19"/>
              </w:rPr>
              <w:t>Trinova (n=170)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C15A22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b/>
                <w:sz w:val="19"/>
                <w:szCs w:val="19"/>
              </w:rPr>
              <w:t>Omni (n=170)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2AB7F2E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b/>
                <w:sz w:val="19"/>
                <w:szCs w:val="19"/>
              </w:rPr>
              <w:t>Unadjusted P value</w:t>
            </w:r>
          </w:p>
        </w:tc>
        <w:tc>
          <w:tcPr>
            <w:tcW w:w="1440" w:type="dxa"/>
            <w:vAlign w:val="center"/>
          </w:tcPr>
          <w:p w14:paraId="583ABD5C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b/>
                <w:sz w:val="19"/>
                <w:szCs w:val="19"/>
              </w:rPr>
              <w:t>BH-FDR P value</w:t>
            </w:r>
          </w:p>
        </w:tc>
      </w:tr>
      <w:tr w:rsidR="00352B2C" w:rsidRPr="000E0EB7" w14:paraId="7F4BEF1C" w14:textId="77777777" w:rsidTr="00691ABE">
        <w:trPr>
          <w:jc w:val="center"/>
        </w:trPr>
        <w:tc>
          <w:tcPr>
            <w:tcW w:w="43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EDF465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Defocus AUC, distance range (0 to -0.50 D)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9C5796B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0.018 ± 0.015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CFD697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0.028 ± 0.017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6814BB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&lt;.001</w:t>
            </w:r>
          </w:p>
        </w:tc>
        <w:tc>
          <w:tcPr>
            <w:tcW w:w="1440" w:type="dxa"/>
            <w:vAlign w:val="center"/>
          </w:tcPr>
          <w:p w14:paraId="72F01469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NA</w:t>
            </w:r>
          </w:p>
        </w:tc>
      </w:tr>
      <w:tr w:rsidR="00352B2C" w:rsidRPr="000E0EB7" w14:paraId="2F26D7B0" w14:textId="77777777" w:rsidTr="00691ABE">
        <w:trPr>
          <w:jc w:val="center"/>
        </w:trPr>
        <w:tc>
          <w:tcPr>
            <w:tcW w:w="43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F2105D3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Defocus AUC, intermediate range (-1.00 to -2.00 D)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0E944D8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0.080 ± 0.031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030077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0.124 ± 0.039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E35A195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&lt;.001</w:t>
            </w:r>
          </w:p>
        </w:tc>
        <w:tc>
          <w:tcPr>
            <w:tcW w:w="1440" w:type="dxa"/>
            <w:vAlign w:val="center"/>
          </w:tcPr>
          <w:p w14:paraId="5A84AE7D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NA</w:t>
            </w:r>
          </w:p>
        </w:tc>
      </w:tr>
      <w:tr w:rsidR="00352B2C" w:rsidRPr="000E0EB7" w14:paraId="6844E624" w14:textId="77777777" w:rsidTr="00691ABE">
        <w:trPr>
          <w:jc w:val="center"/>
        </w:trPr>
        <w:tc>
          <w:tcPr>
            <w:tcW w:w="43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02D5275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Defocus AUC, near range (-2.50 to -3.50 D)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C10BF9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0.131 ± 0.032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F53583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0.191 ± 0.048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12B397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&lt;.001</w:t>
            </w:r>
          </w:p>
        </w:tc>
        <w:tc>
          <w:tcPr>
            <w:tcW w:w="1440" w:type="dxa"/>
            <w:vAlign w:val="center"/>
          </w:tcPr>
          <w:p w14:paraId="5B8068E4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NA</w:t>
            </w:r>
          </w:p>
        </w:tc>
      </w:tr>
      <w:tr w:rsidR="00352B2C" w:rsidRPr="000E0EB7" w14:paraId="513C2976" w14:textId="77777777" w:rsidTr="00691ABE">
        <w:trPr>
          <w:jc w:val="center"/>
        </w:trPr>
        <w:tc>
          <w:tcPr>
            <w:tcW w:w="43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3DE1D3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 xml:space="preserve">Photopic contrast sensitivity, 3 </w:t>
            </w:r>
            <w:proofErr w:type="spellStart"/>
            <w:r w:rsidRPr="000E0EB7">
              <w:rPr>
                <w:rFonts w:cs="Times New Roman"/>
                <w:sz w:val="19"/>
                <w:szCs w:val="19"/>
              </w:rPr>
              <w:t>cpd</w:t>
            </w:r>
            <w:proofErr w:type="spellEnd"/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0D20F5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1.71 ± 0.09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B657E2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1.64 ± 0.10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563CC3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&lt;.001</w:t>
            </w:r>
          </w:p>
        </w:tc>
        <w:tc>
          <w:tcPr>
            <w:tcW w:w="1440" w:type="dxa"/>
            <w:vAlign w:val="center"/>
          </w:tcPr>
          <w:p w14:paraId="1A65DF81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&lt;.001</w:t>
            </w:r>
          </w:p>
        </w:tc>
      </w:tr>
      <w:tr w:rsidR="00352B2C" w:rsidRPr="000E0EB7" w14:paraId="62B271B4" w14:textId="77777777" w:rsidTr="00691ABE">
        <w:trPr>
          <w:jc w:val="center"/>
        </w:trPr>
        <w:tc>
          <w:tcPr>
            <w:tcW w:w="43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C0F664B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 xml:space="preserve">Photopic contrast sensitivity, 6 </w:t>
            </w:r>
            <w:proofErr w:type="spellStart"/>
            <w:r w:rsidRPr="000E0EB7">
              <w:rPr>
                <w:rFonts w:cs="Times New Roman"/>
                <w:sz w:val="19"/>
                <w:szCs w:val="19"/>
              </w:rPr>
              <w:t>cpd</w:t>
            </w:r>
            <w:proofErr w:type="spellEnd"/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D3F73B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1.54 ± 0.10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C05DCF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1.48 ± 0.12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1DBC410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&lt;.001</w:t>
            </w:r>
          </w:p>
        </w:tc>
        <w:tc>
          <w:tcPr>
            <w:tcW w:w="1440" w:type="dxa"/>
            <w:vAlign w:val="center"/>
          </w:tcPr>
          <w:p w14:paraId="26FD6903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&lt;.001</w:t>
            </w:r>
          </w:p>
        </w:tc>
      </w:tr>
      <w:tr w:rsidR="00352B2C" w:rsidRPr="000E0EB7" w14:paraId="28185279" w14:textId="77777777" w:rsidTr="00691ABE">
        <w:trPr>
          <w:jc w:val="center"/>
        </w:trPr>
        <w:tc>
          <w:tcPr>
            <w:tcW w:w="43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C0E985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 xml:space="preserve">Photopic contrast sensitivity, 12 </w:t>
            </w:r>
            <w:proofErr w:type="spellStart"/>
            <w:r w:rsidRPr="000E0EB7">
              <w:rPr>
                <w:rFonts w:cs="Times New Roman"/>
                <w:sz w:val="19"/>
                <w:szCs w:val="19"/>
              </w:rPr>
              <w:t>cpd</w:t>
            </w:r>
            <w:proofErr w:type="spellEnd"/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DCB7911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1.26 ± 0.10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1F074CB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1.18 ± 0.10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0BD4DB6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&lt;.001</w:t>
            </w:r>
          </w:p>
        </w:tc>
        <w:tc>
          <w:tcPr>
            <w:tcW w:w="1440" w:type="dxa"/>
            <w:vAlign w:val="center"/>
          </w:tcPr>
          <w:p w14:paraId="295B2146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&lt;.001</w:t>
            </w:r>
          </w:p>
        </w:tc>
      </w:tr>
      <w:tr w:rsidR="00352B2C" w:rsidRPr="000E0EB7" w14:paraId="14926648" w14:textId="77777777" w:rsidTr="00691ABE">
        <w:trPr>
          <w:jc w:val="center"/>
        </w:trPr>
        <w:tc>
          <w:tcPr>
            <w:tcW w:w="43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820AFD8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 xml:space="preserve">Photopic contrast sensitivity, 18 </w:t>
            </w:r>
            <w:proofErr w:type="spellStart"/>
            <w:r w:rsidRPr="000E0EB7">
              <w:rPr>
                <w:rFonts w:cs="Times New Roman"/>
                <w:sz w:val="19"/>
                <w:szCs w:val="19"/>
              </w:rPr>
              <w:t>cpd</w:t>
            </w:r>
            <w:proofErr w:type="spellEnd"/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06BAAD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0.98 ± 0.11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344416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0.96 ± 0.12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A24AD2D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.21</w:t>
            </w:r>
          </w:p>
        </w:tc>
        <w:tc>
          <w:tcPr>
            <w:tcW w:w="1440" w:type="dxa"/>
            <w:vAlign w:val="center"/>
          </w:tcPr>
          <w:p w14:paraId="5C145F21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.212</w:t>
            </w:r>
          </w:p>
        </w:tc>
      </w:tr>
      <w:tr w:rsidR="00352B2C" w:rsidRPr="000E0EB7" w14:paraId="6EABEB4B" w14:textId="77777777" w:rsidTr="00691ABE">
        <w:trPr>
          <w:jc w:val="center"/>
        </w:trPr>
        <w:tc>
          <w:tcPr>
            <w:tcW w:w="43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F6AA435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 xml:space="preserve">Mesopic glare contrast sensitivity, 3 </w:t>
            </w:r>
            <w:proofErr w:type="spellStart"/>
            <w:r w:rsidRPr="000E0EB7">
              <w:rPr>
                <w:rFonts w:cs="Times New Roman"/>
                <w:sz w:val="19"/>
                <w:szCs w:val="19"/>
              </w:rPr>
              <w:t>cpd</w:t>
            </w:r>
            <w:proofErr w:type="spellEnd"/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2A6D1B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1.38 ± 0.12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BA87534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1.33 ± 0.13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A54846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&lt;.001</w:t>
            </w:r>
          </w:p>
        </w:tc>
        <w:tc>
          <w:tcPr>
            <w:tcW w:w="1440" w:type="dxa"/>
            <w:vAlign w:val="center"/>
          </w:tcPr>
          <w:p w14:paraId="47D26CFC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&lt;.001</w:t>
            </w:r>
          </w:p>
        </w:tc>
      </w:tr>
      <w:tr w:rsidR="00352B2C" w:rsidRPr="000E0EB7" w14:paraId="5EAAEF32" w14:textId="77777777" w:rsidTr="00691ABE">
        <w:trPr>
          <w:jc w:val="center"/>
        </w:trPr>
        <w:tc>
          <w:tcPr>
            <w:tcW w:w="43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46E7DBA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 xml:space="preserve">Mesopic glare contrast sensitivity, 6 </w:t>
            </w:r>
            <w:proofErr w:type="spellStart"/>
            <w:r w:rsidRPr="000E0EB7">
              <w:rPr>
                <w:rFonts w:cs="Times New Roman"/>
                <w:sz w:val="19"/>
                <w:szCs w:val="19"/>
              </w:rPr>
              <w:t>cpd</w:t>
            </w:r>
            <w:proofErr w:type="spellEnd"/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DDA2E8D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1.12 ± 0.13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3892DE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1.07 ± 0.14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367189A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&lt;.001</w:t>
            </w:r>
          </w:p>
        </w:tc>
        <w:tc>
          <w:tcPr>
            <w:tcW w:w="1440" w:type="dxa"/>
            <w:vAlign w:val="center"/>
          </w:tcPr>
          <w:p w14:paraId="0527B081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&lt;.001</w:t>
            </w:r>
          </w:p>
        </w:tc>
      </w:tr>
      <w:tr w:rsidR="00352B2C" w:rsidRPr="000E0EB7" w14:paraId="059E45C6" w14:textId="77777777" w:rsidTr="00691ABE">
        <w:trPr>
          <w:jc w:val="center"/>
        </w:trPr>
        <w:tc>
          <w:tcPr>
            <w:tcW w:w="43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A7430E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 xml:space="preserve">Mesopic glare contrast sensitivity, 12 </w:t>
            </w:r>
            <w:proofErr w:type="spellStart"/>
            <w:r w:rsidRPr="000E0EB7">
              <w:rPr>
                <w:rFonts w:cs="Times New Roman"/>
                <w:sz w:val="19"/>
                <w:szCs w:val="19"/>
              </w:rPr>
              <w:t>cpd</w:t>
            </w:r>
            <w:proofErr w:type="spellEnd"/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C44D85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0.88 ± 0.12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2DED48F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0.84 ± 0.12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98D6BB5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.007</w:t>
            </w:r>
          </w:p>
        </w:tc>
        <w:tc>
          <w:tcPr>
            <w:tcW w:w="1440" w:type="dxa"/>
            <w:vAlign w:val="center"/>
          </w:tcPr>
          <w:p w14:paraId="7169DF09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.008</w:t>
            </w:r>
          </w:p>
        </w:tc>
      </w:tr>
      <w:tr w:rsidR="00352B2C" w:rsidRPr="000E0EB7" w14:paraId="1B005B28" w14:textId="77777777" w:rsidTr="00691ABE">
        <w:trPr>
          <w:jc w:val="center"/>
        </w:trPr>
        <w:tc>
          <w:tcPr>
            <w:tcW w:w="432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E766D1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 xml:space="preserve">Mesopic glare contrast sensitivity, 18 </w:t>
            </w:r>
            <w:proofErr w:type="spellStart"/>
            <w:r w:rsidRPr="000E0EB7">
              <w:rPr>
                <w:rFonts w:cs="Times New Roman"/>
                <w:sz w:val="19"/>
                <w:szCs w:val="19"/>
              </w:rPr>
              <w:t>cpd</w:t>
            </w:r>
            <w:proofErr w:type="spellEnd"/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F602801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0.70 ± 0.12</w:t>
            </w:r>
          </w:p>
        </w:tc>
        <w:tc>
          <w:tcPr>
            <w:tcW w:w="151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EBA487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0.65 ± 0.14</w:t>
            </w:r>
          </w:p>
        </w:tc>
        <w:tc>
          <w:tcPr>
            <w:tcW w:w="144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1393C1" w14:textId="77777777" w:rsidR="00352B2C" w:rsidRPr="000E0EB7" w:rsidRDefault="00000000">
            <w:pPr>
              <w:spacing w:line="240" w:lineRule="auto"/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.001</w:t>
            </w:r>
          </w:p>
        </w:tc>
        <w:tc>
          <w:tcPr>
            <w:tcW w:w="1440" w:type="dxa"/>
            <w:vAlign w:val="center"/>
          </w:tcPr>
          <w:p w14:paraId="3F181C3E" w14:textId="77777777" w:rsidR="00C47BFD" w:rsidRPr="000E0EB7" w:rsidRDefault="00000000">
            <w:pPr>
              <w:rPr>
                <w:rFonts w:cs="Times New Roman"/>
                <w:sz w:val="19"/>
                <w:szCs w:val="19"/>
              </w:rPr>
            </w:pPr>
            <w:r w:rsidRPr="000E0EB7">
              <w:rPr>
                <w:rFonts w:cs="Times New Roman"/>
                <w:sz w:val="19"/>
                <w:szCs w:val="19"/>
              </w:rPr>
              <w:t>.001</w:t>
            </w:r>
          </w:p>
        </w:tc>
      </w:tr>
    </w:tbl>
    <w:p w14:paraId="77B5BED5" w14:textId="77777777" w:rsidR="00352B2C" w:rsidRPr="000E0EB7" w:rsidRDefault="00000000">
      <w:pPr>
        <w:rPr>
          <w:rFonts w:cs="Times New Roman"/>
          <w:sz w:val="18"/>
          <w:szCs w:val="18"/>
        </w:rPr>
      </w:pPr>
      <w:r w:rsidRPr="000E0EB7">
        <w:rPr>
          <w:sz w:val="18"/>
          <w:szCs w:val="18"/>
        </w:rPr>
        <w:t>Note: Continuous variables are mean ± SD. Lower defocus AUC values indicate better overall logMAR performance across the specified defocus range. cpd = cycles per degree.</w:t>
      </w:r>
    </w:p>
    <w:p w14:paraId="1266DF27" w14:textId="77777777" w:rsidR="00C47BFD" w:rsidRPr="000E0EB7" w:rsidRDefault="00000000">
      <w:pPr>
        <w:rPr>
          <w:sz w:val="18"/>
          <w:szCs w:val="18"/>
        </w:rPr>
      </w:pPr>
      <w:r w:rsidRPr="000E0EB7">
        <w:rPr>
          <w:sz w:val="18"/>
          <w:szCs w:val="18"/>
        </w:rPr>
        <w:t>Note: Unadjusted P values are exploratory secondary comparisons. Benjamini-Hochberg false-discovery-rate (BH-FDR) adjustment was applied as a sensitivity analysis across the eight 12-month contrast-sensitivity comparisons only; defocus AUC rows were not included in this adjustment (NA). Seven of eight contrast-sensitivity comparisons remained significant after BH-FDR adjustment. cpd = cycles per degree; AUC = area under the curve.</w:t>
      </w:r>
    </w:p>
    <w:sectPr w:rsidR="00C47BFD" w:rsidRPr="000E0EB7" w:rsidSect="00034616">
      <w:footerReference w:type="default" r:id="rId8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AAC998" w14:textId="77777777" w:rsidR="00CA2BBF" w:rsidRDefault="00CA2BBF">
      <w:pPr>
        <w:spacing w:line="240" w:lineRule="auto"/>
      </w:pPr>
      <w:r>
        <w:separator/>
      </w:r>
    </w:p>
  </w:endnote>
  <w:endnote w:type="continuationSeparator" w:id="0">
    <w:p w14:paraId="5D1D88AC" w14:textId="77777777" w:rsidR="00CA2BBF" w:rsidRDefault="00CA2B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CB861" w14:textId="77777777" w:rsidR="00352B2C" w:rsidRDefault="00000000">
    <w:pPr>
      <w:pStyle w:val="AltBilgi"/>
      <w:jc w:val="center"/>
    </w:pPr>
    <w:r>
      <w:fldChar w:fldCharType="begin"/>
    </w:r>
    <w:r>
      <w:instrText xml:space="preserve"> PAGE </w:instrText>
    </w:r>
    <w:r>
      <w:fldChar w:fldCharType="separate"/>
    </w:r>
    <w:r w:rsidR="00691ABE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7F6FE" w14:textId="77777777" w:rsidR="00CA2BBF" w:rsidRDefault="00CA2BBF">
      <w:pPr>
        <w:spacing w:line="240" w:lineRule="auto"/>
      </w:pPr>
      <w:r>
        <w:separator/>
      </w:r>
    </w:p>
  </w:footnote>
  <w:footnote w:type="continuationSeparator" w:id="0">
    <w:p w14:paraId="15EA9D01" w14:textId="77777777" w:rsidR="00CA2BBF" w:rsidRDefault="00CA2B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3107180">
    <w:abstractNumId w:val="8"/>
  </w:num>
  <w:num w:numId="2" w16cid:durableId="943222123">
    <w:abstractNumId w:val="6"/>
  </w:num>
  <w:num w:numId="3" w16cid:durableId="180321173">
    <w:abstractNumId w:val="5"/>
  </w:num>
  <w:num w:numId="4" w16cid:durableId="901984073">
    <w:abstractNumId w:val="4"/>
  </w:num>
  <w:num w:numId="5" w16cid:durableId="1664581277">
    <w:abstractNumId w:val="7"/>
  </w:num>
  <w:num w:numId="6" w16cid:durableId="1599408835">
    <w:abstractNumId w:val="3"/>
  </w:num>
  <w:num w:numId="7" w16cid:durableId="1889993755">
    <w:abstractNumId w:val="2"/>
  </w:num>
  <w:num w:numId="8" w16cid:durableId="2001037577">
    <w:abstractNumId w:val="1"/>
  </w:num>
  <w:num w:numId="9" w16cid:durableId="1186560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2951"/>
    <w:rsid w:val="000E0EB7"/>
    <w:rsid w:val="0015074B"/>
    <w:rsid w:val="001537D9"/>
    <w:rsid w:val="001E0589"/>
    <w:rsid w:val="001F6270"/>
    <w:rsid w:val="0029639D"/>
    <w:rsid w:val="00326F90"/>
    <w:rsid w:val="00352B2C"/>
    <w:rsid w:val="005058A9"/>
    <w:rsid w:val="00691ABE"/>
    <w:rsid w:val="00855E38"/>
    <w:rsid w:val="009E5FBA"/>
    <w:rsid w:val="00AA1D8D"/>
    <w:rsid w:val="00B47730"/>
    <w:rsid w:val="00C47BFD"/>
    <w:rsid w:val="00CA2BBF"/>
    <w:rsid w:val="00CB0664"/>
    <w:rsid w:val="00D60BF1"/>
    <w:rsid w:val="00F02D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28C7BA"/>
  <w14:defaultImageDpi w14:val="300"/>
  <w15:docId w15:val="{08A69B5C-B54B-4B49-B701-1F626E9C2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480" w:lineRule="auto"/>
    </w:pPr>
    <w:rPr>
      <w:rFonts w:ascii="Times New Roman" w:eastAsia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5</cp:revision>
  <dcterms:created xsi:type="dcterms:W3CDTF">2013-12-23T23:15:00Z</dcterms:created>
  <dcterms:modified xsi:type="dcterms:W3CDTF">2026-09-07T17:31:00Z</dcterms:modified>
  <cp:category/>
</cp:coreProperties>
</file>