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CA57" w14:textId="77777777" w:rsidR="009366D0" w:rsidRPr="009262D7" w:rsidRDefault="00000000">
      <w:pPr>
        <w:spacing w:after="160"/>
        <w:rPr>
          <w:rFonts w:ascii="Times New Roman" w:hAnsi="Times New Roman" w:cs="Times New Roman"/>
          <w:lang w:val="en-US"/>
        </w:rPr>
      </w:pPr>
      <w:r w:rsidRPr="009262D7">
        <w:rPr>
          <w:rFonts w:ascii="Times New Roman" w:hAnsi="Times New Roman" w:cs="Times New Roman"/>
          <w:b/>
          <w:bCs/>
          <w:lang w:val="en-US"/>
        </w:rPr>
        <w:t>Additional file 1. All-eyes sensitivity analysis (both eyes per patient, n = 145).</w:t>
      </w:r>
    </w:p>
    <w:p w14:paraId="7F383F26" w14:textId="77777777" w:rsidR="009366D0" w:rsidRPr="009262D7" w:rsidRDefault="00000000">
      <w:pPr>
        <w:spacing w:before="240" w:after="120"/>
        <w:rPr>
          <w:rFonts w:ascii="Times New Roman" w:hAnsi="Times New Roman" w:cs="Times New Roman"/>
          <w:lang w:val="en-US"/>
        </w:rPr>
      </w:pPr>
      <w:r w:rsidRPr="009262D7">
        <w:rPr>
          <w:rFonts w:ascii="Times New Roman" w:hAnsi="Times New Roman" w:cs="Times New Roman"/>
          <w:b/>
          <w:bCs/>
          <w:lang w:val="en-US"/>
        </w:rPr>
        <w:t>Table S1.</w:t>
      </w:r>
      <w:r w:rsidRPr="009262D7">
        <w:rPr>
          <w:rFonts w:ascii="Times New Roman" w:hAnsi="Times New Roman" w:cs="Times New Roman"/>
          <w:lang w:val="en-US"/>
        </w:rPr>
        <w:t xml:space="preserve"> Planning discrepancy rates in the all-eyes set with generalized estimating equation (GEE) cluster-robust confidence intervals.</w:t>
      </w:r>
    </w:p>
    <w:tbl>
      <w:tblPr>
        <w:tblStyle w:val="Tabellenraster"/>
        <w:tblW w:w="9072" w:type="dxa"/>
        <w:tblLook w:val="0000" w:firstRow="0" w:lastRow="0" w:firstColumn="0" w:lastColumn="0" w:noHBand="0" w:noVBand="0"/>
      </w:tblPr>
      <w:tblGrid>
        <w:gridCol w:w="3550"/>
        <w:gridCol w:w="1350"/>
        <w:gridCol w:w="1100"/>
        <w:gridCol w:w="3072"/>
      </w:tblGrid>
      <w:tr w:rsidR="009366D0" w:rsidRPr="009262D7" w14:paraId="61FAA3CE" w14:textId="77777777" w:rsidTr="009262D7">
        <w:tc>
          <w:tcPr>
            <w:tcW w:w="3550" w:type="dxa"/>
            <w:vAlign w:val="center"/>
          </w:tcPr>
          <w:p w14:paraId="2BDB82F3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26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Contrast</w:t>
            </w:r>
            <w:proofErr w:type="spellEnd"/>
          </w:p>
        </w:tc>
        <w:tc>
          <w:tcPr>
            <w:tcW w:w="1350" w:type="dxa"/>
            <w:vAlign w:val="center"/>
          </w:tcPr>
          <w:p w14:paraId="1F3B7EB8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n/N</w:t>
            </w:r>
          </w:p>
        </w:tc>
        <w:tc>
          <w:tcPr>
            <w:tcW w:w="1100" w:type="dxa"/>
            <w:vAlign w:val="center"/>
          </w:tcPr>
          <w:p w14:paraId="48791589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3072" w:type="dxa"/>
            <w:vAlign w:val="center"/>
          </w:tcPr>
          <w:p w14:paraId="683C078D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GEE cluster-robust 95% CI</w:t>
            </w:r>
          </w:p>
        </w:tc>
      </w:tr>
      <w:tr w:rsidR="009366D0" w:rsidRPr="009262D7" w14:paraId="023393AE" w14:textId="77777777" w:rsidTr="009262D7">
        <w:tc>
          <w:tcPr>
            <w:tcW w:w="3550" w:type="dxa"/>
            <w:vAlign w:val="center"/>
          </w:tcPr>
          <w:p w14:paraId="676B1224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B-MEAS vs. B-PRED</w:t>
            </w:r>
          </w:p>
        </w:tc>
        <w:tc>
          <w:tcPr>
            <w:tcW w:w="1350" w:type="dxa"/>
            <w:vAlign w:val="center"/>
          </w:tcPr>
          <w:p w14:paraId="11A3D608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41/145</w:t>
            </w:r>
          </w:p>
        </w:tc>
        <w:tc>
          <w:tcPr>
            <w:tcW w:w="1100" w:type="dxa"/>
            <w:vAlign w:val="center"/>
          </w:tcPr>
          <w:p w14:paraId="5556BA69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28.3</w:t>
            </w:r>
          </w:p>
        </w:tc>
        <w:tc>
          <w:tcPr>
            <w:tcW w:w="3072" w:type="dxa"/>
            <w:vAlign w:val="center"/>
          </w:tcPr>
          <w:p w14:paraId="7B3A2F40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20.9–36.3</w:t>
            </w:r>
          </w:p>
        </w:tc>
      </w:tr>
      <w:tr w:rsidR="009366D0" w:rsidRPr="009262D7" w14:paraId="72D852A3" w14:textId="77777777" w:rsidTr="009262D7">
        <w:tc>
          <w:tcPr>
            <w:tcW w:w="3550" w:type="dxa"/>
            <w:vAlign w:val="center"/>
          </w:tcPr>
          <w:p w14:paraId="0FB51D35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J&amp;J vs. B-MEAS</w:t>
            </w:r>
          </w:p>
        </w:tc>
        <w:tc>
          <w:tcPr>
            <w:tcW w:w="1350" w:type="dxa"/>
            <w:vAlign w:val="center"/>
          </w:tcPr>
          <w:p w14:paraId="322E2711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79/145</w:t>
            </w:r>
          </w:p>
        </w:tc>
        <w:tc>
          <w:tcPr>
            <w:tcW w:w="1100" w:type="dxa"/>
            <w:vAlign w:val="center"/>
          </w:tcPr>
          <w:p w14:paraId="2F9D731F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54.5</w:t>
            </w:r>
          </w:p>
        </w:tc>
        <w:tc>
          <w:tcPr>
            <w:tcW w:w="3072" w:type="dxa"/>
            <w:vAlign w:val="center"/>
          </w:tcPr>
          <w:p w14:paraId="46562BBA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45.6–63.4</w:t>
            </w:r>
          </w:p>
        </w:tc>
      </w:tr>
      <w:tr w:rsidR="009366D0" w:rsidRPr="009262D7" w14:paraId="7BC18481" w14:textId="77777777" w:rsidTr="009262D7">
        <w:tc>
          <w:tcPr>
            <w:tcW w:w="3550" w:type="dxa"/>
            <w:vAlign w:val="center"/>
          </w:tcPr>
          <w:p w14:paraId="6FE72FC6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J&amp;J vs. B-PRED</w:t>
            </w:r>
          </w:p>
        </w:tc>
        <w:tc>
          <w:tcPr>
            <w:tcW w:w="1350" w:type="dxa"/>
            <w:vAlign w:val="center"/>
          </w:tcPr>
          <w:p w14:paraId="1320A2D0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65/145</w:t>
            </w:r>
          </w:p>
        </w:tc>
        <w:tc>
          <w:tcPr>
            <w:tcW w:w="1100" w:type="dxa"/>
            <w:vAlign w:val="center"/>
          </w:tcPr>
          <w:p w14:paraId="6612BDFB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44.8</w:t>
            </w:r>
          </w:p>
        </w:tc>
        <w:tc>
          <w:tcPr>
            <w:tcW w:w="3072" w:type="dxa"/>
            <w:vAlign w:val="center"/>
          </w:tcPr>
          <w:p w14:paraId="780F3DC4" w14:textId="77777777" w:rsidR="009366D0" w:rsidRPr="009262D7" w:rsidRDefault="00000000" w:rsidP="009262D7">
            <w:pPr>
              <w:jc w:val="center"/>
              <w:rPr>
                <w:rFonts w:ascii="Times New Roman" w:hAnsi="Times New Roman" w:cs="Times New Roman"/>
              </w:rPr>
            </w:pPr>
            <w:r w:rsidRPr="009262D7">
              <w:rPr>
                <w:rFonts w:ascii="Times New Roman" w:hAnsi="Times New Roman" w:cs="Times New Roman"/>
                <w:sz w:val="20"/>
                <w:szCs w:val="20"/>
              </w:rPr>
              <w:t>35.2–53.4</w:t>
            </w:r>
          </w:p>
        </w:tc>
      </w:tr>
    </w:tbl>
    <w:p w14:paraId="4A055641" w14:textId="77777777" w:rsidR="009366D0" w:rsidRPr="009262D7" w:rsidRDefault="00000000">
      <w:pPr>
        <w:spacing w:before="160"/>
        <w:rPr>
          <w:rFonts w:ascii="Times New Roman" w:hAnsi="Times New Roman" w:cs="Times New Roman"/>
          <w:lang w:val="en-US"/>
        </w:rPr>
      </w:pPr>
      <w:r w:rsidRPr="009262D7">
        <w:rPr>
          <w:rFonts w:ascii="Times New Roman" w:hAnsi="Times New Roman" w:cs="Times New Roman"/>
          <w:sz w:val="18"/>
          <w:szCs w:val="18"/>
          <w:lang w:val="en-US"/>
        </w:rPr>
        <w:t xml:space="preserve">Generalized estimating equations: binomial family, exchangeable working correlation, robust standard errors, patient as cluster (91 patients; 54 patients contributed both eyes), as prespecified in the study protocol. Planning discrepancy defined a priori as a </w:t>
      </w:r>
      <w:proofErr w:type="spellStart"/>
      <w:r w:rsidRPr="009262D7">
        <w:rPr>
          <w:rFonts w:ascii="Times New Roman" w:hAnsi="Times New Roman" w:cs="Times New Roman"/>
          <w:sz w:val="18"/>
          <w:szCs w:val="18"/>
          <w:lang w:val="en-US"/>
        </w:rPr>
        <w:t>toric</w:t>
      </w:r>
      <w:proofErr w:type="spellEnd"/>
      <w:r w:rsidRPr="009262D7">
        <w:rPr>
          <w:rFonts w:ascii="Times New Roman" w:hAnsi="Times New Roman" w:cs="Times New Roman"/>
          <w:sz w:val="18"/>
          <w:szCs w:val="18"/>
          <w:lang w:val="en-US"/>
        </w:rPr>
        <w:t xml:space="preserve"> cylinder step change ≥ 1 and/or an axis difference ≥ 10°. In the all-eyes set, a ≥ 2-step difference in the B-MEAS vs. B-PRED contrast occurred in a single eye (0.7%); all other results were consistent with the primary analysis set. B-PRED = Barrett with predicted PCA; B-MEAS = Barrett with measured PCA; JJ / J&amp;J = Johnson &amp; Johnson </w:t>
      </w:r>
      <w:proofErr w:type="spellStart"/>
      <w:r w:rsidRPr="009262D7">
        <w:rPr>
          <w:rFonts w:ascii="Times New Roman" w:hAnsi="Times New Roman" w:cs="Times New Roman"/>
          <w:sz w:val="18"/>
          <w:szCs w:val="18"/>
          <w:lang w:val="en-US"/>
        </w:rPr>
        <w:t>toric</w:t>
      </w:r>
      <w:proofErr w:type="spellEnd"/>
      <w:r w:rsidRPr="009262D7">
        <w:rPr>
          <w:rFonts w:ascii="Times New Roman" w:hAnsi="Times New Roman" w:cs="Times New Roman"/>
          <w:sz w:val="18"/>
          <w:szCs w:val="18"/>
          <w:lang w:val="en-US"/>
        </w:rPr>
        <w:t xml:space="preserve"> calculator; PCA = posterior corneal astigmatism.</w:t>
      </w:r>
    </w:p>
    <w:sectPr w:rsidR="009366D0" w:rsidRPr="009262D7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6E82" w14:textId="77777777" w:rsidR="003D2FF8" w:rsidRDefault="003D2FF8" w:rsidP="00635D3D">
      <w:r>
        <w:separator/>
      </w:r>
    </w:p>
  </w:endnote>
  <w:endnote w:type="continuationSeparator" w:id="0">
    <w:p w14:paraId="62493FAD" w14:textId="77777777" w:rsidR="003D2FF8" w:rsidRDefault="003D2FF8" w:rsidP="0063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F718" w14:textId="77777777" w:rsidR="003D2FF8" w:rsidRDefault="003D2FF8" w:rsidP="00635D3D">
      <w:r>
        <w:separator/>
      </w:r>
    </w:p>
  </w:footnote>
  <w:footnote w:type="continuationSeparator" w:id="0">
    <w:p w14:paraId="679B039E" w14:textId="77777777" w:rsidR="003D2FF8" w:rsidRDefault="003D2FF8" w:rsidP="00635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43BC4"/>
    <w:multiLevelType w:val="hybridMultilevel"/>
    <w:tmpl w:val="CA1AE4CE"/>
    <w:lvl w:ilvl="0" w:tplc="4A58A37A">
      <w:start w:val="1"/>
      <w:numFmt w:val="bullet"/>
      <w:lvlText w:val="●"/>
      <w:lvlJc w:val="left"/>
      <w:pPr>
        <w:ind w:left="720" w:hanging="360"/>
      </w:pPr>
    </w:lvl>
    <w:lvl w:ilvl="1" w:tplc="ECCE2EAA">
      <w:start w:val="1"/>
      <w:numFmt w:val="bullet"/>
      <w:lvlText w:val="○"/>
      <w:lvlJc w:val="left"/>
      <w:pPr>
        <w:ind w:left="1440" w:hanging="360"/>
      </w:pPr>
    </w:lvl>
    <w:lvl w:ilvl="2" w:tplc="8FF29EEC">
      <w:start w:val="1"/>
      <w:numFmt w:val="bullet"/>
      <w:lvlText w:val="■"/>
      <w:lvlJc w:val="left"/>
      <w:pPr>
        <w:ind w:left="2160" w:hanging="360"/>
      </w:pPr>
    </w:lvl>
    <w:lvl w:ilvl="3" w:tplc="37784EB4">
      <w:start w:val="1"/>
      <w:numFmt w:val="bullet"/>
      <w:lvlText w:val="●"/>
      <w:lvlJc w:val="left"/>
      <w:pPr>
        <w:ind w:left="2880" w:hanging="360"/>
      </w:pPr>
    </w:lvl>
    <w:lvl w:ilvl="4" w:tplc="A99A08A4">
      <w:start w:val="1"/>
      <w:numFmt w:val="bullet"/>
      <w:lvlText w:val="○"/>
      <w:lvlJc w:val="left"/>
      <w:pPr>
        <w:ind w:left="3600" w:hanging="360"/>
      </w:pPr>
    </w:lvl>
    <w:lvl w:ilvl="5" w:tplc="EED0694A">
      <w:start w:val="1"/>
      <w:numFmt w:val="bullet"/>
      <w:lvlText w:val="■"/>
      <w:lvlJc w:val="left"/>
      <w:pPr>
        <w:ind w:left="4320" w:hanging="360"/>
      </w:pPr>
    </w:lvl>
    <w:lvl w:ilvl="6" w:tplc="B8D44D40">
      <w:start w:val="1"/>
      <w:numFmt w:val="bullet"/>
      <w:lvlText w:val="●"/>
      <w:lvlJc w:val="left"/>
      <w:pPr>
        <w:ind w:left="5040" w:hanging="360"/>
      </w:pPr>
    </w:lvl>
    <w:lvl w:ilvl="7" w:tplc="EFC2A750">
      <w:start w:val="1"/>
      <w:numFmt w:val="bullet"/>
      <w:lvlText w:val="●"/>
      <w:lvlJc w:val="left"/>
      <w:pPr>
        <w:ind w:left="5760" w:hanging="360"/>
      </w:pPr>
    </w:lvl>
    <w:lvl w:ilvl="8" w:tplc="4CF6C9CA">
      <w:start w:val="1"/>
      <w:numFmt w:val="bullet"/>
      <w:lvlText w:val="●"/>
      <w:lvlJc w:val="left"/>
      <w:pPr>
        <w:ind w:left="6480" w:hanging="360"/>
      </w:pPr>
    </w:lvl>
  </w:abstractNum>
  <w:num w:numId="1" w16cid:durableId="18802367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6D0"/>
    <w:rsid w:val="00311A66"/>
    <w:rsid w:val="003D2FF8"/>
    <w:rsid w:val="00503603"/>
    <w:rsid w:val="00635D3D"/>
    <w:rsid w:val="009262D7"/>
    <w:rsid w:val="0093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459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table" w:styleId="Tabellenraster">
    <w:name w:val="Table Grid"/>
    <w:basedOn w:val="NormaleTabelle"/>
    <w:uiPriority w:val="39"/>
    <w:rsid w:val="00926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35D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5D3D"/>
  </w:style>
  <w:style w:type="paragraph" w:styleId="Fuzeile">
    <w:name w:val="footer"/>
    <w:basedOn w:val="Standard"/>
    <w:link w:val="FuzeileZchn"/>
    <w:uiPriority w:val="99"/>
    <w:unhideWhenUsed/>
    <w:rsid w:val="00635D3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5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894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2026-08-23T20:28:00Z</dcterms:created>
  <dcterms:modified xsi:type="dcterms:W3CDTF">2026-08-23T20:28:00Z</dcterms:modified>
</cp:coreProperties>
</file>