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14" w:rsidRPr="00EB6EBA" w:rsidRDefault="0004242F" w:rsidP="006C3A14">
      <w:pPr>
        <w:pStyle w:val="NoSpacing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1: Table S1 </w:t>
      </w:r>
      <w:r w:rsidR="006C3A14" w:rsidRPr="00EB6EBA">
        <w:rPr>
          <w:rFonts w:ascii="Times New Roman" w:hAnsi="Times New Roman" w:cs="Times New Roman"/>
        </w:rPr>
        <w:t>Predictors of emergency department diagnosis of pediatric anaphylaxis (after multiple logistic regression)</w:t>
      </w:r>
    </w:p>
    <w:tbl>
      <w:tblPr>
        <w:tblStyle w:val="TableGrid"/>
        <w:tblW w:w="0" w:type="auto"/>
        <w:tblLook w:val="04A0"/>
      </w:tblPr>
      <w:tblGrid>
        <w:gridCol w:w="4219"/>
        <w:gridCol w:w="2410"/>
        <w:gridCol w:w="1204"/>
      </w:tblGrid>
      <w:tr w:rsidR="006C3A14" w:rsidRPr="00EB6EBA" w:rsidTr="007D76D1">
        <w:trPr>
          <w:trHeight w:val="272"/>
        </w:trPr>
        <w:tc>
          <w:tcPr>
            <w:tcW w:w="4219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Predictor</w:t>
            </w:r>
          </w:p>
        </w:tc>
        <w:tc>
          <w:tcPr>
            <w:tcW w:w="2410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Odds ratio (95% CI)</w:t>
            </w:r>
          </w:p>
        </w:tc>
        <w:tc>
          <w:tcPr>
            <w:tcW w:w="1204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P value</w:t>
            </w:r>
          </w:p>
        </w:tc>
      </w:tr>
      <w:tr w:rsidR="006C3A14" w:rsidRPr="00EB6EBA" w:rsidTr="007D76D1">
        <w:trPr>
          <w:trHeight w:val="272"/>
        </w:trPr>
        <w:tc>
          <w:tcPr>
            <w:tcW w:w="4219" w:type="dxa"/>
          </w:tcPr>
          <w:p w:rsidR="006C3A14" w:rsidRPr="00EB6EBA" w:rsidRDefault="006C3A14" w:rsidP="007D76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Previous anaphylaxis</w:t>
            </w:r>
          </w:p>
        </w:tc>
        <w:tc>
          <w:tcPr>
            <w:tcW w:w="2410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3.20 (1.52 – 6.75)</w:t>
            </w:r>
          </w:p>
        </w:tc>
        <w:tc>
          <w:tcPr>
            <w:tcW w:w="1204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0.002</w:t>
            </w:r>
          </w:p>
        </w:tc>
      </w:tr>
      <w:tr w:rsidR="006C3A14" w:rsidRPr="00EB6EBA" w:rsidTr="007D76D1">
        <w:trPr>
          <w:trHeight w:val="272"/>
        </w:trPr>
        <w:tc>
          <w:tcPr>
            <w:tcW w:w="4219" w:type="dxa"/>
          </w:tcPr>
          <w:p w:rsidR="006C3A14" w:rsidRPr="00EB6EBA" w:rsidRDefault="006C3A14" w:rsidP="007D76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Australasian Triage Scale category 1 or 2</w:t>
            </w:r>
          </w:p>
        </w:tc>
        <w:tc>
          <w:tcPr>
            <w:tcW w:w="2410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4.51 (2.20 – 9.25)</w:t>
            </w:r>
          </w:p>
        </w:tc>
        <w:tc>
          <w:tcPr>
            <w:tcW w:w="1204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6C3A14" w:rsidRPr="00EB6EBA" w:rsidTr="007D76D1">
        <w:trPr>
          <w:trHeight w:val="242"/>
        </w:trPr>
        <w:tc>
          <w:tcPr>
            <w:tcW w:w="4219" w:type="dxa"/>
          </w:tcPr>
          <w:p w:rsidR="006C3A14" w:rsidRPr="00EB6EBA" w:rsidRDefault="006C3A14" w:rsidP="007D76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Arrival by ambulance</w:t>
            </w:r>
          </w:p>
        </w:tc>
        <w:tc>
          <w:tcPr>
            <w:tcW w:w="2410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2.80 (1.36 – 5.74)</w:t>
            </w:r>
          </w:p>
        </w:tc>
        <w:tc>
          <w:tcPr>
            <w:tcW w:w="1204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  <w:tr w:rsidR="006C3A14" w:rsidRPr="00EB6EBA" w:rsidTr="007D76D1">
        <w:trPr>
          <w:trHeight w:val="242"/>
        </w:trPr>
        <w:tc>
          <w:tcPr>
            <w:tcW w:w="4219" w:type="dxa"/>
          </w:tcPr>
          <w:p w:rsidR="006C3A14" w:rsidRPr="00EB6EBA" w:rsidRDefault="006C3A14" w:rsidP="007D76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Attendance to a tertiary hospital</w:t>
            </w:r>
          </w:p>
        </w:tc>
        <w:tc>
          <w:tcPr>
            <w:tcW w:w="2410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2.86 (1.44 – 5.67)</w:t>
            </w:r>
          </w:p>
        </w:tc>
        <w:tc>
          <w:tcPr>
            <w:tcW w:w="1204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  <w:tr w:rsidR="006C3A14" w:rsidRPr="00EB6EBA" w:rsidTr="007D76D1">
        <w:trPr>
          <w:trHeight w:val="272"/>
        </w:trPr>
        <w:tc>
          <w:tcPr>
            <w:tcW w:w="4219" w:type="dxa"/>
          </w:tcPr>
          <w:p w:rsidR="006C3A14" w:rsidRPr="00EB6EBA" w:rsidRDefault="006C3A14" w:rsidP="007D76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Resolution of signs/symptoms of involvement of at least one organ system</w:t>
            </w:r>
          </w:p>
        </w:tc>
        <w:tc>
          <w:tcPr>
            <w:tcW w:w="2410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0.27 (0.12 – 0.62)</w:t>
            </w:r>
          </w:p>
        </w:tc>
        <w:tc>
          <w:tcPr>
            <w:tcW w:w="1204" w:type="dxa"/>
          </w:tcPr>
          <w:p w:rsidR="006C3A14" w:rsidRPr="00EB6EBA" w:rsidRDefault="006C3A14" w:rsidP="007D76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6EBA">
              <w:rPr>
                <w:rFonts w:ascii="Times New Roman" w:hAnsi="Times New Roman" w:cs="Times New Roman"/>
                <w:lang w:val="en-US"/>
              </w:rPr>
              <w:t>0.002</w:t>
            </w:r>
          </w:p>
        </w:tc>
      </w:tr>
    </w:tbl>
    <w:p w:rsidR="006C3A14" w:rsidRPr="00EB6EBA" w:rsidRDefault="006C3A14" w:rsidP="006C3A14">
      <w:pPr>
        <w:spacing w:line="480" w:lineRule="auto"/>
        <w:rPr>
          <w:rFonts w:ascii="Times New Roman" w:hAnsi="Times New Roman" w:cs="Times New Roman"/>
          <w:lang w:val="en-US"/>
        </w:rPr>
      </w:pPr>
    </w:p>
    <w:p w:rsidR="00415A90" w:rsidRDefault="0004242F">
      <w:bookmarkStart w:id="0" w:name="_GoBack"/>
      <w:bookmarkEnd w:id="0"/>
    </w:p>
    <w:sectPr w:rsidR="00415A90" w:rsidSect="00CD11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1"/>
  </w:docVars>
  <w:rsids>
    <w:rsidRoot w:val="006C3A14"/>
    <w:rsid w:val="00032FC5"/>
    <w:rsid w:val="0004242F"/>
    <w:rsid w:val="000C624B"/>
    <w:rsid w:val="00131052"/>
    <w:rsid w:val="001F3E10"/>
    <w:rsid w:val="00234E6F"/>
    <w:rsid w:val="002C6CE6"/>
    <w:rsid w:val="00344F08"/>
    <w:rsid w:val="00346BEA"/>
    <w:rsid w:val="00460F58"/>
    <w:rsid w:val="004842E3"/>
    <w:rsid w:val="00547DAD"/>
    <w:rsid w:val="00572B82"/>
    <w:rsid w:val="005765C0"/>
    <w:rsid w:val="005B7FF4"/>
    <w:rsid w:val="005D362C"/>
    <w:rsid w:val="0065438A"/>
    <w:rsid w:val="006643B8"/>
    <w:rsid w:val="006C3A14"/>
    <w:rsid w:val="00700AB6"/>
    <w:rsid w:val="007660A9"/>
    <w:rsid w:val="008220A9"/>
    <w:rsid w:val="008A3B60"/>
    <w:rsid w:val="00A11ABA"/>
    <w:rsid w:val="00A200C3"/>
    <w:rsid w:val="00A66C46"/>
    <w:rsid w:val="00AB3AEF"/>
    <w:rsid w:val="00AB56FD"/>
    <w:rsid w:val="00B57B57"/>
    <w:rsid w:val="00B64942"/>
    <w:rsid w:val="00BE1AAB"/>
    <w:rsid w:val="00C13103"/>
    <w:rsid w:val="00C85336"/>
    <w:rsid w:val="00CD1140"/>
    <w:rsid w:val="00D45A6A"/>
    <w:rsid w:val="00E5629F"/>
    <w:rsid w:val="00E953A7"/>
    <w:rsid w:val="00EA447F"/>
    <w:rsid w:val="00F03854"/>
    <w:rsid w:val="00F4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14"/>
    <w:rPr>
      <w:rFonts w:eastAsiaTheme="minorEastAsia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3A14"/>
    <w:rPr>
      <w:rFonts w:eastAsiaTheme="minorEastAsia"/>
    </w:rPr>
  </w:style>
  <w:style w:type="table" w:styleId="TableGrid">
    <w:name w:val="Table Grid"/>
    <w:basedOn w:val="TableNormal"/>
    <w:uiPriority w:val="59"/>
    <w:rsid w:val="006C3A14"/>
    <w:rPr>
      <w:rFonts w:eastAsiaTheme="minorEastAsia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426</Characters>
  <Application>Microsoft Office Word</Application>
  <DocSecurity>0</DocSecurity>
  <Lines>23</Lines>
  <Paragraphs>22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tilda thomson</dc:creator>
  <cp:keywords/>
  <dc:description/>
  <cp:lastModifiedBy>JCVILLEGAS</cp:lastModifiedBy>
  <cp:revision>2</cp:revision>
  <dcterms:created xsi:type="dcterms:W3CDTF">2017-07-29T03:06:00Z</dcterms:created>
  <dcterms:modified xsi:type="dcterms:W3CDTF">2018-02-01T03:25:00Z</dcterms:modified>
</cp:coreProperties>
</file>