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D2" w:rsidRPr="00B95D11" w:rsidRDefault="00C355D2" w:rsidP="00C355D2">
      <w:pPr>
        <w:pStyle w:val="Caption"/>
        <w:keepNext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B95D11">
        <w:rPr>
          <w:rFonts w:ascii="Arial" w:hAnsi="Arial" w:cs="Arial"/>
          <w:sz w:val="20"/>
          <w:szCs w:val="20"/>
        </w:rPr>
        <w:t>Table S-3</w:t>
      </w:r>
    </w:p>
    <w:p w:rsidR="00C355D2" w:rsidRPr="00B95D11" w:rsidRDefault="00C355D2" w:rsidP="00C355D2">
      <w:pPr>
        <w:pStyle w:val="Caption"/>
        <w:keepNext/>
        <w:spacing w:line="480" w:lineRule="auto"/>
        <w:rPr>
          <w:rFonts w:ascii="Arial" w:hAnsi="Arial" w:cs="Arial"/>
          <w:sz w:val="20"/>
          <w:szCs w:val="20"/>
        </w:rPr>
      </w:pPr>
      <w:r w:rsidRPr="00B95D11">
        <w:rPr>
          <w:rFonts w:ascii="Arial" w:hAnsi="Arial" w:cs="Arial"/>
          <w:sz w:val="20"/>
          <w:szCs w:val="20"/>
        </w:rPr>
        <w:t xml:space="preserve">Metabolites from the </w:t>
      </w:r>
      <w:proofErr w:type="spellStart"/>
      <w:r w:rsidRPr="00B95D11">
        <w:rPr>
          <w:rFonts w:ascii="Arial" w:hAnsi="Arial" w:cs="Arial"/>
          <w:sz w:val="20"/>
          <w:szCs w:val="20"/>
        </w:rPr>
        <w:t>Metabolon</w:t>
      </w:r>
      <w:proofErr w:type="spellEnd"/>
      <w:r w:rsidRPr="00B95D11">
        <w:rPr>
          <w:rFonts w:ascii="Arial" w:hAnsi="Arial" w:cs="Arial"/>
          <w:sz w:val="20"/>
          <w:szCs w:val="20"/>
        </w:rPr>
        <w:t xml:space="preserve"> dataset not included in the top 50 for analysis with significant p-values and FDR values.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070"/>
        <w:gridCol w:w="1710"/>
        <w:gridCol w:w="1350"/>
        <w:gridCol w:w="1278"/>
      </w:tblGrid>
      <w:tr w:rsidR="00C355D2" w:rsidRPr="00B95D11" w:rsidTr="00593144">
        <w:tc>
          <w:tcPr>
            <w:tcW w:w="316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Metabolite</w:t>
            </w:r>
          </w:p>
        </w:tc>
        <w:tc>
          <w:tcPr>
            <w:tcW w:w="207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Test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FDR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AUC</w:t>
            </w:r>
          </w:p>
        </w:tc>
      </w:tr>
      <w:tr w:rsidR="00C355D2" w:rsidRPr="00B95D11" w:rsidTr="00593144">
        <w:tc>
          <w:tcPr>
            <w:tcW w:w="316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2-hydroxyphenylacetate</w:t>
            </w:r>
          </w:p>
        </w:tc>
        <w:tc>
          <w:tcPr>
            <w:tcW w:w="207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t=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</w:tr>
      <w:tr w:rsidR="00C355D2" w:rsidRPr="00B95D11" w:rsidTr="00593144">
        <w:tc>
          <w:tcPr>
            <w:tcW w:w="316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acetylleucine</w:t>
            </w:r>
            <w:proofErr w:type="spellEnd"/>
          </w:p>
        </w:tc>
        <w:tc>
          <w:tcPr>
            <w:tcW w:w="207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</w:tr>
      <w:tr w:rsidR="00C355D2" w:rsidRPr="00B95D11" w:rsidTr="00593144">
        <w:tc>
          <w:tcPr>
            <w:tcW w:w="316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tabs>
                <w:tab w:val="center" w:pos="1060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Margaroylcarnitine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(C17)*</w:t>
            </w:r>
          </w:p>
        </w:tc>
        <w:tc>
          <w:tcPr>
            <w:tcW w:w="207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t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≠</m:t>
              </m:r>
            </m:oMath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:rsidR="00C355D2" w:rsidRPr="00B95D11" w:rsidRDefault="00C355D2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</w:tr>
    </w:tbl>
    <w:p w:rsidR="00C355D2" w:rsidRPr="00B95D11" w:rsidRDefault="00C355D2" w:rsidP="00C355D2">
      <w:pPr>
        <w:rPr>
          <w:rFonts w:ascii="Arial" w:hAnsi="Arial" w:cs="Arial"/>
          <w:i/>
          <w:iCs/>
          <w:sz w:val="20"/>
          <w:szCs w:val="20"/>
        </w:rPr>
      </w:pPr>
    </w:p>
    <w:p w:rsidR="00C355D2" w:rsidRPr="00B95D11" w:rsidRDefault="00C355D2" w:rsidP="00C355D2">
      <w:pPr>
        <w:spacing w:line="480" w:lineRule="auto"/>
        <w:rPr>
          <w:rFonts w:ascii="Arial" w:eastAsiaTheme="minorEastAsia" w:hAnsi="Arial" w:cs="Arial"/>
          <w:i/>
          <w:iCs/>
          <w:sz w:val="20"/>
          <w:szCs w:val="20"/>
        </w:rPr>
      </w:pPr>
      <w:r w:rsidRPr="00B95D11">
        <w:rPr>
          <w:rFonts w:ascii="Arial" w:hAnsi="Arial" w:cs="Arial"/>
          <w:i/>
          <w:iCs/>
          <w:sz w:val="20"/>
          <w:szCs w:val="20"/>
        </w:rPr>
        <w:t>Note. The p-Values, FDR values, and AUC values are listed in the table and sorted by AUC value (largest to smallest), p-value (smallest to largest), and then FDR value (smallest to largest). The hypothesis tests are Student’s t-test (t=), Mann-Whitney U test (MW), and Welch’s test (t</w:t>
      </w:r>
      <m:oMath>
        <m:r>
          <w:rPr>
            <w:rFonts w:ascii="Cambria Math" w:hAnsi="Cambria Math" w:cs="Arial"/>
            <w:sz w:val="20"/>
            <w:szCs w:val="20"/>
          </w:rPr>
          <m:t>≠</m:t>
        </m:r>
      </m:oMath>
      <w:r w:rsidRPr="00B95D11">
        <w:rPr>
          <w:rFonts w:ascii="Arial" w:eastAsiaTheme="minorEastAsia" w:hAnsi="Arial" w:cs="Arial"/>
          <w:i/>
          <w:iCs/>
          <w:sz w:val="20"/>
          <w:szCs w:val="20"/>
        </w:rPr>
        <w:t xml:space="preserve">). The * indicates metabolites measured by Metabolon that have not been officially confirmed based on a standard, but Metabolon is confident in the metabolite’s identity. 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5D2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3AD2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355D2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C355D2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C355D2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2020-11-23T10:36:00Z</dcterms:created>
  <dcterms:modified xsi:type="dcterms:W3CDTF">2020-11-23T10:36:00Z</dcterms:modified>
</cp:coreProperties>
</file>