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D75" w:rsidRPr="00B95D11" w:rsidRDefault="008E4D75" w:rsidP="008E4D75">
      <w:pPr>
        <w:pStyle w:val="Caption"/>
        <w:keepNext/>
        <w:rPr>
          <w:rFonts w:ascii="Arial" w:hAnsi="Arial" w:cs="Arial"/>
          <w:bCs/>
          <w:sz w:val="20"/>
          <w:szCs w:val="20"/>
        </w:rPr>
      </w:pPr>
      <w:r w:rsidRPr="00B95D11">
        <w:rPr>
          <w:rFonts w:ascii="Arial" w:hAnsi="Arial" w:cs="Arial"/>
          <w:sz w:val="20"/>
          <w:szCs w:val="20"/>
        </w:rPr>
        <w:t>Table S-6</w:t>
      </w:r>
    </w:p>
    <w:p w:rsidR="008E4D75" w:rsidRPr="00B95D11" w:rsidRDefault="008E4D75" w:rsidP="008E4D75">
      <w:pPr>
        <w:pStyle w:val="Caption"/>
        <w:keepNext/>
        <w:rPr>
          <w:rFonts w:ascii="Arial" w:hAnsi="Arial" w:cs="Arial"/>
          <w:i w:val="0"/>
          <w:iCs w:val="0"/>
          <w:sz w:val="20"/>
          <w:szCs w:val="20"/>
        </w:rPr>
      </w:pPr>
      <w:r w:rsidRPr="00B95D11">
        <w:rPr>
          <w:rFonts w:ascii="Arial" w:hAnsi="Arial" w:cs="Arial"/>
          <w:sz w:val="20"/>
          <w:szCs w:val="20"/>
        </w:rPr>
        <w:t>Multivariate results using the top combinations of five variables from subset (</w:t>
      </w:r>
      <w:proofErr w:type="gramStart"/>
      <w:r w:rsidRPr="00B95D11">
        <w:rPr>
          <w:rFonts w:ascii="Arial" w:hAnsi="Arial" w:cs="Arial"/>
          <w:sz w:val="20"/>
          <w:szCs w:val="20"/>
        </w:rPr>
        <w:t>iv</w:t>
      </w:r>
      <w:proofErr w:type="gramEnd"/>
      <w:r w:rsidRPr="00B95D11">
        <w:rPr>
          <w:rFonts w:ascii="Arial" w:hAnsi="Arial" w:cs="Arial"/>
          <w:sz w:val="20"/>
          <w:szCs w:val="20"/>
        </w:rPr>
        <w:t>).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888"/>
        <w:gridCol w:w="2610"/>
        <w:gridCol w:w="2718"/>
      </w:tblGrid>
      <w:tr w:rsidR="008E4D75" w:rsidRPr="00B95D11" w:rsidTr="00593144">
        <w:tc>
          <w:tcPr>
            <w:tcW w:w="3888" w:type="dxa"/>
            <w:tcBorders>
              <w:left w:val="nil"/>
              <w:right w:val="nil"/>
            </w:tcBorders>
          </w:tcPr>
          <w:p w:rsidR="008E4D75" w:rsidRPr="00B95D11" w:rsidRDefault="008E4D75" w:rsidP="005931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sz w:val="20"/>
                <w:szCs w:val="20"/>
              </w:rPr>
              <w:t>Metabolites</w:t>
            </w:r>
          </w:p>
        </w:tc>
        <w:tc>
          <w:tcPr>
            <w:tcW w:w="2610" w:type="dxa"/>
            <w:tcBorders>
              <w:left w:val="nil"/>
              <w:right w:val="nil"/>
            </w:tcBorders>
          </w:tcPr>
          <w:p w:rsidR="008E4D75" w:rsidRPr="00B95D11" w:rsidRDefault="008E4D75" w:rsidP="005931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sz w:val="20"/>
                <w:szCs w:val="20"/>
              </w:rPr>
              <w:t>Type I Error (FPR)</w:t>
            </w:r>
          </w:p>
        </w:tc>
        <w:tc>
          <w:tcPr>
            <w:tcW w:w="2718" w:type="dxa"/>
            <w:tcBorders>
              <w:left w:val="nil"/>
              <w:right w:val="nil"/>
            </w:tcBorders>
          </w:tcPr>
          <w:p w:rsidR="008E4D75" w:rsidRPr="00B95D11" w:rsidRDefault="008E4D75" w:rsidP="005931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sz w:val="20"/>
                <w:szCs w:val="20"/>
              </w:rPr>
              <w:t>Type II Error (FNR)</w:t>
            </w:r>
          </w:p>
        </w:tc>
      </w:tr>
      <w:tr w:rsidR="008E4D75" w:rsidRPr="00B95D11" w:rsidTr="00593144">
        <w:tc>
          <w:tcPr>
            <w:tcW w:w="3888" w:type="dxa"/>
            <w:tcBorders>
              <w:left w:val="nil"/>
              <w:right w:val="nil"/>
            </w:tcBorders>
          </w:tcPr>
          <w:p w:rsidR="008E4D75" w:rsidRPr="00B95D11" w:rsidRDefault="008E4D75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SAM/SAH, percent oxidized,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histidylglutamate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, cis-4-decenoylcarnitine (C10:1), 3-indoxyl sulfate</w:t>
            </w:r>
          </w:p>
        </w:tc>
        <w:tc>
          <w:tcPr>
            <w:tcW w:w="2610" w:type="dxa"/>
            <w:tcBorders>
              <w:left w:val="nil"/>
              <w:right w:val="nil"/>
            </w:tcBorders>
          </w:tcPr>
          <w:p w:rsidR="008E4D75" w:rsidRPr="00B95D11" w:rsidRDefault="008E4D75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2718" w:type="dxa"/>
            <w:tcBorders>
              <w:left w:val="nil"/>
              <w:right w:val="nil"/>
            </w:tcBorders>
          </w:tcPr>
          <w:p w:rsidR="008E4D75" w:rsidRPr="00B95D11" w:rsidRDefault="008E4D75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</w:tr>
      <w:tr w:rsidR="008E4D75" w:rsidRPr="00B95D11" w:rsidTr="00593144">
        <w:tc>
          <w:tcPr>
            <w:tcW w:w="3888" w:type="dxa"/>
            <w:tcBorders>
              <w:left w:val="nil"/>
              <w:right w:val="nil"/>
            </w:tcBorders>
          </w:tcPr>
          <w:p w:rsidR="008E4D75" w:rsidRPr="00B95D11" w:rsidRDefault="008E4D75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fGSH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/GSSG,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histidylglutamate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, 4-vinylphenol sulfate, 3-indroxyl sulfate,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palmitoylcarnitine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(C16)</w:t>
            </w:r>
          </w:p>
        </w:tc>
        <w:tc>
          <w:tcPr>
            <w:tcW w:w="2610" w:type="dxa"/>
            <w:tcBorders>
              <w:left w:val="nil"/>
              <w:right w:val="nil"/>
            </w:tcBorders>
          </w:tcPr>
          <w:p w:rsidR="008E4D75" w:rsidRPr="00B95D11" w:rsidRDefault="008E4D75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2718" w:type="dxa"/>
            <w:tcBorders>
              <w:left w:val="nil"/>
              <w:right w:val="nil"/>
            </w:tcBorders>
          </w:tcPr>
          <w:p w:rsidR="008E4D75" w:rsidRPr="00B95D11" w:rsidRDefault="008E4D75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</w:tr>
      <w:tr w:rsidR="008E4D75" w:rsidRPr="00B95D11" w:rsidTr="00593144">
        <w:tc>
          <w:tcPr>
            <w:tcW w:w="3888" w:type="dxa"/>
            <w:tcBorders>
              <w:left w:val="nil"/>
              <w:right w:val="nil"/>
            </w:tcBorders>
          </w:tcPr>
          <w:p w:rsidR="008E4D75" w:rsidRPr="00B95D11" w:rsidRDefault="008E4D75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Histidylglutamate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, 4-vinylphenol sulfate,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cinnamoylglycine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, N-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acetylvaline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palmitoylcarnitine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(C16)</w:t>
            </w:r>
          </w:p>
        </w:tc>
        <w:tc>
          <w:tcPr>
            <w:tcW w:w="2610" w:type="dxa"/>
            <w:tcBorders>
              <w:left w:val="nil"/>
              <w:right w:val="nil"/>
            </w:tcBorders>
          </w:tcPr>
          <w:p w:rsidR="008E4D75" w:rsidRPr="00B95D11" w:rsidRDefault="008E4D75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2718" w:type="dxa"/>
            <w:tcBorders>
              <w:left w:val="nil"/>
              <w:right w:val="nil"/>
            </w:tcBorders>
          </w:tcPr>
          <w:p w:rsidR="008E4D75" w:rsidRPr="00B95D11" w:rsidRDefault="008E4D75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</w:tr>
      <w:tr w:rsidR="008E4D75" w:rsidRPr="00B95D11" w:rsidTr="00593144">
        <w:tc>
          <w:tcPr>
            <w:tcW w:w="3888" w:type="dxa"/>
            <w:tcBorders>
              <w:left w:val="nil"/>
              <w:right w:val="nil"/>
            </w:tcBorders>
          </w:tcPr>
          <w:p w:rsidR="008E4D75" w:rsidRPr="00B95D11" w:rsidRDefault="008E4D75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Glu-Cys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histidylglutamate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, catechol sulfate, phenol sulfate, N-acetyl-2-aminooctanoate*</w:t>
            </w:r>
          </w:p>
        </w:tc>
        <w:tc>
          <w:tcPr>
            <w:tcW w:w="2610" w:type="dxa"/>
            <w:tcBorders>
              <w:left w:val="nil"/>
              <w:right w:val="nil"/>
            </w:tcBorders>
          </w:tcPr>
          <w:p w:rsidR="008E4D75" w:rsidRPr="00B95D11" w:rsidRDefault="008E4D75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2718" w:type="dxa"/>
            <w:tcBorders>
              <w:left w:val="nil"/>
              <w:right w:val="nil"/>
            </w:tcBorders>
          </w:tcPr>
          <w:p w:rsidR="008E4D75" w:rsidRPr="00B95D11" w:rsidRDefault="008E4D75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</w:tr>
      <w:tr w:rsidR="008E4D75" w:rsidRPr="00B95D11" w:rsidTr="00593144">
        <w:tc>
          <w:tcPr>
            <w:tcW w:w="3888" w:type="dxa"/>
            <w:tcBorders>
              <w:left w:val="nil"/>
              <w:right w:val="nil"/>
            </w:tcBorders>
          </w:tcPr>
          <w:p w:rsidR="008E4D75" w:rsidRPr="00B95D11" w:rsidRDefault="008E4D75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tGSH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, 4-vinylphenol sulfate, 5-oxoproline,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asparaginylalanine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tiglylcarnitine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(C5:1-DC)</w:t>
            </w:r>
          </w:p>
        </w:tc>
        <w:tc>
          <w:tcPr>
            <w:tcW w:w="2610" w:type="dxa"/>
            <w:tcBorders>
              <w:left w:val="nil"/>
              <w:right w:val="nil"/>
            </w:tcBorders>
          </w:tcPr>
          <w:p w:rsidR="008E4D75" w:rsidRPr="00B95D11" w:rsidRDefault="008E4D75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2718" w:type="dxa"/>
            <w:tcBorders>
              <w:left w:val="nil"/>
              <w:right w:val="nil"/>
            </w:tcBorders>
          </w:tcPr>
          <w:p w:rsidR="008E4D75" w:rsidRPr="00B95D11" w:rsidRDefault="008E4D75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3%</w:t>
            </w:r>
          </w:p>
        </w:tc>
      </w:tr>
    </w:tbl>
    <w:p w:rsidR="008E4D75" w:rsidRPr="00B95D11" w:rsidRDefault="008E4D75" w:rsidP="008E4D75">
      <w:pPr>
        <w:spacing w:line="480" w:lineRule="auto"/>
        <w:rPr>
          <w:rFonts w:ascii="Arial" w:hAnsi="Arial" w:cs="Arial"/>
          <w:i/>
          <w:iCs/>
          <w:sz w:val="20"/>
          <w:szCs w:val="20"/>
        </w:rPr>
      </w:pPr>
      <w:r w:rsidRPr="00B95D11">
        <w:rPr>
          <w:rFonts w:ascii="Arial" w:hAnsi="Arial" w:cs="Arial"/>
          <w:i/>
          <w:iCs/>
          <w:sz w:val="20"/>
          <w:szCs w:val="20"/>
        </w:rPr>
        <w:t xml:space="preserve">Note. The * indicates a metabolite measured by </w:t>
      </w:r>
      <w:proofErr w:type="spellStart"/>
      <w:r w:rsidRPr="00B95D11">
        <w:rPr>
          <w:rFonts w:ascii="Arial" w:hAnsi="Arial" w:cs="Arial"/>
          <w:i/>
          <w:iCs/>
          <w:sz w:val="20"/>
          <w:szCs w:val="20"/>
        </w:rPr>
        <w:t>Metabolon</w:t>
      </w:r>
      <w:proofErr w:type="spellEnd"/>
      <w:r w:rsidRPr="00B95D11">
        <w:rPr>
          <w:rFonts w:ascii="Arial" w:hAnsi="Arial" w:cs="Arial"/>
          <w:i/>
          <w:iCs/>
          <w:sz w:val="20"/>
          <w:szCs w:val="20"/>
        </w:rPr>
        <w:t xml:space="preserve"> that has not been officially confirmed based on a standard, but </w:t>
      </w:r>
      <w:proofErr w:type="spellStart"/>
      <w:r w:rsidRPr="00B95D11">
        <w:rPr>
          <w:rFonts w:ascii="Arial" w:hAnsi="Arial" w:cs="Arial"/>
          <w:i/>
          <w:iCs/>
          <w:sz w:val="20"/>
          <w:szCs w:val="20"/>
        </w:rPr>
        <w:t>Metabolon</w:t>
      </w:r>
      <w:proofErr w:type="spellEnd"/>
      <w:r w:rsidRPr="00B95D11">
        <w:rPr>
          <w:rFonts w:ascii="Arial" w:hAnsi="Arial" w:cs="Arial"/>
          <w:i/>
          <w:iCs/>
          <w:sz w:val="20"/>
          <w:szCs w:val="20"/>
        </w:rPr>
        <w:t xml:space="preserve"> is confident in the identity. </w:t>
      </w:r>
    </w:p>
    <w:p w:rsidR="00FB7318" w:rsidRDefault="00FB7318"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75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3AD2"/>
    <w:rsid w:val="000C539F"/>
    <w:rsid w:val="000C6E85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4D75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uiPriority w:val="35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  <w:style w:type="table" w:styleId="TableGrid">
    <w:name w:val="Table Grid"/>
    <w:basedOn w:val="TableNormal"/>
    <w:uiPriority w:val="39"/>
    <w:rsid w:val="008E4D75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uiPriority w:val="35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  <w:style w:type="table" w:styleId="TableGrid">
    <w:name w:val="Table Grid"/>
    <w:basedOn w:val="TableNormal"/>
    <w:uiPriority w:val="39"/>
    <w:rsid w:val="008E4D75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2020-11-23T10:37:00Z</dcterms:created>
  <dcterms:modified xsi:type="dcterms:W3CDTF">2020-11-23T10:37:00Z</dcterms:modified>
</cp:coreProperties>
</file>