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20ED8" w14:textId="741FBEAA" w:rsidR="00970A93" w:rsidRPr="00970A93" w:rsidRDefault="00970A93" w:rsidP="00970A93">
      <w:pPr>
        <w:spacing w:line="360" w:lineRule="auto"/>
        <w:rPr>
          <w:rFonts w:ascii="Times New Roman" w:hAnsi="Times New Roman" w:cs="Times New Roman"/>
          <w:b/>
          <w:bCs/>
          <w:sz w:val="24"/>
          <w:szCs w:val="24"/>
          <w:u w:val="single"/>
        </w:rPr>
      </w:pPr>
      <w:r w:rsidRPr="00970A93">
        <w:rPr>
          <w:rFonts w:ascii="Times New Roman" w:hAnsi="Times New Roman" w:cs="Times New Roman"/>
          <w:b/>
          <w:bCs/>
          <w:sz w:val="24"/>
          <w:szCs w:val="24"/>
          <w:u w:val="single"/>
        </w:rPr>
        <w:t>Supplementary material 1.</w:t>
      </w:r>
    </w:p>
    <w:p w14:paraId="00E27F38" w14:textId="6B5292C2" w:rsidR="00970A93" w:rsidRPr="00970A93" w:rsidRDefault="00970A93" w:rsidP="00970A93">
      <w:p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Title: </w:t>
      </w:r>
      <w:r>
        <w:rPr>
          <w:rFonts w:ascii="Times New Roman" w:hAnsi="Times New Roman" w:cs="Times New Roman"/>
          <w:i/>
          <w:iCs/>
          <w:sz w:val="24"/>
          <w:szCs w:val="24"/>
        </w:rPr>
        <w:t xml:space="preserve">NF1 </w:t>
      </w:r>
      <w:r>
        <w:rPr>
          <w:rFonts w:ascii="Times New Roman" w:hAnsi="Times New Roman" w:cs="Times New Roman"/>
          <w:sz w:val="24"/>
          <w:szCs w:val="24"/>
        </w:rPr>
        <w:t>variation testing of the cohort</w:t>
      </w:r>
    </w:p>
    <w:p w14:paraId="58BBF689" w14:textId="3EDAC354" w:rsidR="00970A93" w:rsidRPr="00970A93" w:rsidRDefault="00970A93" w:rsidP="00970A93">
      <w:p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Legend: </w:t>
      </w:r>
      <w:r>
        <w:rPr>
          <w:rFonts w:ascii="Times New Roman" w:hAnsi="Times New Roman" w:cs="Times New Roman"/>
          <w:sz w:val="24"/>
          <w:szCs w:val="24"/>
        </w:rPr>
        <w:t xml:space="preserve">All 40 patients were tested for </w:t>
      </w:r>
      <w:r>
        <w:rPr>
          <w:rFonts w:ascii="Times New Roman" w:hAnsi="Times New Roman" w:cs="Times New Roman"/>
          <w:i/>
          <w:iCs/>
          <w:sz w:val="24"/>
          <w:szCs w:val="24"/>
        </w:rPr>
        <w:t xml:space="preserve">NF1 </w:t>
      </w:r>
      <w:r>
        <w:rPr>
          <w:rFonts w:ascii="Times New Roman" w:hAnsi="Times New Roman" w:cs="Times New Roman"/>
          <w:sz w:val="24"/>
          <w:szCs w:val="24"/>
        </w:rPr>
        <w:t>pathogenic variation with combination of cyto- and molecular genetic methods.</w:t>
      </w:r>
    </w:p>
    <w:p w14:paraId="05CEF96B" w14:textId="28CC9522" w:rsidR="00970A93" w:rsidRPr="00970A93" w:rsidRDefault="00970A93" w:rsidP="00970A93">
      <w:pPr>
        <w:spacing w:line="360" w:lineRule="auto"/>
        <w:rPr>
          <w:rFonts w:ascii="Times New Roman" w:hAnsi="Times New Roman" w:cs="Times New Roman"/>
          <w:sz w:val="24"/>
          <w:szCs w:val="24"/>
        </w:rPr>
      </w:pPr>
      <w:r w:rsidRPr="00970A93">
        <w:rPr>
          <w:rFonts w:ascii="Times New Roman" w:hAnsi="Times New Roman" w:cs="Times New Roman"/>
          <w:sz w:val="24"/>
          <w:szCs w:val="24"/>
        </w:rPr>
        <w:t>NF1 variations were screened at all patients by:</w:t>
      </w:r>
    </w:p>
    <w:p w14:paraId="5A9E2DF6" w14:textId="632D0D16" w:rsidR="00970A93" w:rsidRPr="00970A93" w:rsidRDefault="00970A93" w:rsidP="00970A93">
      <w:pPr>
        <w:spacing w:line="360" w:lineRule="auto"/>
        <w:rPr>
          <w:rFonts w:ascii="Times New Roman" w:hAnsi="Times New Roman" w:cs="Times New Roman"/>
          <w:sz w:val="24"/>
          <w:szCs w:val="24"/>
        </w:rPr>
      </w:pPr>
      <w:r w:rsidRPr="00970A93">
        <w:rPr>
          <w:rFonts w:ascii="Times New Roman" w:hAnsi="Times New Roman" w:cs="Times New Roman"/>
          <w:sz w:val="24"/>
          <w:szCs w:val="24"/>
        </w:rPr>
        <w:t>o</w:t>
      </w:r>
      <w:r w:rsidRPr="00970A93">
        <w:rPr>
          <w:rFonts w:ascii="Times New Roman" w:hAnsi="Times New Roman" w:cs="Times New Roman"/>
          <w:sz w:val="24"/>
          <w:szCs w:val="24"/>
        </w:rPr>
        <w:tab/>
      </w:r>
      <w:r w:rsidRPr="00970A93">
        <w:rPr>
          <w:rFonts w:ascii="Times New Roman" w:hAnsi="Times New Roman" w:cs="Times New Roman"/>
          <w:sz w:val="24"/>
          <w:szCs w:val="24"/>
          <w:u w:val="single"/>
        </w:rPr>
        <w:t>1</w:t>
      </w:r>
      <w:r w:rsidRPr="00970A93">
        <w:rPr>
          <w:rFonts w:ascii="Times New Roman" w:hAnsi="Times New Roman" w:cs="Times New Roman"/>
          <w:sz w:val="24"/>
          <w:szCs w:val="24"/>
          <w:u w:val="single"/>
          <w:vertAlign w:val="superscript"/>
        </w:rPr>
        <w:t xml:space="preserve">st </w:t>
      </w:r>
      <w:r w:rsidRPr="00970A93">
        <w:rPr>
          <w:rFonts w:ascii="Times New Roman" w:hAnsi="Times New Roman" w:cs="Times New Roman"/>
          <w:sz w:val="24"/>
          <w:szCs w:val="24"/>
          <w:u w:val="single"/>
        </w:rPr>
        <w:t>Step:</w:t>
      </w:r>
      <w:r>
        <w:rPr>
          <w:rFonts w:ascii="Times New Roman" w:hAnsi="Times New Roman" w:cs="Times New Roman"/>
          <w:sz w:val="24"/>
          <w:szCs w:val="24"/>
        </w:rPr>
        <w:t xml:space="preserve"> Conventional Giemsa-banding to </w:t>
      </w:r>
      <w:r w:rsidRPr="00970A93">
        <w:rPr>
          <w:rFonts w:ascii="Times New Roman" w:hAnsi="Times New Roman" w:cs="Times New Roman"/>
          <w:sz w:val="24"/>
          <w:szCs w:val="24"/>
        </w:rPr>
        <w:t xml:space="preserve">detect </w:t>
      </w:r>
      <w:r>
        <w:rPr>
          <w:rFonts w:ascii="Times New Roman" w:hAnsi="Times New Roman" w:cs="Times New Roman"/>
          <w:sz w:val="24"/>
          <w:szCs w:val="24"/>
        </w:rPr>
        <w:t xml:space="preserve">any </w:t>
      </w:r>
      <w:r w:rsidRPr="00970A93">
        <w:rPr>
          <w:rFonts w:ascii="Times New Roman" w:hAnsi="Times New Roman" w:cs="Times New Roman"/>
          <w:sz w:val="24"/>
          <w:szCs w:val="24"/>
        </w:rPr>
        <w:t>chromosomal rearrangement</w:t>
      </w:r>
      <w:r>
        <w:rPr>
          <w:rFonts w:ascii="Times New Roman" w:hAnsi="Times New Roman" w:cs="Times New Roman"/>
          <w:sz w:val="24"/>
          <w:szCs w:val="24"/>
        </w:rPr>
        <w:t>, which</w:t>
      </w:r>
      <w:r w:rsidRPr="00970A93">
        <w:rPr>
          <w:rFonts w:ascii="Times New Roman" w:hAnsi="Times New Roman" w:cs="Times New Roman"/>
          <w:sz w:val="24"/>
          <w:szCs w:val="24"/>
        </w:rPr>
        <w:t xml:space="preserve"> was performed on 15 Giemsa-stained metaphases from standard 72-hour peripheral blood lymphocyte cultures.</w:t>
      </w:r>
    </w:p>
    <w:p w14:paraId="01562BEF" w14:textId="0F5D29EF" w:rsidR="00970A93" w:rsidRDefault="00970A93" w:rsidP="00970A93">
      <w:pPr>
        <w:spacing w:line="360" w:lineRule="auto"/>
        <w:rPr>
          <w:rFonts w:ascii="Times New Roman" w:hAnsi="Times New Roman" w:cs="Times New Roman"/>
          <w:sz w:val="24"/>
          <w:szCs w:val="24"/>
        </w:rPr>
      </w:pPr>
      <w:r w:rsidRPr="00970A93">
        <w:rPr>
          <w:rFonts w:ascii="Times New Roman" w:hAnsi="Times New Roman" w:cs="Times New Roman"/>
          <w:sz w:val="24"/>
          <w:szCs w:val="24"/>
        </w:rPr>
        <w:t>o</w:t>
      </w:r>
      <w:r w:rsidRPr="00970A93">
        <w:rPr>
          <w:rFonts w:ascii="Times New Roman" w:hAnsi="Times New Roman" w:cs="Times New Roman"/>
          <w:sz w:val="24"/>
          <w:szCs w:val="24"/>
        </w:rPr>
        <w:tab/>
      </w:r>
      <w:r>
        <w:rPr>
          <w:rFonts w:ascii="Times New Roman" w:hAnsi="Times New Roman" w:cs="Times New Roman"/>
          <w:sz w:val="24"/>
          <w:szCs w:val="24"/>
        </w:rPr>
        <w:t>2</w:t>
      </w:r>
      <w:r>
        <w:rPr>
          <w:rFonts w:ascii="Times New Roman" w:hAnsi="Times New Roman" w:cs="Times New Roman"/>
          <w:sz w:val="24"/>
          <w:szCs w:val="24"/>
          <w:u w:val="single"/>
          <w:vertAlign w:val="superscript"/>
        </w:rPr>
        <w:t>nd</w:t>
      </w:r>
      <w:r w:rsidRPr="00970A93">
        <w:rPr>
          <w:rFonts w:ascii="Times New Roman" w:hAnsi="Times New Roman" w:cs="Times New Roman"/>
          <w:sz w:val="24"/>
          <w:szCs w:val="24"/>
          <w:u w:val="single"/>
          <w:vertAlign w:val="superscript"/>
        </w:rPr>
        <w:t xml:space="preserve"> </w:t>
      </w:r>
      <w:r w:rsidRPr="00970A93">
        <w:rPr>
          <w:rFonts w:ascii="Times New Roman" w:hAnsi="Times New Roman" w:cs="Times New Roman"/>
          <w:sz w:val="24"/>
          <w:szCs w:val="24"/>
          <w:u w:val="single"/>
        </w:rPr>
        <w:t>Step:</w:t>
      </w:r>
      <w:r>
        <w:rPr>
          <w:rFonts w:ascii="Times New Roman" w:hAnsi="Times New Roman" w:cs="Times New Roman"/>
          <w:sz w:val="24"/>
          <w:szCs w:val="24"/>
        </w:rPr>
        <w:t xml:space="preserve"> </w:t>
      </w:r>
      <w:r w:rsidRPr="00970A93">
        <w:rPr>
          <w:rFonts w:ascii="Times New Roman" w:hAnsi="Times New Roman" w:cs="Times New Roman"/>
          <w:sz w:val="24"/>
          <w:szCs w:val="24"/>
        </w:rPr>
        <w:t xml:space="preserve">Fluorescent in situ hybridization of 200 interphase cells from peripheral blood with </w:t>
      </w:r>
      <w:r w:rsidRPr="00970A93">
        <w:rPr>
          <w:rFonts w:ascii="Times New Roman" w:hAnsi="Times New Roman" w:cs="Times New Roman"/>
          <w:i/>
          <w:iCs/>
          <w:sz w:val="24"/>
          <w:szCs w:val="24"/>
        </w:rPr>
        <w:t>NF1</w:t>
      </w:r>
      <w:r w:rsidRPr="00970A93">
        <w:rPr>
          <w:rFonts w:ascii="Times New Roman" w:hAnsi="Times New Roman" w:cs="Times New Roman"/>
          <w:sz w:val="24"/>
          <w:szCs w:val="24"/>
        </w:rPr>
        <w:t xml:space="preserve"> specific 17q11 probe (Kreatech, Amsterdam, Netherlands) was performed</w:t>
      </w:r>
      <w:r>
        <w:rPr>
          <w:rFonts w:ascii="Times New Roman" w:hAnsi="Times New Roman" w:cs="Times New Roman"/>
          <w:sz w:val="24"/>
          <w:szCs w:val="24"/>
        </w:rPr>
        <w:t xml:space="preserve"> to exclude whole </w:t>
      </w:r>
      <w:r>
        <w:rPr>
          <w:rFonts w:ascii="Times New Roman" w:hAnsi="Times New Roman" w:cs="Times New Roman"/>
          <w:i/>
          <w:iCs/>
          <w:sz w:val="24"/>
          <w:szCs w:val="24"/>
        </w:rPr>
        <w:t xml:space="preserve">NF1 </w:t>
      </w:r>
      <w:r>
        <w:rPr>
          <w:rFonts w:ascii="Times New Roman" w:hAnsi="Times New Roman" w:cs="Times New Roman"/>
          <w:sz w:val="24"/>
          <w:szCs w:val="24"/>
        </w:rPr>
        <w:t>deletion and its mosaicism</w:t>
      </w:r>
      <w:r w:rsidRPr="00970A93">
        <w:rPr>
          <w:rFonts w:ascii="Times New Roman" w:hAnsi="Times New Roman" w:cs="Times New Roman"/>
          <w:sz w:val="24"/>
          <w:szCs w:val="24"/>
        </w:rPr>
        <w:t>.</w:t>
      </w:r>
    </w:p>
    <w:p w14:paraId="041E6DE0" w14:textId="68070C09" w:rsidR="00122DCB" w:rsidRDefault="00122DCB" w:rsidP="00122DCB">
      <w:pPr>
        <w:spacing w:line="360" w:lineRule="auto"/>
        <w:rPr>
          <w:rFonts w:ascii="Times New Roman" w:hAnsi="Times New Roman" w:cs="Times New Roman"/>
          <w:sz w:val="24"/>
          <w:szCs w:val="24"/>
        </w:rPr>
      </w:pPr>
      <w:r w:rsidRPr="00970A93">
        <w:rPr>
          <w:rFonts w:ascii="Times New Roman" w:hAnsi="Times New Roman" w:cs="Times New Roman"/>
          <w:sz w:val="24"/>
          <w:szCs w:val="24"/>
        </w:rPr>
        <w:t>o</w:t>
      </w:r>
      <w:r w:rsidRPr="00970A93">
        <w:rPr>
          <w:rFonts w:ascii="Times New Roman" w:hAnsi="Times New Roman" w:cs="Times New Roman"/>
          <w:sz w:val="24"/>
          <w:szCs w:val="24"/>
        </w:rPr>
        <w:tab/>
      </w:r>
      <w:r>
        <w:rPr>
          <w:rFonts w:ascii="Times New Roman" w:hAnsi="Times New Roman" w:cs="Times New Roman"/>
          <w:sz w:val="24"/>
          <w:szCs w:val="24"/>
        </w:rPr>
        <w:t>3</w:t>
      </w:r>
      <w:r>
        <w:rPr>
          <w:rFonts w:ascii="Times New Roman" w:hAnsi="Times New Roman" w:cs="Times New Roman"/>
          <w:sz w:val="24"/>
          <w:szCs w:val="24"/>
          <w:u w:val="single"/>
          <w:vertAlign w:val="superscript"/>
        </w:rPr>
        <w:t>r</w:t>
      </w:r>
      <w:r>
        <w:rPr>
          <w:rFonts w:ascii="Times New Roman" w:hAnsi="Times New Roman" w:cs="Times New Roman"/>
          <w:sz w:val="24"/>
          <w:szCs w:val="24"/>
          <w:u w:val="single"/>
          <w:vertAlign w:val="superscript"/>
        </w:rPr>
        <w:t>d</w:t>
      </w:r>
      <w:r w:rsidRPr="00970A93">
        <w:rPr>
          <w:rFonts w:ascii="Times New Roman" w:hAnsi="Times New Roman" w:cs="Times New Roman"/>
          <w:sz w:val="24"/>
          <w:szCs w:val="24"/>
          <w:u w:val="single"/>
          <w:vertAlign w:val="superscript"/>
        </w:rPr>
        <w:t xml:space="preserve"> </w:t>
      </w:r>
      <w:r w:rsidRPr="00970A93">
        <w:rPr>
          <w:rFonts w:ascii="Times New Roman" w:hAnsi="Times New Roman" w:cs="Times New Roman"/>
          <w:sz w:val="24"/>
          <w:szCs w:val="24"/>
          <w:u w:val="single"/>
        </w:rPr>
        <w:t>Step:</w:t>
      </w:r>
      <w:r>
        <w:rPr>
          <w:rFonts w:ascii="Times New Roman" w:hAnsi="Times New Roman" w:cs="Times New Roman"/>
          <w:sz w:val="24"/>
          <w:szCs w:val="24"/>
        </w:rPr>
        <w:t xml:space="preserve"> </w:t>
      </w:r>
      <w:r>
        <w:rPr>
          <w:rFonts w:ascii="Times New Roman" w:hAnsi="Times New Roman" w:cs="Times New Roman"/>
          <w:i/>
          <w:iCs/>
          <w:sz w:val="24"/>
          <w:szCs w:val="24"/>
        </w:rPr>
        <w:t xml:space="preserve">NF1 </w:t>
      </w:r>
      <w:r>
        <w:rPr>
          <w:rFonts w:ascii="Times New Roman" w:hAnsi="Times New Roman" w:cs="Times New Roman"/>
          <w:sz w:val="24"/>
          <w:szCs w:val="24"/>
        </w:rPr>
        <w:t>variation detection with MLPA as Polgar and its colleagues described previously in 2011 (</w:t>
      </w:r>
      <w:r w:rsidRPr="00122DCB">
        <w:rPr>
          <w:rFonts w:ascii="Times New Roman" w:hAnsi="Times New Roman" w:cs="Times New Roman"/>
          <w:sz w:val="24"/>
          <w:szCs w:val="24"/>
        </w:rPr>
        <w:t xml:space="preserve">Polgár </w:t>
      </w:r>
      <w:r>
        <w:rPr>
          <w:rFonts w:ascii="Times New Roman" w:hAnsi="Times New Roman" w:cs="Times New Roman"/>
          <w:sz w:val="24"/>
          <w:szCs w:val="24"/>
        </w:rPr>
        <w:t>N</w:t>
      </w:r>
      <w:r w:rsidRPr="00122DCB">
        <w:rPr>
          <w:rFonts w:ascii="Times New Roman" w:hAnsi="Times New Roman" w:cs="Times New Roman"/>
          <w:sz w:val="24"/>
          <w:szCs w:val="24"/>
        </w:rPr>
        <w:t>, Komlósi</w:t>
      </w:r>
      <w:r>
        <w:rPr>
          <w:rFonts w:ascii="Times New Roman" w:hAnsi="Times New Roman" w:cs="Times New Roman"/>
          <w:sz w:val="24"/>
          <w:szCs w:val="24"/>
        </w:rPr>
        <w:t xml:space="preserve"> K</w:t>
      </w:r>
      <w:r w:rsidRPr="00122DCB">
        <w:rPr>
          <w:rFonts w:ascii="Times New Roman" w:hAnsi="Times New Roman" w:cs="Times New Roman"/>
          <w:sz w:val="24"/>
          <w:szCs w:val="24"/>
        </w:rPr>
        <w:t>, Hadzsiev</w:t>
      </w:r>
      <w:r>
        <w:rPr>
          <w:rFonts w:ascii="Times New Roman" w:hAnsi="Times New Roman" w:cs="Times New Roman"/>
          <w:sz w:val="24"/>
          <w:szCs w:val="24"/>
        </w:rPr>
        <w:t xml:space="preserve"> K</w:t>
      </w:r>
      <w:r w:rsidRPr="00122DCB">
        <w:rPr>
          <w:rFonts w:ascii="Times New Roman" w:hAnsi="Times New Roman" w:cs="Times New Roman"/>
          <w:sz w:val="24"/>
          <w:szCs w:val="24"/>
        </w:rPr>
        <w:t>, Illés</w:t>
      </w:r>
      <w:r>
        <w:rPr>
          <w:rFonts w:ascii="Times New Roman" w:hAnsi="Times New Roman" w:cs="Times New Roman"/>
          <w:sz w:val="24"/>
          <w:szCs w:val="24"/>
        </w:rPr>
        <w:t xml:space="preserve"> T</w:t>
      </w:r>
      <w:r w:rsidRPr="00122DCB">
        <w:rPr>
          <w:rFonts w:ascii="Times New Roman" w:hAnsi="Times New Roman" w:cs="Times New Roman"/>
          <w:sz w:val="24"/>
          <w:szCs w:val="24"/>
        </w:rPr>
        <w:t>, Melegh</w:t>
      </w:r>
      <w:r>
        <w:rPr>
          <w:rFonts w:ascii="Times New Roman" w:hAnsi="Times New Roman" w:cs="Times New Roman"/>
          <w:sz w:val="24"/>
          <w:szCs w:val="24"/>
        </w:rPr>
        <w:t xml:space="preserve"> B. </w:t>
      </w:r>
      <w:r w:rsidRPr="00122DCB">
        <w:rPr>
          <w:rFonts w:ascii="Times New Roman" w:hAnsi="Times New Roman" w:cs="Times New Roman"/>
          <w:sz w:val="24"/>
          <w:szCs w:val="24"/>
        </w:rPr>
        <w:t>[Molecular genetic diagnosis of neurofibromatosis type I]</w:t>
      </w:r>
      <w:r>
        <w:rPr>
          <w:rFonts w:ascii="Times New Roman" w:hAnsi="Times New Roman" w:cs="Times New Roman"/>
          <w:sz w:val="24"/>
          <w:szCs w:val="24"/>
        </w:rPr>
        <w:t xml:space="preserve">. </w:t>
      </w:r>
      <w:r w:rsidRPr="00122DCB">
        <w:rPr>
          <w:rFonts w:ascii="Times New Roman" w:hAnsi="Times New Roman" w:cs="Times New Roman"/>
          <w:sz w:val="24"/>
          <w:szCs w:val="24"/>
        </w:rPr>
        <w:t>Orv Hetil. 2011;</w:t>
      </w:r>
      <w:r>
        <w:rPr>
          <w:rFonts w:ascii="Times New Roman" w:hAnsi="Times New Roman" w:cs="Times New Roman"/>
          <w:sz w:val="24"/>
          <w:szCs w:val="24"/>
        </w:rPr>
        <w:t xml:space="preserve"> </w:t>
      </w:r>
      <w:r w:rsidRPr="00122DCB">
        <w:rPr>
          <w:rFonts w:ascii="Times New Roman" w:hAnsi="Times New Roman" w:cs="Times New Roman"/>
          <w:sz w:val="24"/>
          <w:szCs w:val="24"/>
        </w:rPr>
        <w:t>152(11):</w:t>
      </w:r>
      <w:r>
        <w:rPr>
          <w:rFonts w:ascii="Times New Roman" w:hAnsi="Times New Roman" w:cs="Times New Roman"/>
          <w:sz w:val="24"/>
          <w:szCs w:val="24"/>
        </w:rPr>
        <w:t xml:space="preserve"> </w:t>
      </w:r>
      <w:r w:rsidRPr="00122DCB">
        <w:rPr>
          <w:rFonts w:ascii="Times New Roman" w:hAnsi="Times New Roman" w:cs="Times New Roman"/>
          <w:sz w:val="24"/>
          <w:szCs w:val="24"/>
        </w:rPr>
        <w:t>415-</w:t>
      </w:r>
      <w:r>
        <w:rPr>
          <w:rFonts w:ascii="Times New Roman" w:hAnsi="Times New Roman" w:cs="Times New Roman"/>
          <w:sz w:val="24"/>
          <w:szCs w:val="24"/>
        </w:rPr>
        <w:t>41</w:t>
      </w:r>
      <w:r w:rsidRPr="00122DCB">
        <w:rPr>
          <w:rFonts w:ascii="Times New Roman" w:hAnsi="Times New Roman" w:cs="Times New Roman"/>
          <w:sz w:val="24"/>
          <w:szCs w:val="24"/>
        </w:rPr>
        <w:t xml:space="preserve">9. </w:t>
      </w:r>
      <w:hyperlink r:id="rId5" w:history="1">
        <w:r w:rsidR="00344FCD" w:rsidRPr="001D08A2">
          <w:rPr>
            <w:rStyle w:val="Hiperhivatkozs"/>
            <w:rFonts w:ascii="Times New Roman" w:hAnsi="Times New Roman" w:cs="Times New Roman"/>
            <w:sz w:val="24"/>
            <w:szCs w:val="24"/>
          </w:rPr>
          <w:t>https://</w:t>
        </w:r>
        <w:r w:rsidR="00344FCD" w:rsidRPr="001D08A2">
          <w:rPr>
            <w:rStyle w:val="Hiperhivatkozs"/>
            <w:rFonts w:ascii="Times New Roman" w:hAnsi="Times New Roman" w:cs="Times New Roman"/>
            <w:sz w:val="24"/>
            <w:szCs w:val="24"/>
          </w:rPr>
          <w:t>doi</w:t>
        </w:r>
        <w:r w:rsidR="00344FCD" w:rsidRPr="001D08A2">
          <w:rPr>
            <w:rStyle w:val="Hiperhivatkozs"/>
            <w:rFonts w:ascii="Times New Roman" w:hAnsi="Times New Roman" w:cs="Times New Roman"/>
            <w:sz w:val="24"/>
            <w:szCs w:val="24"/>
          </w:rPr>
          <w:t>.org/</w:t>
        </w:r>
        <w:r w:rsidR="00344FCD" w:rsidRPr="001D08A2">
          <w:rPr>
            <w:rStyle w:val="Hiperhivatkozs"/>
            <w:rFonts w:ascii="Times New Roman" w:hAnsi="Times New Roman" w:cs="Times New Roman"/>
            <w:sz w:val="24"/>
            <w:szCs w:val="24"/>
          </w:rPr>
          <w:t>10.1556/OH.2011.29059</w:t>
        </w:r>
      </w:hyperlink>
      <w:r>
        <w:rPr>
          <w:rFonts w:ascii="Times New Roman" w:hAnsi="Times New Roman" w:cs="Times New Roman"/>
          <w:sz w:val="24"/>
          <w:szCs w:val="24"/>
        </w:rPr>
        <w:t>).</w:t>
      </w:r>
    </w:p>
    <w:p w14:paraId="43AD3AE0" w14:textId="77777777" w:rsidR="00344FCD" w:rsidRDefault="00344FCD" w:rsidP="00970A93">
      <w:pPr>
        <w:spacing w:line="360" w:lineRule="auto"/>
        <w:rPr>
          <w:rFonts w:ascii="Times New Roman" w:hAnsi="Times New Roman" w:cs="Times New Roman"/>
          <w:sz w:val="24"/>
          <w:szCs w:val="24"/>
        </w:rPr>
      </w:pPr>
      <w:r w:rsidRPr="00970A93">
        <w:rPr>
          <w:rFonts w:ascii="Times New Roman" w:hAnsi="Times New Roman" w:cs="Times New Roman"/>
          <w:sz w:val="24"/>
          <w:szCs w:val="24"/>
        </w:rPr>
        <w:t>o</w:t>
      </w:r>
      <w:r w:rsidRPr="00970A93">
        <w:rPr>
          <w:rFonts w:ascii="Times New Roman" w:hAnsi="Times New Roman" w:cs="Times New Roman"/>
          <w:sz w:val="24"/>
          <w:szCs w:val="24"/>
        </w:rPr>
        <w:tab/>
      </w:r>
      <w:r>
        <w:rPr>
          <w:rFonts w:ascii="Times New Roman" w:hAnsi="Times New Roman" w:cs="Times New Roman"/>
          <w:sz w:val="24"/>
          <w:szCs w:val="24"/>
        </w:rPr>
        <w:t>4</w:t>
      </w:r>
      <w:r>
        <w:rPr>
          <w:rFonts w:ascii="Times New Roman" w:hAnsi="Times New Roman" w:cs="Times New Roman"/>
          <w:sz w:val="24"/>
          <w:szCs w:val="24"/>
          <w:u w:val="single"/>
          <w:vertAlign w:val="superscript"/>
        </w:rPr>
        <w:t>th</w:t>
      </w:r>
      <w:r w:rsidRPr="00970A93">
        <w:rPr>
          <w:rFonts w:ascii="Times New Roman" w:hAnsi="Times New Roman" w:cs="Times New Roman"/>
          <w:sz w:val="24"/>
          <w:szCs w:val="24"/>
          <w:u w:val="single"/>
          <w:vertAlign w:val="superscript"/>
        </w:rPr>
        <w:t xml:space="preserve"> </w:t>
      </w:r>
      <w:r w:rsidRPr="00970A93">
        <w:rPr>
          <w:rFonts w:ascii="Times New Roman" w:hAnsi="Times New Roman" w:cs="Times New Roman"/>
          <w:sz w:val="24"/>
          <w:szCs w:val="24"/>
          <w:u w:val="single"/>
        </w:rPr>
        <w:t>Step:</w:t>
      </w:r>
      <w:r w:rsidRPr="00344FCD">
        <w:rPr>
          <w:rFonts w:ascii="Times New Roman" w:hAnsi="Times New Roman" w:cs="Times New Roman"/>
          <w:i/>
          <w:iCs/>
          <w:sz w:val="24"/>
          <w:szCs w:val="24"/>
        </w:rPr>
        <w:t xml:space="preserve"> </w:t>
      </w:r>
      <w:r>
        <w:rPr>
          <w:rFonts w:ascii="Times New Roman" w:hAnsi="Times New Roman" w:cs="Times New Roman"/>
          <w:i/>
          <w:iCs/>
          <w:sz w:val="24"/>
          <w:szCs w:val="24"/>
        </w:rPr>
        <w:t xml:space="preserve">NF1 </w:t>
      </w:r>
      <w:r>
        <w:rPr>
          <w:rFonts w:ascii="Times New Roman" w:hAnsi="Times New Roman" w:cs="Times New Roman"/>
          <w:sz w:val="24"/>
          <w:szCs w:val="24"/>
        </w:rPr>
        <w:t>variation detection with</w:t>
      </w:r>
      <w:r w:rsidR="00970A93" w:rsidRPr="00970A93">
        <w:rPr>
          <w:rFonts w:ascii="Times New Roman" w:hAnsi="Times New Roman" w:cs="Times New Roman"/>
          <w:sz w:val="24"/>
          <w:szCs w:val="24"/>
        </w:rPr>
        <w:t xml:space="preserve"> </w:t>
      </w:r>
      <w:r>
        <w:rPr>
          <w:rFonts w:ascii="Times New Roman" w:hAnsi="Times New Roman" w:cs="Times New Roman"/>
          <w:sz w:val="24"/>
          <w:szCs w:val="24"/>
        </w:rPr>
        <w:t xml:space="preserve">NGS and </w:t>
      </w:r>
      <w:r w:rsidR="00970A93" w:rsidRPr="00970A93">
        <w:rPr>
          <w:rFonts w:ascii="Times New Roman" w:hAnsi="Times New Roman" w:cs="Times New Roman"/>
          <w:sz w:val="24"/>
          <w:szCs w:val="24"/>
        </w:rPr>
        <w:t>validat</w:t>
      </w:r>
      <w:r>
        <w:rPr>
          <w:rFonts w:ascii="Times New Roman" w:hAnsi="Times New Roman" w:cs="Times New Roman"/>
          <w:sz w:val="24"/>
          <w:szCs w:val="24"/>
        </w:rPr>
        <w:t>ion</w:t>
      </w:r>
      <w:r w:rsidR="00970A93" w:rsidRPr="00970A93">
        <w:rPr>
          <w:rFonts w:ascii="Times New Roman" w:hAnsi="Times New Roman" w:cs="Times New Roman"/>
          <w:sz w:val="24"/>
          <w:szCs w:val="24"/>
        </w:rPr>
        <w:t xml:space="preserve"> with Sanger sequencing.</w:t>
      </w:r>
    </w:p>
    <w:p w14:paraId="37BC5912" w14:textId="77777777" w:rsidR="005127BA" w:rsidRDefault="00970A93" w:rsidP="00970A93">
      <w:pPr>
        <w:pStyle w:val="Listaszerbekezds"/>
        <w:numPr>
          <w:ilvl w:val="0"/>
          <w:numId w:val="2"/>
        </w:numPr>
        <w:spacing w:line="360" w:lineRule="auto"/>
        <w:rPr>
          <w:rFonts w:ascii="Times New Roman" w:hAnsi="Times New Roman" w:cs="Times New Roman"/>
          <w:sz w:val="24"/>
          <w:szCs w:val="24"/>
        </w:rPr>
      </w:pPr>
      <w:r w:rsidRPr="005127BA">
        <w:rPr>
          <w:rFonts w:ascii="Times New Roman" w:hAnsi="Times New Roman" w:cs="Times New Roman"/>
          <w:sz w:val="24"/>
          <w:szCs w:val="24"/>
          <w:u w:val="single"/>
        </w:rPr>
        <w:t>Preparation of genomic DNA:</w:t>
      </w:r>
      <w:r w:rsidRPr="005127BA">
        <w:rPr>
          <w:rFonts w:ascii="Times New Roman" w:hAnsi="Times New Roman" w:cs="Times New Roman"/>
          <w:sz w:val="24"/>
          <w:szCs w:val="24"/>
        </w:rPr>
        <w:t xml:space="preserve"> DNA was prepared and amplified from peripheral blood samples in a total volume of 25 µl according to the protocol of the High Pure PCR Template Purification kit (Roche Diagnostics GmbH, Mannheim, Germany) or Bioline Immomix (Roche Diagnostics GmbH, Mannheim, Germany). The PCR reaction began with an initial denaturation step at 95°C for 7 min and was followed by 35 cycles of 94°C for 1 min, 65°C for 45 s and 72°C for 30 s, together with a final extension step at 72°C for 10 min.</w:t>
      </w:r>
    </w:p>
    <w:p w14:paraId="2E5CB3B8" w14:textId="77777777" w:rsidR="00445FAA" w:rsidRDefault="00970A93" w:rsidP="00970A93">
      <w:pPr>
        <w:pStyle w:val="Listaszerbekezds"/>
        <w:numPr>
          <w:ilvl w:val="0"/>
          <w:numId w:val="2"/>
        </w:numPr>
        <w:spacing w:line="360" w:lineRule="auto"/>
        <w:rPr>
          <w:rFonts w:ascii="Times New Roman" w:hAnsi="Times New Roman" w:cs="Times New Roman"/>
          <w:sz w:val="24"/>
          <w:szCs w:val="24"/>
        </w:rPr>
      </w:pPr>
      <w:r w:rsidRPr="00445FAA">
        <w:rPr>
          <w:rFonts w:ascii="Times New Roman" w:hAnsi="Times New Roman" w:cs="Times New Roman"/>
          <w:sz w:val="24"/>
          <w:szCs w:val="24"/>
          <w:u w:val="single"/>
        </w:rPr>
        <w:t>NGS</w:t>
      </w:r>
      <w:r w:rsidR="005127BA" w:rsidRPr="00445FAA">
        <w:rPr>
          <w:rFonts w:ascii="Times New Roman" w:hAnsi="Times New Roman" w:cs="Times New Roman"/>
          <w:sz w:val="24"/>
          <w:szCs w:val="24"/>
          <w:u w:val="single"/>
        </w:rPr>
        <w:t>:</w:t>
      </w:r>
      <w:r w:rsidRPr="00445FAA">
        <w:rPr>
          <w:rFonts w:ascii="Times New Roman" w:hAnsi="Times New Roman" w:cs="Times New Roman"/>
          <w:sz w:val="24"/>
          <w:szCs w:val="24"/>
        </w:rPr>
        <w:t xml:space="preserve"> analysis was performed on Illumina HiSeq (2500/4000) instrument using the SureSelect Human All Exon V6 kit for library preparation.</w:t>
      </w:r>
    </w:p>
    <w:p w14:paraId="43BF743D" w14:textId="77777777" w:rsidR="00445FAA" w:rsidRDefault="00970A93" w:rsidP="00445FAA">
      <w:pPr>
        <w:pStyle w:val="Listaszerbekezds"/>
        <w:numPr>
          <w:ilvl w:val="1"/>
          <w:numId w:val="2"/>
        </w:numPr>
        <w:spacing w:line="360" w:lineRule="auto"/>
        <w:rPr>
          <w:rFonts w:ascii="Times New Roman" w:hAnsi="Times New Roman" w:cs="Times New Roman"/>
          <w:sz w:val="24"/>
          <w:szCs w:val="24"/>
        </w:rPr>
      </w:pPr>
      <w:r w:rsidRPr="00445FAA">
        <w:rPr>
          <w:rFonts w:ascii="Times New Roman" w:hAnsi="Times New Roman" w:cs="Times New Roman"/>
          <w:sz w:val="24"/>
          <w:szCs w:val="24"/>
        </w:rPr>
        <w:t>Coverage: 99.03% (all exons and 100 bp introns)</w:t>
      </w:r>
    </w:p>
    <w:p w14:paraId="76447B77" w14:textId="77777777" w:rsidR="00445FAA" w:rsidRDefault="00970A93" w:rsidP="00445FAA">
      <w:pPr>
        <w:pStyle w:val="Listaszerbekezds"/>
        <w:numPr>
          <w:ilvl w:val="1"/>
          <w:numId w:val="2"/>
        </w:numPr>
        <w:spacing w:line="360" w:lineRule="auto"/>
        <w:rPr>
          <w:rFonts w:ascii="Times New Roman" w:hAnsi="Times New Roman" w:cs="Times New Roman"/>
          <w:sz w:val="24"/>
          <w:szCs w:val="24"/>
        </w:rPr>
      </w:pPr>
      <w:r w:rsidRPr="00445FAA">
        <w:rPr>
          <w:rFonts w:ascii="Times New Roman" w:hAnsi="Times New Roman" w:cs="Times New Roman"/>
          <w:sz w:val="24"/>
          <w:szCs w:val="24"/>
        </w:rPr>
        <w:t>Average Depth: 74x</w:t>
      </w:r>
    </w:p>
    <w:p w14:paraId="4CA5DAA8" w14:textId="77777777" w:rsidR="002C6096" w:rsidRDefault="00970A93" w:rsidP="002C6096">
      <w:pPr>
        <w:pStyle w:val="Listaszerbekezds"/>
        <w:numPr>
          <w:ilvl w:val="0"/>
          <w:numId w:val="2"/>
        </w:numPr>
        <w:spacing w:line="360" w:lineRule="auto"/>
        <w:rPr>
          <w:rFonts w:ascii="Times New Roman" w:hAnsi="Times New Roman" w:cs="Times New Roman"/>
          <w:sz w:val="24"/>
          <w:szCs w:val="24"/>
        </w:rPr>
      </w:pPr>
      <w:r w:rsidRPr="005C6E60">
        <w:rPr>
          <w:rFonts w:ascii="Times New Roman" w:hAnsi="Times New Roman" w:cs="Times New Roman"/>
          <w:sz w:val="24"/>
          <w:szCs w:val="24"/>
          <w:u w:val="single"/>
        </w:rPr>
        <w:lastRenderedPageBreak/>
        <w:t>Sanger sequencing</w:t>
      </w:r>
      <w:r w:rsidRPr="00445FAA">
        <w:rPr>
          <w:rFonts w:ascii="Times New Roman" w:hAnsi="Times New Roman" w:cs="Times New Roman"/>
          <w:sz w:val="24"/>
          <w:szCs w:val="24"/>
        </w:rPr>
        <w:t xml:space="preserve">: was performed on an ABIPRISM 310 genetic </w:t>
      </w:r>
      <w:r w:rsidR="005C6E60" w:rsidRPr="00445FAA">
        <w:rPr>
          <w:rFonts w:ascii="Times New Roman" w:hAnsi="Times New Roman" w:cs="Times New Roman"/>
          <w:sz w:val="24"/>
          <w:szCs w:val="24"/>
        </w:rPr>
        <w:t>analyser</w:t>
      </w:r>
      <w:r w:rsidRPr="00445FAA">
        <w:rPr>
          <w:rFonts w:ascii="Times New Roman" w:hAnsi="Times New Roman" w:cs="Times New Roman"/>
          <w:sz w:val="24"/>
          <w:szCs w:val="24"/>
        </w:rPr>
        <w:t xml:space="preserve"> using BigDye terminator cycle sequencing kit v.3.1 (Applied Biosystems, Foster City, CA).</w:t>
      </w:r>
    </w:p>
    <w:p w14:paraId="46BE1A66" w14:textId="11C24D8E" w:rsidR="005127BA" w:rsidRPr="002C6096" w:rsidRDefault="005127BA" w:rsidP="002C6096">
      <w:pPr>
        <w:pStyle w:val="Listaszerbekezds"/>
        <w:numPr>
          <w:ilvl w:val="0"/>
          <w:numId w:val="2"/>
        </w:numPr>
        <w:spacing w:line="360" w:lineRule="auto"/>
        <w:rPr>
          <w:rFonts w:ascii="Times New Roman" w:hAnsi="Times New Roman" w:cs="Times New Roman"/>
          <w:sz w:val="24"/>
          <w:szCs w:val="24"/>
        </w:rPr>
      </w:pPr>
      <w:r w:rsidRPr="002C6096">
        <w:rPr>
          <w:rFonts w:ascii="Times New Roman" w:hAnsi="Times New Roman" w:cs="Times New Roman"/>
          <w:sz w:val="24"/>
          <w:szCs w:val="24"/>
          <w:u w:val="single"/>
        </w:rPr>
        <w:t>The sequences were compared with</w:t>
      </w:r>
      <w:r w:rsidR="002C6096">
        <w:rPr>
          <w:rFonts w:ascii="Times New Roman" w:hAnsi="Times New Roman" w:cs="Times New Roman"/>
          <w:sz w:val="24"/>
          <w:szCs w:val="24"/>
        </w:rPr>
        <w:t>:</w:t>
      </w:r>
      <w:r w:rsidRPr="002C6096">
        <w:rPr>
          <w:rFonts w:ascii="Times New Roman" w:hAnsi="Times New Roman" w:cs="Times New Roman"/>
          <w:sz w:val="24"/>
          <w:szCs w:val="24"/>
        </w:rPr>
        <w:t xml:space="preserve"> the revised Cambridge reference sequence (https://www.ncbi.nlm.nih.gov/nuccore/213385299; NCBI Reference Sequence: NG_009018.1).</w:t>
      </w:r>
    </w:p>
    <w:sectPr w:rsidR="005127BA" w:rsidRPr="002C6096" w:rsidSect="002236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695DAC"/>
    <w:multiLevelType w:val="hybridMultilevel"/>
    <w:tmpl w:val="B95CA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744F07"/>
    <w:multiLevelType w:val="hybridMultilevel"/>
    <w:tmpl w:val="E86ACB7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58F"/>
    <w:rsid w:val="000F12CD"/>
    <w:rsid w:val="00122DCB"/>
    <w:rsid w:val="002236F7"/>
    <w:rsid w:val="002C6096"/>
    <w:rsid w:val="00344FCD"/>
    <w:rsid w:val="00445FAA"/>
    <w:rsid w:val="005127BA"/>
    <w:rsid w:val="005C6E60"/>
    <w:rsid w:val="0074358F"/>
    <w:rsid w:val="0078567C"/>
    <w:rsid w:val="008A59B6"/>
    <w:rsid w:val="0094048E"/>
    <w:rsid w:val="00970A93"/>
    <w:rsid w:val="00D309F7"/>
    <w:rsid w:val="00E23E3D"/>
    <w:rsid w:val="00E660A3"/>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3FD64"/>
  <w15:chartTrackingRefBased/>
  <w15:docId w15:val="{5B4F5112-3B93-43E9-A992-891CD3BA3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122DCB"/>
    <w:pPr>
      <w:ind w:left="720"/>
      <w:contextualSpacing/>
    </w:pPr>
  </w:style>
  <w:style w:type="character" w:styleId="Hiperhivatkozs">
    <w:name w:val="Hyperlink"/>
    <w:basedOn w:val="Bekezdsalapbettpusa"/>
    <w:uiPriority w:val="99"/>
    <w:unhideWhenUsed/>
    <w:rsid w:val="00344FCD"/>
    <w:rPr>
      <w:color w:val="0563C1" w:themeColor="hyperlink"/>
      <w:u w:val="single"/>
    </w:rPr>
  </w:style>
  <w:style w:type="character" w:styleId="Feloldatlanmegemlts">
    <w:name w:val="Unresolved Mention"/>
    <w:basedOn w:val="Bekezdsalapbettpusa"/>
    <w:uiPriority w:val="99"/>
    <w:semiHidden/>
    <w:unhideWhenUsed/>
    <w:rsid w:val="00344F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556/OH.2011.2905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316</Words>
  <Characters>1803</Characters>
  <Application>Microsoft Office Word</Application>
  <DocSecurity>0</DocSecurity>
  <Lines>15</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evapinti1991@gmail.com</dc:creator>
  <cp:keywords/>
  <dc:description/>
  <cp:lastModifiedBy>evapinti1991@gmail.com</cp:lastModifiedBy>
  <cp:revision>8</cp:revision>
  <dcterms:created xsi:type="dcterms:W3CDTF">2021-04-04T12:22:00Z</dcterms:created>
  <dcterms:modified xsi:type="dcterms:W3CDTF">2021-04-04T12:38:00Z</dcterms:modified>
</cp:coreProperties>
</file>