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28" w:rsidRDefault="00CF0828" w:rsidP="00CF0828">
      <w:pPr>
        <w:rPr>
          <w:rFonts w:eastAsia="Calibri"/>
          <w:b/>
          <w:color w:val="000000"/>
          <w:szCs w:val="24"/>
        </w:rPr>
      </w:pPr>
      <w:r w:rsidRPr="00021A83">
        <w:rPr>
          <w:rFonts w:eastAsia="Calibri"/>
          <w:b/>
          <w:color w:val="000000"/>
          <w:szCs w:val="24"/>
        </w:rPr>
        <w:t xml:space="preserve">Summary of </w:t>
      </w:r>
      <w:r w:rsidRPr="009208C4">
        <w:rPr>
          <w:b/>
        </w:rPr>
        <w:t>supportive</w:t>
      </w:r>
      <w:r w:rsidRPr="006C7215">
        <w:t xml:space="preserve"> </w:t>
      </w:r>
      <w:r w:rsidRPr="00021A83">
        <w:rPr>
          <w:rFonts w:eastAsia="Calibri"/>
          <w:b/>
          <w:color w:val="000000"/>
          <w:szCs w:val="24"/>
        </w:rPr>
        <w:t>management</w:t>
      </w:r>
      <w:r>
        <w:rPr>
          <w:rFonts w:eastAsia="Calibri"/>
          <w:b/>
          <w:color w:val="000000"/>
          <w:szCs w:val="24"/>
        </w:rPr>
        <w:t>s</w:t>
      </w:r>
      <w:r>
        <w:rPr>
          <w:rFonts w:eastAsia="Calibri"/>
          <w:b/>
          <w:color w:val="000000"/>
          <w:szCs w:val="24"/>
        </w:rPr>
        <w:t xml:space="preserve"> for</w:t>
      </w:r>
      <w:r w:rsidRPr="00021A83">
        <w:rPr>
          <w:rFonts w:eastAsia="Calibri"/>
          <w:b/>
          <w:color w:val="000000"/>
          <w:szCs w:val="24"/>
        </w:rPr>
        <w:t xml:space="preserve"> pediatric cancer patients at JUMC, pediatric oncology unit </w:t>
      </w:r>
    </w:p>
    <w:p w:rsidR="009208C4" w:rsidRDefault="009208C4" w:rsidP="009208C4">
      <w:pPr>
        <w:pStyle w:val="Normal1"/>
        <w:rPr>
          <w:b w:val="0"/>
        </w:rPr>
      </w:pPr>
      <w:r>
        <w:rPr>
          <w:b w:val="0"/>
        </w:rPr>
        <w:t xml:space="preserve">In addition to chemotherapy drugs, the patients were also prescribed some premedications to prevent the expected ADRs of chemotherapeutic agents. The most commonly prescribed premedications include: Ondansetron, dexamethasone, metoclopramide and </w:t>
      </w:r>
      <w:r w:rsidR="00055B23">
        <w:rPr>
          <w:b w:val="0"/>
        </w:rPr>
        <w:t>Mesna</w:t>
      </w:r>
      <w:r>
        <w:rPr>
          <w:b w:val="0"/>
        </w:rPr>
        <w:t xml:space="preserve"> either alone or in combination. Anti-invectives were also prescribed, mainly for the management of some of the observed ADEs, including vancomycin, </w:t>
      </w:r>
      <w:r w:rsidR="00055B23">
        <w:rPr>
          <w:b w:val="0"/>
        </w:rPr>
        <w:t>Ceftazidime</w:t>
      </w:r>
      <w:r>
        <w:rPr>
          <w:b w:val="0"/>
        </w:rPr>
        <w:t>, cotrimoxazole, ciprofloxacin, ceftriaxone</w:t>
      </w:r>
      <w:r w:rsidRPr="00AD336C">
        <w:rPr>
          <w:b w:val="0"/>
        </w:rPr>
        <w:t xml:space="preserve"> </w:t>
      </w:r>
      <w:r>
        <w:rPr>
          <w:b w:val="0"/>
        </w:rPr>
        <w:t xml:space="preserve">and gentamycin. Antifungals, such as fluconazole and </w:t>
      </w:r>
      <w:r w:rsidR="00055B23">
        <w:rPr>
          <w:b w:val="0"/>
        </w:rPr>
        <w:t>M</w:t>
      </w:r>
      <w:r>
        <w:rPr>
          <w:b w:val="0"/>
        </w:rPr>
        <w:t>iconazole oral gel were also used as a management or prophylaxis against most causative organisms.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F0828" w:rsidRPr="007769F6" w:rsidTr="0080229C">
        <w:tc>
          <w:tcPr>
            <w:tcW w:w="3192" w:type="dxa"/>
          </w:tcPr>
          <w:p w:rsidR="00CF0828" w:rsidRPr="007769F6" w:rsidRDefault="00CF0828" w:rsidP="0080229C">
            <w:pPr>
              <w:tabs>
                <w:tab w:val="left" w:pos="4050"/>
              </w:tabs>
              <w:jc w:val="center"/>
              <w:rPr>
                <w:b/>
              </w:rPr>
            </w:pPr>
            <w:r w:rsidRPr="007769F6">
              <w:rPr>
                <w:b/>
              </w:rPr>
              <w:t>Management</w:t>
            </w:r>
          </w:p>
        </w:tc>
        <w:tc>
          <w:tcPr>
            <w:tcW w:w="3192" w:type="dxa"/>
          </w:tcPr>
          <w:p w:rsidR="00CF0828" w:rsidRPr="007769F6" w:rsidRDefault="00CF0828" w:rsidP="0080229C">
            <w:pPr>
              <w:tabs>
                <w:tab w:val="left" w:pos="4050"/>
              </w:tabs>
              <w:jc w:val="center"/>
              <w:rPr>
                <w:b/>
              </w:rPr>
            </w:pPr>
            <w:r w:rsidRPr="007769F6">
              <w:rPr>
                <w:b/>
              </w:rPr>
              <w:t>Reason</w:t>
            </w:r>
          </w:p>
        </w:tc>
        <w:tc>
          <w:tcPr>
            <w:tcW w:w="3192" w:type="dxa"/>
          </w:tcPr>
          <w:p w:rsidR="00CF0828" w:rsidRPr="007769F6" w:rsidRDefault="00CF0828" w:rsidP="0080229C">
            <w:pPr>
              <w:tabs>
                <w:tab w:val="left" w:pos="4050"/>
              </w:tabs>
              <w:jc w:val="center"/>
              <w:rPr>
                <w:b/>
              </w:rPr>
            </w:pPr>
            <w:r>
              <w:rPr>
                <w:b/>
              </w:rPr>
              <w:t>Drugs</w:t>
            </w:r>
            <w:r>
              <w:rPr>
                <w:b/>
              </w:rPr>
              <w:t xml:space="preserve"> used</w:t>
            </w:r>
          </w:p>
        </w:tc>
      </w:tr>
      <w:tr w:rsidR="00CF0828" w:rsidTr="0080229C">
        <w:tc>
          <w:tcPr>
            <w:tcW w:w="3192" w:type="dxa"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  <w:r w:rsidRPr="00AE57C1">
              <w:rPr>
                <w:b/>
              </w:rPr>
              <w:t>Hydration</w:t>
            </w:r>
            <w:r>
              <w:rPr>
                <w:b/>
              </w:rPr>
              <w:t xml:space="preserve">* </w:t>
            </w:r>
          </w:p>
        </w:tc>
        <w:tc>
          <w:tcPr>
            <w:tcW w:w="3192" w:type="dxa"/>
          </w:tcPr>
          <w:p w:rsidR="00CF0828" w:rsidRPr="00232DDA" w:rsidRDefault="00CF0828" w:rsidP="0080229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To facilitate drug excretion </w:t>
            </w:r>
          </w:p>
          <w:p w:rsidR="00CF0828" w:rsidRDefault="00CF0828" w:rsidP="0080229C">
            <w:pPr>
              <w:tabs>
                <w:tab w:val="left" w:pos="4050"/>
              </w:tabs>
              <w:rPr>
                <w:b/>
                <w:u w:val="single"/>
              </w:rPr>
            </w:pPr>
          </w:p>
        </w:tc>
        <w:tc>
          <w:tcPr>
            <w:tcW w:w="3192" w:type="dxa"/>
          </w:tcPr>
          <w:p w:rsidR="00CF0828" w:rsidRPr="00232DDA" w:rsidRDefault="00CF0828" w:rsidP="0080229C">
            <w:pPr>
              <w:tabs>
                <w:tab w:val="left" w:pos="4050"/>
              </w:tabs>
              <w:rPr>
                <w:b/>
                <w:u w:val="single"/>
              </w:rPr>
            </w:pPr>
            <w:r>
              <w:rPr>
                <w:szCs w:val="28"/>
              </w:rPr>
              <w:t>IV fluids at 3000ml/m2</w:t>
            </w:r>
            <w:r w:rsidRPr="00232DDA">
              <w:rPr>
                <w:szCs w:val="28"/>
              </w:rPr>
              <w:t xml:space="preserve">/day (normal saline), </w:t>
            </w:r>
            <w:r>
              <w:rPr>
                <w:szCs w:val="28"/>
              </w:rPr>
              <w:t>before &amp; after chemotherapy administration</w:t>
            </w:r>
          </w:p>
        </w:tc>
      </w:tr>
      <w:tr w:rsidR="00CF0828" w:rsidTr="0080229C">
        <w:tc>
          <w:tcPr>
            <w:tcW w:w="3192" w:type="dxa"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  <w:r w:rsidRPr="00AE57C1">
              <w:rPr>
                <w:b/>
              </w:rPr>
              <w:t>Antiemetics</w:t>
            </w:r>
            <w:r>
              <w:rPr>
                <w:b/>
              </w:rPr>
              <w:t xml:space="preserve">** </w:t>
            </w:r>
          </w:p>
        </w:tc>
        <w:tc>
          <w:tcPr>
            <w:tcW w:w="3192" w:type="dxa"/>
          </w:tcPr>
          <w:p w:rsidR="00CF0828" w:rsidRPr="006C0AC2" w:rsidRDefault="00CF0828" w:rsidP="0080229C">
            <w:pPr>
              <w:tabs>
                <w:tab w:val="left" w:pos="4050"/>
              </w:tabs>
            </w:pPr>
            <w:r w:rsidRPr="006C0AC2">
              <w:t>To prevent/reduce chemotherapy induced nausea and vomiting(CINV)</w:t>
            </w:r>
          </w:p>
        </w:tc>
        <w:tc>
          <w:tcPr>
            <w:tcW w:w="3192" w:type="dxa"/>
          </w:tcPr>
          <w:p w:rsidR="00CF0828" w:rsidRDefault="00CF0828" w:rsidP="0080229C">
            <w:pPr>
              <w:tabs>
                <w:tab w:val="left" w:pos="3240"/>
                <w:tab w:val="left" w:pos="6480"/>
              </w:tabs>
              <w:ind w:right="600"/>
            </w:pPr>
            <w:r>
              <w:t xml:space="preserve">1.  </w:t>
            </w:r>
            <w:r w:rsidRPr="001B409D">
              <w:rPr>
                <w:b/>
              </w:rPr>
              <w:t>Ondansetron</w:t>
            </w:r>
            <w:r>
              <w:rPr>
                <w:b/>
              </w:rPr>
              <w:t xml:space="preserve"> </w:t>
            </w:r>
            <w:r>
              <w:t xml:space="preserve"> 5mg/m</w:t>
            </w:r>
            <w:r w:rsidRPr="00460EF4">
              <w:rPr>
                <w:vertAlign w:val="superscript"/>
              </w:rPr>
              <w:t>2</w:t>
            </w:r>
            <w:r>
              <w:t xml:space="preserve"> IV/</w:t>
            </w:r>
            <w:proofErr w:type="spellStart"/>
            <w:r>
              <w:t>po</w:t>
            </w:r>
            <w:proofErr w:type="spellEnd"/>
            <w:r>
              <w:t xml:space="preserve"> </w:t>
            </w:r>
            <w:proofErr w:type="spellStart"/>
            <w:r>
              <w:t>prechemotherapy</w:t>
            </w:r>
            <w:proofErr w:type="spellEnd"/>
            <w:r>
              <w:t xml:space="preserve"> and then q8h until 24 hours after last dose of chemotherapy or until no longer nauseated </w:t>
            </w:r>
          </w:p>
          <w:p w:rsidR="00CF0828" w:rsidRPr="004464D9" w:rsidRDefault="00CF0828" w:rsidP="0080229C">
            <w:pPr>
              <w:tabs>
                <w:tab w:val="left" w:pos="3240"/>
                <w:tab w:val="left" w:pos="6480"/>
              </w:tabs>
              <w:ind w:right="600"/>
              <w:rPr>
                <w:b/>
              </w:rPr>
            </w:pPr>
            <w:r w:rsidRPr="001B409D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  <w:r w:rsidRPr="001B409D">
              <w:rPr>
                <w:b/>
              </w:rPr>
              <w:t xml:space="preserve"> Met</w:t>
            </w:r>
            <w:r>
              <w:rPr>
                <w:b/>
              </w:rPr>
              <w:t>o</w:t>
            </w:r>
            <w:r w:rsidRPr="001B409D">
              <w:rPr>
                <w:b/>
              </w:rPr>
              <w:t xml:space="preserve">clopramide </w:t>
            </w:r>
            <w:r w:rsidRPr="00286ED8">
              <w:t xml:space="preserve">1mg/kg /dose </w:t>
            </w:r>
            <w:proofErr w:type="spellStart"/>
            <w:r w:rsidRPr="00286ED8">
              <w:t>po</w:t>
            </w:r>
            <w:proofErr w:type="spellEnd"/>
            <w:r w:rsidRPr="00286ED8">
              <w:t xml:space="preserve">/IV q8h </w:t>
            </w:r>
            <w:r>
              <w:t>until 24 hours after last dose chemo</w:t>
            </w:r>
          </w:p>
          <w:p w:rsidR="00CF0828" w:rsidRPr="004464D9" w:rsidRDefault="00CF0828" w:rsidP="0080229C">
            <w:pPr>
              <w:tabs>
                <w:tab w:val="left" w:pos="3240"/>
                <w:tab w:val="left" w:pos="6480"/>
              </w:tabs>
              <w:ind w:right="600"/>
              <w:rPr>
                <w:b/>
              </w:rPr>
            </w:pPr>
            <w:r>
              <w:t xml:space="preserve">3.  </w:t>
            </w:r>
            <w:r w:rsidRPr="001B409D">
              <w:rPr>
                <w:b/>
              </w:rPr>
              <w:t xml:space="preserve">Dexamethasone </w:t>
            </w:r>
            <w:r>
              <w:rPr>
                <w:b/>
              </w:rPr>
              <w:t xml:space="preserve">   </w:t>
            </w:r>
            <w:r w:rsidRPr="00286ED8">
              <w:t>6mg/m</w:t>
            </w:r>
            <w:r w:rsidRPr="00460EF4">
              <w:rPr>
                <w:vertAlign w:val="superscript"/>
              </w:rPr>
              <w:t>2</w:t>
            </w:r>
            <w:r w:rsidRPr="00286ED8">
              <w:t>/dose</w:t>
            </w:r>
            <w:r>
              <w:t xml:space="preserve"> </w:t>
            </w:r>
            <w:proofErr w:type="spellStart"/>
            <w:r w:rsidRPr="00286ED8">
              <w:t>po</w:t>
            </w:r>
            <w:proofErr w:type="spellEnd"/>
            <w:r w:rsidRPr="00286ED8">
              <w:t>/IV q8H</w:t>
            </w:r>
            <w:r>
              <w:rPr>
                <w:b/>
              </w:rPr>
              <w:t xml:space="preserve"> </w:t>
            </w:r>
            <w:r w:rsidRPr="004464D9">
              <w:t>until 24 hrs after last dose chemo</w:t>
            </w:r>
          </w:p>
          <w:p w:rsidR="00CF0828" w:rsidRPr="006C0AC2" w:rsidRDefault="00CF0828" w:rsidP="0080229C">
            <w:pPr>
              <w:tabs>
                <w:tab w:val="left" w:pos="4050"/>
              </w:tabs>
            </w:pPr>
          </w:p>
        </w:tc>
      </w:tr>
      <w:tr w:rsidR="00CF0828" w:rsidTr="0080229C">
        <w:tc>
          <w:tcPr>
            <w:tcW w:w="3192" w:type="dxa"/>
            <w:vMerge w:val="restart"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  <w:r w:rsidRPr="00AE57C1">
              <w:rPr>
                <w:b/>
              </w:rPr>
              <w:t>Prophylactic</w:t>
            </w:r>
            <w:r>
              <w:rPr>
                <w:b/>
              </w:rPr>
              <w:t xml:space="preserve"> medication</w:t>
            </w:r>
          </w:p>
        </w:tc>
        <w:tc>
          <w:tcPr>
            <w:tcW w:w="3192" w:type="dxa"/>
          </w:tcPr>
          <w:p w:rsidR="00CF0828" w:rsidRPr="00232DDA" w:rsidRDefault="00CF0828" w:rsidP="0080229C">
            <w:pPr>
              <w:rPr>
                <w:szCs w:val="24"/>
              </w:rPr>
            </w:pPr>
            <w:r>
              <w:rPr>
                <w:szCs w:val="24"/>
              </w:rPr>
              <w:t xml:space="preserve">To reduce </w:t>
            </w:r>
            <w:r w:rsidRPr="004051A2">
              <w:rPr>
                <w:szCs w:val="24"/>
              </w:rPr>
              <w:t xml:space="preserve">risk of metabolic </w:t>
            </w:r>
            <w:r w:rsidRPr="004051A2">
              <w:rPr>
                <w:szCs w:val="24"/>
              </w:rPr>
              <w:lastRenderedPageBreak/>
              <w:t>proble</w:t>
            </w:r>
            <w:r>
              <w:rPr>
                <w:szCs w:val="24"/>
              </w:rPr>
              <w:t>ms associated with tumour lysis</w:t>
            </w:r>
          </w:p>
        </w:tc>
        <w:tc>
          <w:tcPr>
            <w:tcW w:w="3192" w:type="dxa"/>
          </w:tcPr>
          <w:p w:rsidR="00CF0828" w:rsidRPr="00232DDA" w:rsidRDefault="00CF0828" w:rsidP="0080229C">
            <w:pPr>
              <w:tabs>
                <w:tab w:val="left" w:pos="4050"/>
              </w:tabs>
            </w:pPr>
            <w:r w:rsidRPr="00232DDA">
              <w:lastRenderedPageBreak/>
              <w:t xml:space="preserve">Allopurinol 400mg/m2 /day in </w:t>
            </w:r>
            <w:r w:rsidRPr="00232DDA">
              <w:lastRenderedPageBreak/>
              <w:t>3 divided doses orally for 5 days starting 24 hours before first prednisone dose</w:t>
            </w:r>
          </w:p>
        </w:tc>
      </w:tr>
      <w:tr w:rsidR="00CF0828" w:rsidTr="0080229C">
        <w:tc>
          <w:tcPr>
            <w:tcW w:w="3192" w:type="dxa"/>
            <w:vMerge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</w:p>
        </w:tc>
        <w:tc>
          <w:tcPr>
            <w:tcW w:w="3192" w:type="dxa"/>
          </w:tcPr>
          <w:p w:rsidR="00CF0828" w:rsidRPr="004B31CE" w:rsidRDefault="00CF0828" w:rsidP="0080229C">
            <w:pPr>
              <w:jc w:val="both"/>
              <w:rPr>
                <w:szCs w:val="24"/>
              </w:rPr>
            </w:pPr>
            <w:r w:rsidRPr="004B31CE">
              <w:rPr>
                <w:color w:val="000000"/>
              </w:rPr>
              <w:t>PCP prophylaxis</w:t>
            </w:r>
          </w:p>
        </w:tc>
        <w:tc>
          <w:tcPr>
            <w:tcW w:w="3192" w:type="dxa"/>
          </w:tcPr>
          <w:p w:rsidR="00CF0828" w:rsidRPr="004B31CE" w:rsidRDefault="00CF0828" w:rsidP="0080229C">
            <w:pPr>
              <w:tabs>
                <w:tab w:val="left" w:pos="4050"/>
              </w:tabs>
            </w:pPr>
            <w:r w:rsidRPr="004B31CE">
              <w:rPr>
                <w:b/>
              </w:rPr>
              <w:t>Cotrimoxazole</w:t>
            </w:r>
            <w:r>
              <w:rPr>
                <w:b/>
              </w:rPr>
              <w:t xml:space="preserve"> </w:t>
            </w:r>
            <w:r w:rsidRPr="0082072C">
              <w:rPr>
                <w:rFonts w:ascii="TimesNewRoman" w:hAnsi="TimesNewRoman" w:cs="TimesNewRoman"/>
                <w:szCs w:val="24"/>
              </w:rPr>
              <w:t>5 - 10mg/kg/day</w:t>
            </w:r>
            <w:r>
              <w:rPr>
                <w:rFonts w:ascii="TimesNewRoman" w:hAnsi="TimesNewRoman" w:cs="TimesNewRoman"/>
                <w:szCs w:val="24"/>
              </w:rPr>
              <w:t xml:space="preserve"> </w:t>
            </w:r>
            <w:r w:rsidRPr="0082072C">
              <w:rPr>
                <w:rFonts w:ascii="TimesNewRoman" w:hAnsi="TimesNewRoman" w:cs="TimesNewRoman"/>
                <w:szCs w:val="24"/>
              </w:rPr>
              <w:t>PO divided in two doses, given on 3 consecutive days every week</w:t>
            </w:r>
          </w:p>
        </w:tc>
      </w:tr>
      <w:tr w:rsidR="00CF0828" w:rsidTr="0080229C">
        <w:tc>
          <w:tcPr>
            <w:tcW w:w="3192" w:type="dxa"/>
            <w:vMerge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</w:p>
        </w:tc>
        <w:tc>
          <w:tcPr>
            <w:tcW w:w="3192" w:type="dxa"/>
          </w:tcPr>
          <w:p w:rsidR="00CF0828" w:rsidRPr="00755285" w:rsidRDefault="00CF0828" w:rsidP="0080229C">
            <w:pPr>
              <w:rPr>
                <w:color w:val="000000"/>
                <w:szCs w:val="24"/>
              </w:rPr>
            </w:pPr>
            <w:r w:rsidRPr="00755285">
              <w:rPr>
                <w:color w:val="000000"/>
              </w:rPr>
              <w:t xml:space="preserve">To </w:t>
            </w:r>
            <w:r>
              <w:rPr>
                <w:color w:val="000000"/>
              </w:rPr>
              <w:t>prevent hemorrhagic cystitis (usually associated with cyclophosphamide &amp; ifosphamide)</w:t>
            </w:r>
          </w:p>
        </w:tc>
        <w:tc>
          <w:tcPr>
            <w:tcW w:w="3192" w:type="dxa"/>
          </w:tcPr>
          <w:p w:rsidR="00CF0828" w:rsidRPr="005F090E" w:rsidRDefault="00CF0828" w:rsidP="0080229C">
            <w:pPr>
              <w:tabs>
                <w:tab w:val="left" w:pos="4050"/>
              </w:tabs>
              <w:rPr>
                <w:b/>
                <w:szCs w:val="24"/>
              </w:rPr>
            </w:pPr>
            <w:r w:rsidRPr="005F090E">
              <w:rPr>
                <w:color w:val="000000"/>
                <w:szCs w:val="24"/>
              </w:rPr>
              <w:t>Mesna (200 mg/</w:t>
            </w:r>
            <w:r>
              <w:rPr>
                <w:color w:val="000000"/>
                <w:szCs w:val="24"/>
              </w:rPr>
              <w:t>m</w:t>
            </w:r>
            <w:r w:rsidRPr="005F090E">
              <w:rPr>
                <w:color w:val="000000"/>
                <w:szCs w:val="24"/>
                <w:vertAlign w:val="superscript"/>
              </w:rPr>
              <w:t>2</w:t>
            </w:r>
            <w:r w:rsidRPr="005F090E">
              <w:rPr>
                <w:color w:val="000000"/>
                <w:szCs w:val="24"/>
              </w:rPr>
              <w:t>/dose) IV</w:t>
            </w:r>
          </w:p>
        </w:tc>
      </w:tr>
      <w:tr w:rsidR="00CF0828" w:rsidTr="0080229C">
        <w:tc>
          <w:tcPr>
            <w:tcW w:w="3192" w:type="dxa"/>
            <w:vMerge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</w:p>
        </w:tc>
        <w:tc>
          <w:tcPr>
            <w:tcW w:w="3192" w:type="dxa"/>
          </w:tcPr>
          <w:p w:rsidR="00CF0828" w:rsidRPr="00755285" w:rsidRDefault="00CF0828" w:rsidP="0080229C">
            <w:pPr>
              <w:rPr>
                <w:color w:val="000000"/>
              </w:rPr>
            </w:pPr>
            <w:r w:rsidRPr="00755285">
              <w:rPr>
                <w:color w:val="000000"/>
              </w:rPr>
              <w:t>To prevent chemical conjunctivitis</w:t>
            </w:r>
            <w:r>
              <w:rPr>
                <w:color w:val="000000"/>
              </w:rPr>
              <w:t xml:space="preserve"> </w:t>
            </w:r>
            <w:r w:rsidRPr="00755285">
              <w:rPr>
                <w:color w:val="000000"/>
              </w:rPr>
              <w:t>(usually associated with cytarabine)</w:t>
            </w:r>
          </w:p>
        </w:tc>
        <w:tc>
          <w:tcPr>
            <w:tcW w:w="3192" w:type="dxa"/>
          </w:tcPr>
          <w:p w:rsidR="00CF0828" w:rsidRPr="005F090E" w:rsidRDefault="00CF0828" w:rsidP="0080229C">
            <w:pPr>
              <w:tabs>
                <w:tab w:val="left" w:pos="4050"/>
              </w:tabs>
              <w:rPr>
                <w:color w:val="000000"/>
              </w:rPr>
            </w:pPr>
            <w:r w:rsidRPr="005F090E">
              <w:rPr>
                <w:color w:val="000000"/>
              </w:rPr>
              <w:t xml:space="preserve">dexamethasone ophthalmic drops </w:t>
            </w:r>
          </w:p>
        </w:tc>
      </w:tr>
      <w:tr w:rsidR="00CF0828" w:rsidTr="0080229C">
        <w:tc>
          <w:tcPr>
            <w:tcW w:w="3192" w:type="dxa"/>
            <w:vMerge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</w:p>
        </w:tc>
        <w:tc>
          <w:tcPr>
            <w:tcW w:w="3192" w:type="dxa"/>
          </w:tcPr>
          <w:p w:rsidR="00CF0828" w:rsidRPr="00755285" w:rsidRDefault="00CF0828" w:rsidP="0080229C">
            <w:pPr>
              <w:rPr>
                <w:color w:val="000000"/>
              </w:rPr>
            </w:pPr>
            <w:r>
              <w:rPr>
                <w:color w:val="000000"/>
              </w:rPr>
              <w:t>To prevent/treat fungal infection</w:t>
            </w:r>
          </w:p>
        </w:tc>
        <w:tc>
          <w:tcPr>
            <w:tcW w:w="3192" w:type="dxa"/>
          </w:tcPr>
          <w:p w:rsidR="00CF0828" w:rsidRPr="005F090E" w:rsidRDefault="00CF0828" w:rsidP="0080229C">
            <w:pPr>
              <w:tabs>
                <w:tab w:val="left" w:pos="405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Fluconazole </w:t>
            </w:r>
            <w:r w:rsidRPr="0082072C">
              <w:rPr>
                <w:szCs w:val="24"/>
              </w:rPr>
              <w:t>5 - 10 mg/kg/day, PO, once a day</w:t>
            </w:r>
          </w:p>
        </w:tc>
      </w:tr>
      <w:tr w:rsidR="00CF0828" w:rsidTr="0080229C">
        <w:tc>
          <w:tcPr>
            <w:tcW w:w="3192" w:type="dxa"/>
            <w:vMerge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</w:p>
        </w:tc>
        <w:tc>
          <w:tcPr>
            <w:tcW w:w="3192" w:type="dxa"/>
          </w:tcPr>
          <w:p w:rsidR="00CF0828" w:rsidRPr="00755285" w:rsidRDefault="00CF0828" w:rsidP="0080229C">
            <w:pPr>
              <w:rPr>
                <w:color w:val="000000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To reduce/treat </w:t>
            </w:r>
            <w:r w:rsidRPr="0082072C">
              <w:rPr>
                <w:rFonts w:ascii="TimesNewRoman" w:hAnsi="TimesNewRoman" w:cs="TimesNewRoman"/>
                <w:szCs w:val="24"/>
              </w:rPr>
              <w:t>risk for infections</w:t>
            </w:r>
          </w:p>
        </w:tc>
        <w:tc>
          <w:tcPr>
            <w:tcW w:w="3192" w:type="dxa"/>
          </w:tcPr>
          <w:p w:rsidR="00CF0828" w:rsidRPr="00CF3044" w:rsidRDefault="00CF0828" w:rsidP="00CF0828">
            <w:pPr>
              <w:pStyle w:val="ListParagraph"/>
              <w:numPr>
                <w:ilvl w:val="0"/>
                <w:numId w:val="1"/>
              </w:numPr>
              <w:tabs>
                <w:tab w:val="left" w:pos="4050"/>
              </w:tabs>
              <w:rPr>
                <w:color w:val="000000"/>
              </w:rPr>
            </w:pPr>
            <w:proofErr w:type="spellStart"/>
            <w:r w:rsidRPr="00CF3044">
              <w:rPr>
                <w:color w:val="000000"/>
              </w:rPr>
              <w:t>Ciprofloxacillin</w:t>
            </w:r>
            <w:proofErr w:type="spellEnd"/>
            <w:r>
              <w:rPr>
                <w:color w:val="000000"/>
              </w:rPr>
              <w:t xml:space="preserve"> </w:t>
            </w:r>
            <w:r w:rsidRPr="0082072C">
              <w:t>10mg/kg/dose (250 a 350 mg/m2/dose) IV or PO every 12 hours</w:t>
            </w:r>
          </w:p>
          <w:p w:rsidR="00CF0828" w:rsidRPr="00CF3044" w:rsidRDefault="00CF0828" w:rsidP="00CF0828">
            <w:pPr>
              <w:pStyle w:val="ListParagraph"/>
              <w:numPr>
                <w:ilvl w:val="0"/>
                <w:numId w:val="1"/>
              </w:numPr>
              <w:tabs>
                <w:tab w:val="left" w:pos="4050"/>
              </w:tabs>
              <w:rPr>
                <w:color w:val="000000"/>
              </w:rPr>
            </w:pPr>
            <w:r w:rsidRPr="00CF3044">
              <w:rPr>
                <w:color w:val="000000"/>
              </w:rPr>
              <w:t>Vancomycin</w:t>
            </w:r>
            <w:r w:rsidRPr="00CF3044">
              <w:t>: 10mg/kg/dose (400 mg/m2/dose) IV every 12 hours</w:t>
            </w:r>
          </w:p>
        </w:tc>
      </w:tr>
      <w:tr w:rsidR="00CF0828" w:rsidTr="0080229C">
        <w:tc>
          <w:tcPr>
            <w:tcW w:w="3192" w:type="dxa"/>
          </w:tcPr>
          <w:p w:rsidR="00CF0828" w:rsidRPr="00AE57C1" w:rsidRDefault="00CF0828" w:rsidP="0080229C">
            <w:pPr>
              <w:tabs>
                <w:tab w:val="left" w:pos="4050"/>
              </w:tabs>
              <w:rPr>
                <w:b/>
              </w:rPr>
            </w:pPr>
            <w:r>
              <w:rPr>
                <w:b/>
              </w:rPr>
              <w:t>Nutritional supplements</w:t>
            </w:r>
          </w:p>
        </w:tc>
        <w:tc>
          <w:tcPr>
            <w:tcW w:w="3192" w:type="dxa"/>
          </w:tcPr>
          <w:p w:rsidR="00CF0828" w:rsidRDefault="00CF0828" w:rsidP="0080229C">
            <w:pPr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For malnutrition</w:t>
            </w:r>
          </w:p>
        </w:tc>
        <w:tc>
          <w:tcPr>
            <w:tcW w:w="3192" w:type="dxa"/>
          </w:tcPr>
          <w:p w:rsidR="00CF0828" w:rsidRDefault="00CF0828" w:rsidP="0080229C">
            <w:pPr>
              <w:pStyle w:val="ListParagraph"/>
              <w:tabs>
                <w:tab w:val="left" w:pos="4050"/>
              </w:tabs>
              <w:rPr>
                <w:color w:val="000000"/>
              </w:rPr>
            </w:pPr>
            <w:r>
              <w:rPr>
                <w:color w:val="000000"/>
              </w:rPr>
              <w:t>RUTF</w:t>
            </w:r>
          </w:p>
          <w:p w:rsidR="00CF0828" w:rsidRDefault="00CF0828" w:rsidP="0080229C">
            <w:pPr>
              <w:pStyle w:val="ListParagraph"/>
              <w:tabs>
                <w:tab w:val="left" w:pos="4050"/>
              </w:tabs>
              <w:rPr>
                <w:color w:val="000000"/>
              </w:rPr>
            </w:pPr>
            <w:r>
              <w:rPr>
                <w:color w:val="000000"/>
              </w:rPr>
              <w:t>F-100</w:t>
            </w:r>
          </w:p>
          <w:p w:rsidR="00CF0828" w:rsidRPr="00CF3044" w:rsidRDefault="00CF0828" w:rsidP="0080229C">
            <w:pPr>
              <w:pStyle w:val="ListParagraph"/>
              <w:tabs>
                <w:tab w:val="left" w:pos="4050"/>
              </w:tabs>
              <w:rPr>
                <w:color w:val="000000"/>
              </w:rPr>
            </w:pPr>
            <w:r>
              <w:rPr>
                <w:color w:val="000000"/>
              </w:rPr>
              <w:t>F-75</w:t>
            </w:r>
          </w:p>
        </w:tc>
      </w:tr>
    </w:tbl>
    <w:p w:rsidR="00CF0828" w:rsidRDefault="00CF0828" w:rsidP="00CF0828">
      <w:pPr>
        <w:tabs>
          <w:tab w:val="left" w:pos="4050"/>
        </w:tabs>
      </w:pPr>
      <w:r w:rsidRPr="00021A83">
        <w:t>* Timing of administration varies with different chemo</w:t>
      </w:r>
      <w:r w:rsidR="00494AC2">
        <w:t>therapy</w:t>
      </w:r>
      <w:bookmarkStart w:id="0" w:name="_GoBack"/>
      <w:bookmarkEnd w:id="0"/>
      <w:r w:rsidRPr="00021A83">
        <w:t xml:space="preserve"> agents</w:t>
      </w:r>
    </w:p>
    <w:p w:rsidR="00CF0828" w:rsidRDefault="00CF0828" w:rsidP="00CF0828">
      <w:pPr>
        <w:tabs>
          <w:tab w:val="left" w:pos="4050"/>
        </w:tabs>
      </w:pPr>
      <w:r>
        <w:t xml:space="preserve">**based on the </w:t>
      </w:r>
      <w:r w:rsidR="00494AC2">
        <w:t>emetogenicity</w:t>
      </w:r>
      <w:r>
        <w:t xml:space="preserve"> of chemotherapy drugs</w:t>
      </w:r>
      <w:r w:rsidR="00494AC2">
        <w:t xml:space="preserve"> used</w:t>
      </w:r>
    </w:p>
    <w:p w:rsidR="00CF0828" w:rsidRPr="00021A83" w:rsidRDefault="00CF0828" w:rsidP="00CF0828">
      <w:pPr>
        <w:tabs>
          <w:tab w:val="left" w:pos="4050"/>
        </w:tabs>
      </w:pPr>
    </w:p>
    <w:sectPr w:rsidR="00CF0828" w:rsidRPr="00021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108D"/>
    <w:multiLevelType w:val="hybridMultilevel"/>
    <w:tmpl w:val="3F0E6C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28"/>
    <w:rsid w:val="00055B23"/>
    <w:rsid w:val="00494AC2"/>
    <w:rsid w:val="005869CC"/>
    <w:rsid w:val="009208C4"/>
    <w:rsid w:val="00CA333E"/>
    <w:rsid w:val="00CF0828"/>
    <w:rsid w:val="00FF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F0828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082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F0828"/>
    <w:pPr>
      <w:autoSpaceDE/>
      <w:autoSpaceDN/>
    </w:pPr>
    <w:rPr>
      <w:rFonts w:ascii="Calibri" w:eastAsia="Calibri" w:hAnsi="Calibri"/>
    </w:rPr>
  </w:style>
  <w:style w:type="paragraph" w:customStyle="1" w:styleId="Normal1">
    <w:name w:val="Normal1"/>
    <w:basedOn w:val="Normal"/>
    <w:link w:val="normalChar"/>
    <w:autoRedefine/>
    <w:rsid w:val="00CF0828"/>
    <w:pPr>
      <w:widowControl/>
      <w:suppressAutoHyphens/>
      <w:autoSpaceDE/>
      <w:autoSpaceDN/>
      <w:spacing w:after="200"/>
      <w:jc w:val="both"/>
    </w:pPr>
    <w:rPr>
      <w:rFonts w:eastAsia="DejaVu Sans"/>
      <w:b/>
      <w:szCs w:val="24"/>
    </w:rPr>
  </w:style>
  <w:style w:type="character" w:customStyle="1" w:styleId="normalChar">
    <w:name w:val="normal Char"/>
    <w:basedOn w:val="DefaultParagraphFont"/>
    <w:link w:val="Normal1"/>
    <w:rsid w:val="00CF0828"/>
    <w:rPr>
      <w:rFonts w:ascii="Times New Roman" w:eastAsia="DejaVu Sans" w:hAnsi="Times New Roman" w:cs="Times New Roman"/>
      <w:b/>
      <w:sz w:val="24"/>
      <w:szCs w:val="24"/>
    </w:rPr>
  </w:style>
  <w:style w:type="paragraph" w:customStyle="1" w:styleId="Tables">
    <w:name w:val="Tables"/>
    <w:basedOn w:val="Normal"/>
    <w:link w:val="TablesChar"/>
    <w:autoRedefine/>
    <w:qFormat/>
    <w:rsid w:val="00CF0828"/>
    <w:pPr>
      <w:widowControl/>
      <w:autoSpaceDE/>
      <w:autoSpaceDN/>
    </w:pPr>
    <w:rPr>
      <w:rFonts w:eastAsia="Calibri"/>
      <w:szCs w:val="24"/>
    </w:rPr>
  </w:style>
  <w:style w:type="character" w:customStyle="1" w:styleId="TablesChar">
    <w:name w:val="Tables Char"/>
    <w:basedOn w:val="DefaultParagraphFont"/>
    <w:link w:val="Tables"/>
    <w:rsid w:val="00CF0828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F0828"/>
    <w:pPr>
      <w:widowControl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082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F0828"/>
    <w:pPr>
      <w:autoSpaceDE/>
      <w:autoSpaceDN/>
    </w:pPr>
    <w:rPr>
      <w:rFonts w:ascii="Calibri" w:eastAsia="Calibri" w:hAnsi="Calibri"/>
    </w:rPr>
  </w:style>
  <w:style w:type="paragraph" w:customStyle="1" w:styleId="Normal1">
    <w:name w:val="Normal1"/>
    <w:basedOn w:val="Normal"/>
    <w:link w:val="normalChar"/>
    <w:autoRedefine/>
    <w:rsid w:val="00CF0828"/>
    <w:pPr>
      <w:widowControl/>
      <w:suppressAutoHyphens/>
      <w:autoSpaceDE/>
      <w:autoSpaceDN/>
      <w:spacing w:after="200"/>
      <w:jc w:val="both"/>
    </w:pPr>
    <w:rPr>
      <w:rFonts w:eastAsia="DejaVu Sans"/>
      <w:b/>
      <w:szCs w:val="24"/>
    </w:rPr>
  </w:style>
  <w:style w:type="character" w:customStyle="1" w:styleId="normalChar">
    <w:name w:val="normal Char"/>
    <w:basedOn w:val="DefaultParagraphFont"/>
    <w:link w:val="Normal1"/>
    <w:rsid w:val="00CF0828"/>
    <w:rPr>
      <w:rFonts w:ascii="Times New Roman" w:eastAsia="DejaVu Sans" w:hAnsi="Times New Roman" w:cs="Times New Roman"/>
      <w:b/>
      <w:sz w:val="24"/>
      <w:szCs w:val="24"/>
    </w:rPr>
  </w:style>
  <w:style w:type="paragraph" w:customStyle="1" w:styleId="Tables">
    <w:name w:val="Tables"/>
    <w:basedOn w:val="Normal"/>
    <w:link w:val="TablesChar"/>
    <w:autoRedefine/>
    <w:qFormat/>
    <w:rsid w:val="00CF0828"/>
    <w:pPr>
      <w:widowControl/>
      <w:autoSpaceDE/>
      <w:autoSpaceDN/>
    </w:pPr>
    <w:rPr>
      <w:rFonts w:eastAsia="Calibri"/>
      <w:szCs w:val="24"/>
    </w:rPr>
  </w:style>
  <w:style w:type="character" w:customStyle="1" w:styleId="TablesChar">
    <w:name w:val="Tables Char"/>
    <w:basedOn w:val="DefaultParagraphFont"/>
    <w:link w:val="Tables"/>
    <w:rsid w:val="00CF082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Wayessa</dc:creator>
  <cp:lastModifiedBy>Wayessa </cp:lastModifiedBy>
  <cp:revision>5</cp:revision>
  <dcterms:created xsi:type="dcterms:W3CDTF">2022-09-13T06:20:00Z</dcterms:created>
  <dcterms:modified xsi:type="dcterms:W3CDTF">2022-09-13T06:33:00Z</dcterms:modified>
</cp:coreProperties>
</file>