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0A637" w14:textId="58C243F1" w:rsidR="006A3E35" w:rsidRPr="00054953" w:rsidRDefault="00A00C6C" w:rsidP="008959C2">
      <w:pPr>
        <w:pStyle w:val="ThesisTableBoxFigure"/>
      </w:pPr>
      <w:bookmarkStart w:id="0" w:name="_Toc49843306"/>
      <w:bookmarkStart w:id="1" w:name="_Toc49843786"/>
      <w:bookmarkStart w:id="2" w:name="_Toc57702813"/>
      <w:r>
        <w:rPr>
          <w:b/>
        </w:rPr>
        <w:t xml:space="preserve">Supplemental Figure 1. </w:t>
      </w:r>
      <w:r w:rsidRPr="00863ED4">
        <w:t>Rates of follow-up visits to the metabolic clinic stratified by tre</w:t>
      </w:r>
      <w:r>
        <w:t xml:space="preserve">atment centre </w:t>
      </w:r>
      <w:r w:rsidRPr="00863ED4">
        <w:t>(A-H)</w:t>
      </w:r>
      <w:bookmarkEnd w:id="0"/>
      <w:bookmarkEnd w:id="1"/>
      <w:bookmarkEnd w:id="2"/>
      <w:r>
        <w:t>.</w:t>
      </w:r>
    </w:p>
    <w:p w14:paraId="2C85649F" w14:textId="77777777" w:rsidR="006A3E35" w:rsidRPr="00054953" w:rsidRDefault="006A3E35" w:rsidP="006A3E35">
      <w:pPr>
        <w:spacing w:line="276" w:lineRule="auto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BD250C7" wp14:editId="0E71A429">
            <wp:extent cx="5943600" cy="3508375"/>
            <wp:effectExtent l="0" t="0" r="12700" b="952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7404EA81" w14:textId="77777777" w:rsidR="006A3E35" w:rsidRPr="008959C2" w:rsidRDefault="006A3E35" w:rsidP="006A3E35">
      <w:pPr>
        <w:rPr>
          <w:rFonts w:ascii="Times New Roman" w:hAnsi="Times New Roman" w:cs="Times New Roman"/>
          <w:sz w:val="20"/>
          <w:szCs w:val="20"/>
        </w:rPr>
      </w:pPr>
      <w:r w:rsidRPr="008959C2">
        <w:rPr>
          <w:rFonts w:ascii="Times New Roman" w:hAnsi="Times New Roman" w:cs="Times New Roman"/>
          <w:b/>
          <w:sz w:val="20"/>
          <w:szCs w:val="20"/>
        </w:rPr>
        <w:t>*</w:t>
      </w:r>
      <w:r w:rsidRPr="008959C2">
        <w:rPr>
          <w:rFonts w:ascii="Times New Roman" w:hAnsi="Times New Roman" w:cs="Times New Roman"/>
          <w:sz w:val="20"/>
          <w:szCs w:val="20"/>
        </w:rPr>
        <w:t xml:space="preserve"> One child may contribute to multiple age groups due to longitudinal follow-up</w:t>
      </w:r>
    </w:p>
    <w:p w14:paraId="103B33FA" w14:textId="1FDE8987" w:rsidR="00F5410A" w:rsidRDefault="006A3E35" w:rsidP="006A3E35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8959C2">
        <w:rPr>
          <w:rFonts w:ascii="Times New Roman" w:hAnsi="Times New Roman" w:cs="Times New Roman"/>
          <w:sz w:val="20"/>
          <w:szCs w:val="20"/>
        </w:rPr>
        <w:t xml:space="preserve">* Only includes </w:t>
      </w:r>
      <w:proofErr w:type="spellStart"/>
      <w:r w:rsidRPr="008959C2">
        <w:rPr>
          <w:rFonts w:ascii="Times New Roman" w:hAnsi="Times New Roman" w:cs="Times New Roman"/>
          <w:sz w:val="20"/>
          <w:szCs w:val="20"/>
        </w:rPr>
        <w:t>centres</w:t>
      </w:r>
      <w:proofErr w:type="spellEnd"/>
      <w:r w:rsidRPr="008959C2">
        <w:rPr>
          <w:rFonts w:ascii="Times New Roman" w:hAnsi="Times New Roman" w:cs="Times New Roman"/>
          <w:sz w:val="20"/>
          <w:szCs w:val="20"/>
        </w:rPr>
        <w:t xml:space="preserve"> treating 5 or more children</w:t>
      </w:r>
    </w:p>
    <w:p w14:paraId="5BA655D7" w14:textId="77777777" w:rsidR="00A00C6C" w:rsidRPr="00006BC2" w:rsidRDefault="00A00C6C" w:rsidP="00A00C6C">
      <w:pPr>
        <w:pStyle w:val="ThesisTableBoxFigure"/>
        <w:rPr>
          <w:b/>
        </w:rPr>
      </w:pPr>
      <w:bookmarkStart w:id="3" w:name="_Toc49843307"/>
      <w:bookmarkStart w:id="4" w:name="_Toc49843787"/>
      <w:bookmarkStart w:id="5" w:name="_Toc57702814"/>
      <w:r>
        <w:rPr>
          <w:b/>
        </w:rPr>
        <w:t xml:space="preserve">Supplemental Figure 2. </w:t>
      </w:r>
      <w:r w:rsidRPr="00863ED4">
        <w:t>Rates of inpatient hospitalizations according to the age at the visit</w:t>
      </w:r>
      <w:bookmarkEnd w:id="3"/>
      <w:bookmarkEnd w:id="4"/>
      <w:bookmarkEnd w:id="5"/>
      <w:r>
        <w:t>.</w:t>
      </w:r>
    </w:p>
    <w:p w14:paraId="4A45A59B" w14:textId="77777777" w:rsidR="006A3E35" w:rsidRPr="00054953" w:rsidRDefault="006A3E35" w:rsidP="006A3E35">
      <w:pPr>
        <w:spacing w:before="240" w:after="240"/>
        <w:jc w:val="center"/>
        <w:rPr>
          <w:rFonts w:ascii="Times New Roman" w:hAnsi="Times New Roman" w:cs="Times New Roman"/>
          <w:b/>
        </w:rPr>
      </w:pPr>
      <w:r>
        <w:rPr>
          <w:noProof/>
        </w:rPr>
        <w:drawing>
          <wp:inline distT="0" distB="0" distL="0" distR="0" wp14:anchorId="38B35F69" wp14:editId="5460008E">
            <wp:extent cx="5915025" cy="2816860"/>
            <wp:effectExtent l="0" t="0" r="15875" b="1524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2B3D569B" w14:textId="77777777" w:rsidR="006A3E35" w:rsidRPr="00A00C6C" w:rsidRDefault="006A3E35" w:rsidP="006A3E35">
      <w:pPr>
        <w:rPr>
          <w:rFonts w:ascii="Times New Roman" w:hAnsi="Times New Roman" w:cs="Times New Roman"/>
          <w:sz w:val="20"/>
          <w:szCs w:val="20"/>
        </w:rPr>
      </w:pPr>
      <w:r w:rsidRPr="00A00C6C">
        <w:rPr>
          <w:rFonts w:ascii="Times New Roman" w:hAnsi="Times New Roman" w:cs="Times New Roman"/>
          <w:sz w:val="20"/>
          <w:szCs w:val="20"/>
        </w:rPr>
        <w:t>* Error bars representing 95% confidence intervals using the normal approximation to the Poisson distribution</w:t>
      </w:r>
    </w:p>
    <w:p w14:paraId="6BB28CD9" w14:textId="1F72064D" w:rsidR="006A3E35" w:rsidRDefault="006A3E35">
      <w:r w:rsidRPr="00A00C6C">
        <w:rPr>
          <w:rFonts w:ascii="Times New Roman" w:hAnsi="Times New Roman" w:cs="Times New Roman"/>
          <w:sz w:val="20"/>
          <w:szCs w:val="20"/>
        </w:rPr>
        <w:t>* One child may contribute to multiple age groups due to longitudinal follow-up</w:t>
      </w:r>
    </w:p>
    <w:sectPr w:rsidR="006A3E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E35"/>
    <w:rsid w:val="001B6293"/>
    <w:rsid w:val="00531A71"/>
    <w:rsid w:val="006A3E35"/>
    <w:rsid w:val="007C40A1"/>
    <w:rsid w:val="008959C2"/>
    <w:rsid w:val="009D7559"/>
    <w:rsid w:val="00A00C6C"/>
    <w:rsid w:val="00AF7C15"/>
    <w:rsid w:val="00B52177"/>
    <w:rsid w:val="00F54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844F0"/>
  <w15:chartTrackingRefBased/>
  <w15:docId w15:val="{77D24645-AD58-45EF-B746-E028E3BA3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E35"/>
    <w:pPr>
      <w:spacing w:after="0" w:line="240" w:lineRule="auto"/>
    </w:pPr>
    <w:rPr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3E3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hesisTableBoxFigure">
    <w:name w:val="Thesis Table Box Figure"/>
    <w:basedOn w:val="Heading4"/>
    <w:qFormat/>
    <w:rsid w:val="006A3E35"/>
    <w:pPr>
      <w:keepNext w:val="0"/>
      <w:keepLines w:val="0"/>
      <w:spacing w:before="100" w:beforeAutospacing="1" w:after="100" w:afterAutospacing="1"/>
    </w:pPr>
    <w:rPr>
      <w:rFonts w:ascii="Times New Roman" w:eastAsia="Times New Roman" w:hAnsi="Times New Roman" w:cs="Times New Roman"/>
      <w:bCs/>
      <w:i w:val="0"/>
      <w:iCs w:val="0"/>
      <w:color w:val="auto"/>
      <w:lang w:val="en-C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3E35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rv2\department\NSO\6_Research\CIMDRN%20-%20WG2\Ryan\Thesis\6.%20Rates%20of%20Follow-up%20Visits%20V5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rv2\department\NSO\6_Research\CIMDRN%20-%20WG2\Ryan\Thesis\8.%20Rates%20of%20Inpatient%20Hospitalizations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'Rates by consenting centre'!$A$52</c:f>
              <c:strCache>
                <c:ptCount val="1"/>
                <c:pt idx="0">
                  <c:v>A (n=5)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strRef>
              <c:f>'Rates by consenting centre'!$B$51:$G$51</c:f>
              <c:strCache>
                <c:ptCount val="5"/>
                <c:pt idx="0">
                  <c:v>2 to &lt;6
months
(n=122)</c:v>
                </c:pt>
                <c:pt idx="1">
                  <c:v>6 to &lt;12 
months
(n=122)</c:v>
                </c:pt>
                <c:pt idx="2">
                  <c:v>1 to &lt;3 
years
(n=118)</c:v>
                </c:pt>
                <c:pt idx="3">
                  <c:v>3 to &lt;5 
years
(n=92)</c:v>
                </c:pt>
                <c:pt idx="4">
                  <c:v>≥5 
years
(n=67)</c:v>
                </c:pt>
              </c:strCache>
              <c:extLst/>
            </c:strRef>
          </c:cat>
          <c:val>
            <c:numRef>
              <c:f>'Rates by consenting centre'!$B$52:$G$52</c:f>
              <c:numCache>
                <c:formatCode>0.00</c:formatCode>
                <c:ptCount val="5"/>
                <c:pt idx="0">
                  <c:v>5.99999880000024</c:v>
                </c:pt>
                <c:pt idx="1">
                  <c:v>3</c:v>
                </c:pt>
                <c:pt idx="2">
                  <c:v>2.2236727589062859</c:v>
                </c:pt>
                <c:pt idx="3">
                  <c:v>1.8350930115612933</c:v>
                </c:pt>
                <c:pt idx="4">
                  <c:v>1.6577803288976127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0-2E04-144C-B4E1-4A1878D1FD4B}"/>
            </c:ext>
          </c:extLst>
        </c:ser>
        <c:ser>
          <c:idx val="1"/>
          <c:order val="1"/>
          <c:tx>
            <c:strRef>
              <c:f>'Rates by consenting centre'!$A$53</c:f>
              <c:strCache>
                <c:ptCount val="1"/>
                <c:pt idx="0">
                  <c:v>B (n=5)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strRef>
              <c:f>'Rates by consenting centre'!$B$51:$G$51</c:f>
              <c:strCache>
                <c:ptCount val="5"/>
                <c:pt idx="0">
                  <c:v>2 to &lt;6
months
(n=122)</c:v>
                </c:pt>
                <c:pt idx="1">
                  <c:v>6 to &lt;12 
months
(n=122)</c:v>
                </c:pt>
                <c:pt idx="2">
                  <c:v>1 to &lt;3 
years
(n=118)</c:v>
                </c:pt>
                <c:pt idx="3">
                  <c:v>3 to &lt;5 
years
(n=92)</c:v>
                </c:pt>
                <c:pt idx="4">
                  <c:v>≥5 
years
(n=67)</c:v>
                </c:pt>
              </c:strCache>
              <c:extLst/>
            </c:strRef>
          </c:cat>
          <c:val>
            <c:numRef>
              <c:f>'Rates by consenting centre'!$B$53:$G$53</c:f>
              <c:numCache>
                <c:formatCode>0.00</c:formatCode>
                <c:ptCount val="5"/>
                <c:pt idx="0">
                  <c:v>3.5999992800001444</c:v>
                </c:pt>
                <c:pt idx="1">
                  <c:v>2.4</c:v>
                </c:pt>
                <c:pt idx="2">
                  <c:v>1.4</c:v>
                </c:pt>
                <c:pt idx="3">
                  <c:v>1.2</c:v>
                </c:pt>
                <c:pt idx="4">
                  <c:v>0.9661983302752275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1-2E04-144C-B4E1-4A1878D1FD4B}"/>
            </c:ext>
          </c:extLst>
        </c:ser>
        <c:ser>
          <c:idx val="2"/>
          <c:order val="2"/>
          <c:tx>
            <c:strRef>
              <c:f>'Rates by consenting centre'!$A$54</c:f>
              <c:strCache>
                <c:ptCount val="1"/>
                <c:pt idx="0">
                  <c:v>C (n=30)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cat>
            <c:strRef>
              <c:f>'Rates by consenting centre'!$B$51:$G$51</c:f>
              <c:strCache>
                <c:ptCount val="5"/>
                <c:pt idx="0">
                  <c:v>2 to &lt;6
months
(n=122)</c:v>
                </c:pt>
                <c:pt idx="1">
                  <c:v>6 to &lt;12 
months
(n=122)</c:v>
                </c:pt>
                <c:pt idx="2">
                  <c:v>1 to &lt;3 
years
(n=118)</c:v>
                </c:pt>
                <c:pt idx="3">
                  <c:v>3 to &lt;5 
years
(n=92)</c:v>
                </c:pt>
                <c:pt idx="4">
                  <c:v>≥5 
years
(n=67)</c:v>
                </c:pt>
              </c:strCache>
              <c:extLst/>
            </c:strRef>
          </c:cat>
          <c:val>
            <c:numRef>
              <c:f>'Rates by consenting centre'!$B$54:$G$54</c:f>
              <c:numCache>
                <c:formatCode>0.00</c:formatCode>
                <c:ptCount val="5"/>
                <c:pt idx="0">
                  <c:v>3.199999360000128</c:v>
                </c:pt>
                <c:pt idx="1">
                  <c:v>2.0666666666666669</c:v>
                </c:pt>
                <c:pt idx="2">
                  <c:v>1.571317427392412</c:v>
                </c:pt>
                <c:pt idx="3">
                  <c:v>1.3155128397612856</c:v>
                </c:pt>
                <c:pt idx="4">
                  <c:v>1.1027736503249457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2-2E04-144C-B4E1-4A1878D1FD4B}"/>
            </c:ext>
          </c:extLst>
        </c:ser>
        <c:ser>
          <c:idx val="3"/>
          <c:order val="3"/>
          <c:tx>
            <c:strRef>
              <c:f>'Rates by consenting centre'!$A$55</c:f>
              <c:strCache>
                <c:ptCount val="1"/>
                <c:pt idx="0">
                  <c:v>D (n=29)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cat>
            <c:strRef>
              <c:f>'Rates by consenting centre'!$B$51:$G$51</c:f>
              <c:strCache>
                <c:ptCount val="5"/>
                <c:pt idx="0">
                  <c:v>2 to &lt;6
months
(n=122)</c:v>
                </c:pt>
                <c:pt idx="1">
                  <c:v>6 to &lt;12 
months
(n=122)</c:v>
                </c:pt>
                <c:pt idx="2">
                  <c:v>1 to &lt;3 
years
(n=118)</c:v>
                </c:pt>
                <c:pt idx="3">
                  <c:v>3 to &lt;5 
years
(n=92)</c:v>
                </c:pt>
                <c:pt idx="4">
                  <c:v>≥5 
years
(n=67)</c:v>
                </c:pt>
              </c:strCache>
              <c:extLst/>
            </c:strRef>
          </c:cat>
          <c:val>
            <c:numRef>
              <c:f>'Rates by consenting centre'!$B$55:$G$55</c:f>
              <c:numCache>
                <c:formatCode>0.00</c:formatCode>
                <c:ptCount val="5"/>
                <c:pt idx="0">
                  <c:v>2.99999940000012</c:v>
                </c:pt>
                <c:pt idx="1">
                  <c:v>2.8275862068965516</c:v>
                </c:pt>
                <c:pt idx="2">
                  <c:v>1.6392522315172287</c:v>
                </c:pt>
                <c:pt idx="3">
                  <c:v>1.4820347813018813</c:v>
                </c:pt>
                <c:pt idx="4">
                  <c:v>1.1148442272354684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3-2E04-144C-B4E1-4A1878D1FD4B}"/>
            </c:ext>
          </c:extLst>
        </c:ser>
        <c:ser>
          <c:idx val="4"/>
          <c:order val="4"/>
          <c:tx>
            <c:strRef>
              <c:f>'Rates by consenting centre'!$A$56</c:f>
              <c:strCache>
                <c:ptCount val="1"/>
                <c:pt idx="0">
                  <c:v>E (n=15)</c:v>
                </c:pt>
              </c:strCache>
            </c:strRef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5"/>
              </a:solidFill>
              <a:ln w="9525">
                <a:solidFill>
                  <a:schemeClr val="accent5"/>
                </a:solidFill>
              </a:ln>
              <a:effectLst/>
            </c:spPr>
          </c:marker>
          <c:cat>
            <c:strRef>
              <c:f>'Rates by consenting centre'!$B$51:$G$51</c:f>
              <c:strCache>
                <c:ptCount val="5"/>
                <c:pt idx="0">
                  <c:v>2 to &lt;6
months
(n=122)</c:v>
                </c:pt>
                <c:pt idx="1">
                  <c:v>6 to &lt;12 
months
(n=122)</c:v>
                </c:pt>
                <c:pt idx="2">
                  <c:v>1 to &lt;3 
years
(n=118)</c:v>
                </c:pt>
                <c:pt idx="3">
                  <c:v>3 to &lt;5 
years
(n=92)</c:v>
                </c:pt>
                <c:pt idx="4">
                  <c:v>≥5 
years
(n=67)</c:v>
                </c:pt>
              </c:strCache>
              <c:extLst/>
            </c:strRef>
          </c:cat>
          <c:val>
            <c:numRef>
              <c:f>'Rates by consenting centre'!$B$56:$G$56</c:f>
              <c:numCache>
                <c:formatCode>0.00</c:formatCode>
                <c:ptCount val="5"/>
                <c:pt idx="0">
                  <c:v>2.5999994800001041</c:v>
                </c:pt>
                <c:pt idx="1">
                  <c:v>2</c:v>
                </c:pt>
                <c:pt idx="2">
                  <c:v>1.4732974539272723</c:v>
                </c:pt>
                <c:pt idx="3">
                  <c:v>1.0103806228294689</c:v>
                </c:pt>
                <c:pt idx="4">
                  <c:v>0.87640064029330644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4-2E04-144C-B4E1-4A1878D1FD4B}"/>
            </c:ext>
          </c:extLst>
        </c:ser>
        <c:ser>
          <c:idx val="5"/>
          <c:order val="5"/>
          <c:tx>
            <c:strRef>
              <c:f>'Rates by consenting centre'!$A$57</c:f>
              <c:strCache>
                <c:ptCount val="1"/>
                <c:pt idx="0">
                  <c:v>F (n=10)</c:v>
                </c:pt>
              </c:strCache>
            </c:strRef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6"/>
              </a:solidFill>
              <a:ln w="9525">
                <a:solidFill>
                  <a:schemeClr val="accent6"/>
                </a:solidFill>
              </a:ln>
              <a:effectLst/>
            </c:spPr>
          </c:marker>
          <c:cat>
            <c:strRef>
              <c:f>'Rates by consenting centre'!$B$51:$G$51</c:f>
              <c:strCache>
                <c:ptCount val="5"/>
                <c:pt idx="0">
                  <c:v>2 to &lt;6
months
(n=122)</c:v>
                </c:pt>
                <c:pt idx="1">
                  <c:v>6 to &lt;12 
months
(n=122)</c:v>
                </c:pt>
                <c:pt idx="2">
                  <c:v>1 to &lt;3 
years
(n=118)</c:v>
                </c:pt>
                <c:pt idx="3">
                  <c:v>3 to &lt;5 
years
(n=92)</c:v>
                </c:pt>
                <c:pt idx="4">
                  <c:v>≥5 
years
(n=67)</c:v>
                </c:pt>
              </c:strCache>
              <c:extLst/>
            </c:strRef>
          </c:cat>
          <c:val>
            <c:numRef>
              <c:f>'Rates by consenting centre'!$B$57:$G$57</c:f>
              <c:numCache>
                <c:formatCode>0.00</c:formatCode>
                <c:ptCount val="5"/>
                <c:pt idx="0">
                  <c:v>2.0999995800000839</c:v>
                </c:pt>
                <c:pt idx="1">
                  <c:v>1.4</c:v>
                </c:pt>
                <c:pt idx="2">
                  <c:v>1.046950483090602</c:v>
                </c:pt>
                <c:pt idx="3">
                  <c:v>0.84469015171375206</c:v>
                </c:pt>
                <c:pt idx="4">
                  <c:v>0.78278186274725636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5-2E04-144C-B4E1-4A1878D1FD4B}"/>
            </c:ext>
          </c:extLst>
        </c:ser>
        <c:ser>
          <c:idx val="6"/>
          <c:order val="6"/>
          <c:tx>
            <c:strRef>
              <c:f>'Rates by consenting centre'!$A$58</c:f>
              <c:strCache>
                <c:ptCount val="1"/>
                <c:pt idx="0">
                  <c:v>G (n=10)</c:v>
                </c:pt>
              </c:strCache>
            </c:strRef>
          </c:tx>
          <c:spPr>
            <a:ln w="28575" cap="rnd">
              <a:solidFill>
                <a:schemeClr val="accent1">
                  <a:lumMod val="6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>
                  <a:lumMod val="60000"/>
                </a:schemeClr>
              </a:solidFill>
              <a:ln w="9525">
                <a:solidFill>
                  <a:schemeClr val="accent1">
                    <a:lumMod val="60000"/>
                  </a:schemeClr>
                </a:solidFill>
              </a:ln>
              <a:effectLst/>
            </c:spPr>
          </c:marker>
          <c:cat>
            <c:strRef>
              <c:f>'Rates by consenting centre'!$B$51:$G$51</c:f>
              <c:strCache>
                <c:ptCount val="5"/>
                <c:pt idx="0">
                  <c:v>2 to &lt;6
months
(n=122)</c:v>
                </c:pt>
                <c:pt idx="1">
                  <c:v>6 to &lt;12 
months
(n=122)</c:v>
                </c:pt>
                <c:pt idx="2">
                  <c:v>1 to &lt;3 
years
(n=118)</c:v>
                </c:pt>
                <c:pt idx="3">
                  <c:v>3 to &lt;5 
years
(n=92)</c:v>
                </c:pt>
                <c:pt idx="4">
                  <c:v>≥5 
years
(n=67)</c:v>
                </c:pt>
              </c:strCache>
              <c:extLst/>
            </c:strRef>
          </c:cat>
          <c:val>
            <c:numRef>
              <c:f>'Rates by consenting centre'!$B$58:$G$58</c:f>
              <c:numCache>
                <c:formatCode>0.00</c:formatCode>
                <c:ptCount val="5"/>
                <c:pt idx="0">
                  <c:v>1.7999996400000722</c:v>
                </c:pt>
                <c:pt idx="1">
                  <c:v>1.2</c:v>
                </c:pt>
                <c:pt idx="2">
                  <c:v>0.92379077615531879</c:v>
                </c:pt>
                <c:pt idx="3">
                  <c:v>0.90266737325536939</c:v>
                </c:pt>
                <c:pt idx="4">
                  <c:v>0.59836065574211905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6-2E04-144C-B4E1-4A1878D1FD4B}"/>
            </c:ext>
          </c:extLst>
        </c:ser>
        <c:ser>
          <c:idx val="7"/>
          <c:order val="7"/>
          <c:tx>
            <c:strRef>
              <c:f>'Rates by consenting centre'!$A$59</c:f>
              <c:strCache>
                <c:ptCount val="1"/>
                <c:pt idx="0">
                  <c:v>H (n=8)</c:v>
                </c:pt>
              </c:strCache>
            </c:strRef>
          </c:tx>
          <c:spPr>
            <a:ln w="28575" cap="rnd">
              <a:solidFill>
                <a:schemeClr val="accent2">
                  <a:lumMod val="6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>
                  <a:lumMod val="60000"/>
                </a:schemeClr>
              </a:solidFill>
              <a:ln w="9525">
                <a:solidFill>
                  <a:schemeClr val="accent2">
                    <a:lumMod val="60000"/>
                  </a:schemeClr>
                </a:solidFill>
              </a:ln>
              <a:effectLst/>
            </c:spPr>
          </c:marker>
          <c:cat>
            <c:strRef>
              <c:f>'Rates by consenting centre'!$B$51:$G$51</c:f>
              <c:strCache>
                <c:ptCount val="5"/>
                <c:pt idx="0">
                  <c:v>2 to &lt;6
months
(n=122)</c:v>
                </c:pt>
                <c:pt idx="1">
                  <c:v>6 to &lt;12 
months
(n=122)</c:v>
                </c:pt>
                <c:pt idx="2">
                  <c:v>1 to &lt;3 
years
(n=118)</c:v>
                </c:pt>
                <c:pt idx="3">
                  <c:v>3 to &lt;5 
years
(n=92)</c:v>
                </c:pt>
                <c:pt idx="4">
                  <c:v>≥5 
years
(n=67)</c:v>
                </c:pt>
              </c:strCache>
              <c:extLst/>
            </c:strRef>
          </c:cat>
          <c:val>
            <c:numRef>
              <c:f>'Rates by consenting centre'!$B$59:$G$59</c:f>
              <c:numCache>
                <c:formatCode>0.00</c:formatCode>
                <c:ptCount val="5"/>
                <c:pt idx="0">
                  <c:v>1.2857140285714799</c:v>
                </c:pt>
                <c:pt idx="1">
                  <c:v>2.5714285714285716</c:v>
                </c:pt>
                <c:pt idx="2">
                  <c:v>1.2235491305227986</c:v>
                </c:pt>
                <c:pt idx="3">
                  <c:v>0.75</c:v>
                </c:pt>
                <c:pt idx="4">
                  <c:v>0.73921859507537324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7-2E04-144C-B4E1-4A1878D1FD4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68573680"/>
        <c:axId val="668574856"/>
      </c:lineChart>
      <c:catAx>
        <c:axId val="66857368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100" b="1"/>
                  <a:t>Age of child at visit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68574856"/>
        <c:crosses val="autoZero"/>
        <c:auto val="1"/>
        <c:lblAlgn val="ctr"/>
        <c:lblOffset val="100"/>
        <c:noMultiLvlLbl val="0"/>
      </c:catAx>
      <c:valAx>
        <c:axId val="668574856"/>
        <c:scaling>
          <c:orientation val="minMax"/>
          <c:max val="7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100" b="1" i="0" baseline="0">
                    <a:effectLst/>
                  </a:rPr>
                  <a:t>Rate (visits per child per year)</a:t>
                </a:r>
                <a:endParaRPr lang="en-US" sz="1100"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#,##0.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685736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2"/>
          <c:order val="2"/>
          <c:tx>
            <c:strRef>
              <c:f>Sheet1!$K$5</c:f>
              <c:strCache>
                <c:ptCount val="1"/>
                <c:pt idx="0">
                  <c:v>visits per child per year</c:v>
                </c:pt>
              </c:strCache>
            </c:strRef>
          </c:tx>
          <c:spPr>
            <a:ln w="28575" cap="rnd">
              <a:solidFill>
                <a:schemeClr val="tx1">
                  <a:alpha val="97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8.3347827371087844E-3"/>
                  <c:y val="-2.780418589447421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AB4-8048-AB13-5FDCF92CF561}"/>
                </c:ext>
              </c:extLst>
            </c:dLbl>
            <c:dLbl>
              <c:idx val="1"/>
              <c:layout>
                <c:manualLayout>
                  <c:x val="-1.3890210672206124E-2"/>
                  <c:y val="-5.099625457221590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AB4-8048-AB13-5FDCF92CF561}"/>
                </c:ext>
              </c:extLst>
            </c:dLbl>
            <c:dLbl>
              <c:idx val="2"/>
              <c:layout>
                <c:manualLayout>
                  <c:x val="-1.5278794183570098E-2"/>
                  <c:y val="-2.080712051292820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1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en-US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9.0979895402272443E-2"/>
                      <c:h val="6.641222349849616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4AB4-8048-AB13-5FDCF92CF561}"/>
                </c:ext>
              </c:extLst>
            </c:dLbl>
            <c:dLbl>
              <c:idx val="3"/>
              <c:layout>
                <c:manualLayout>
                  <c:x val="-5.5555555555555558E-3"/>
                  <c:y val="-3.703703703703703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AB4-8048-AB13-5FDCF92CF561}"/>
                </c:ext>
              </c:extLst>
            </c:dLbl>
            <c:dLbl>
              <c:idx val="4"/>
              <c:layout>
                <c:manualLayout>
                  <c:x val="-5.5555555555555558E-3"/>
                  <c:y val="-4.166666666666666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AB4-8048-AB13-5FDCF92CF561}"/>
                </c:ext>
              </c:extLst>
            </c:dLbl>
            <c:dLbl>
              <c:idx val="5"/>
              <c:layout>
                <c:manualLayout>
                  <c:x val="-1.6666666666666871E-2"/>
                  <c:y val="-4.166666666666675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AB4-8048-AB13-5FDCF92CF56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Dir val="y"/>
            <c:errBarType val="both"/>
            <c:errValType val="cust"/>
            <c:noEndCap val="0"/>
            <c:plus>
              <c:numRef>
                <c:f>Sheet1!$P$6:$P$10</c:f>
                <c:numCache>
                  <c:formatCode>General</c:formatCode>
                  <c:ptCount val="5"/>
                  <c:pt idx="0">
                    <c:v>0.16999418356618906</c:v>
                  </c:pt>
                  <c:pt idx="1">
                    <c:v>0.15322024815423202</c:v>
                  </c:pt>
                  <c:pt idx="2">
                    <c:v>8.2626068452648138E-2</c:v>
                  </c:pt>
                  <c:pt idx="3">
                    <c:v>6.4811370424494058E-2</c:v>
                  </c:pt>
                  <c:pt idx="4">
                    <c:v>5.5456547245306298E-2</c:v>
                  </c:pt>
                </c:numCache>
              </c:numRef>
            </c:plus>
            <c:minus>
              <c:numRef>
                <c:f>Sheet1!$O$6:$O$10</c:f>
                <c:numCache>
                  <c:formatCode>General</c:formatCode>
                  <c:ptCount val="5"/>
                  <c:pt idx="0">
                    <c:v>0.16999418356618906</c:v>
                  </c:pt>
                  <c:pt idx="1">
                    <c:v>0.15322024815423202</c:v>
                  </c:pt>
                  <c:pt idx="2">
                    <c:v>8.2626068452648138E-2</c:v>
                  </c:pt>
                  <c:pt idx="3">
                    <c:v>6.4811370424494072E-2</c:v>
                  </c:pt>
                  <c:pt idx="4">
                    <c:v>5.5456547245306298E-2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Sheet1!$H$6:$H$10</c:f>
              <c:strCache>
                <c:ptCount val="5"/>
                <c:pt idx="0">
                  <c:v>0 to &lt;6 
months
(n=122)</c:v>
                </c:pt>
                <c:pt idx="1">
                  <c:v>6 to &lt;12 
months
(n=122)</c:v>
                </c:pt>
                <c:pt idx="2">
                  <c:v>1 to &lt;3 
years
(n=118)</c:v>
                </c:pt>
                <c:pt idx="3">
                  <c:v>3 to &lt;5 
years
(n=92)</c:v>
                </c:pt>
                <c:pt idx="4">
                  <c:v>≥5 
years
(n=67)</c:v>
                </c:pt>
              </c:strCache>
            </c:strRef>
          </c:cat>
          <c:val>
            <c:numRef>
              <c:f>Sheet1!$K$6:$K$10</c:f>
              <c:numCache>
                <c:formatCode>0.00</c:formatCode>
                <c:ptCount val="5"/>
                <c:pt idx="0">
                  <c:v>0.45894115718734635</c:v>
                </c:pt>
                <c:pt idx="1">
                  <c:v>0.36666666666666664</c:v>
                </c:pt>
                <c:pt idx="2">
                  <c:v>0.37705613423198375</c:v>
                </c:pt>
                <c:pt idx="3">
                  <c:v>0.17182130584192443</c:v>
                </c:pt>
                <c:pt idx="4">
                  <c:v>0.16253755602620304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4AB4-8048-AB13-5FDCF92CF561}"/>
            </c:ext>
          </c:extLst>
        </c:ser>
        <c:dLbls>
          <c:dLblPos val="b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659468568"/>
        <c:axId val="659469352"/>
        <c:extLst>
          <c:ext xmlns:c15="http://schemas.microsoft.com/office/drawing/2012/chart" uri="{02D57815-91ED-43cb-92C2-25804820EDAC}">
            <c15:filteredLine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Sheet1!$I$5</c15:sqref>
                        </c15:formulaRef>
                      </c:ext>
                    </c:extLst>
                    <c:strCache>
                      <c:ptCount val="1"/>
                      <c:pt idx="0">
                        <c:v># visits during age period</c:v>
                      </c:pt>
                    </c:strCache>
                  </c:strRef>
                </c:tx>
                <c:spPr>
                  <a:ln w="28575" cap="rnd">
                    <a:solidFill>
                      <a:schemeClr val="accent1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1"/>
                    </a:solidFill>
                    <a:ln w="9525">
                      <a:solidFill>
                        <a:schemeClr val="accent1"/>
                      </a:solidFill>
                    </a:ln>
                    <a:effectLst/>
                  </c:spPr>
                </c:marker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b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Sheet1!$H$6:$H$10</c15:sqref>
                        </c15:formulaRef>
                      </c:ext>
                    </c:extLst>
                    <c:strCache>
                      <c:ptCount val="5"/>
                      <c:pt idx="0">
                        <c:v>0 to &lt;6 
months
(n=122)</c:v>
                      </c:pt>
                      <c:pt idx="1">
                        <c:v>6 to &lt;12 
months
(n=122)</c:v>
                      </c:pt>
                      <c:pt idx="2">
                        <c:v>1 to &lt;3 
years
(n=118)</c:v>
                      </c:pt>
                      <c:pt idx="3">
                        <c:v>3 to &lt;5 
years
(n=92)</c:v>
                      </c:pt>
                      <c:pt idx="4">
                        <c:v>≥5 
years
(n=67)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Sheet1!$I$6:$I$10</c15:sqref>
                        </c15:formulaRef>
                      </c:ext>
                    </c:extLst>
                    <c:numCache>
                      <c:formatCode>General</c:formatCode>
                      <c:ptCount val="5"/>
                      <c:pt idx="0">
                        <c:v>28</c:v>
                      </c:pt>
                      <c:pt idx="1">
                        <c:v>22</c:v>
                      </c:pt>
                      <c:pt idx="2">
                        <c:v>80</c:v>
                      </c:pt>
                      <c:pt idx="3">
                        <c:v>27</c:v>
                      </c:pt>
                      <c:pt idx="4">
                        <c:v>33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7-4AB4-8048-AB13-5FDCF92CF561}"/>
                  </c:ext>
                </c:extLst>
              </c15:ser>
            </c15:filteredLineSeries>
            <c15:filteredLineSeries>
              <c15:ser>
                <c:idx val="1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Sheet1!$J$5</c15:sqref>
                        </c15:formulaRef>
                      </c:ext>
                    </c:extLst>
                    <c:strCache>
                      <c:ptCount val="1"/>
                      <c:pt idx="0">
                        <c:v>sum of person years </c:v>
                      </c:pt>
                    </c:strCache>
                  </c:strRef>
                </c:tx>
                <c:spPr>
                  <a:ln w="28575" cap="rnd">
                    <a:solidFill>
                      <a:schemeClr val="accent2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2"/>
                    </a:solidFill>
                    <a:ln w="9525">
                      <a:solidFill>
                        <a:schemeClr val="accent2"/>
                      </a:solidFill>
                    </a:ln>
                    <a:effectLst/>
                  </c:spPr>
                </c:marker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b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Sheet1!$H$6:$H$10</c15:sqref>
                        </c15:formulaRef>
                      </c:ext>
                    </c:extLst>
                    <c:strCache>
                      <c:ptCount val="5"/>
                      <c:pt idx="0">
                        <c:v>0 to &lt;6 
months
(n=122)</c:v>
                      </c:pt>
                      <c:pt idx="1">
                        <c:v>6 to &lt;12 
months
(n=122)</c:v>
                      </c:pt>
                      <c:pt idx="2">
                        <c:v>1 to &lt;3 
years
(n=118)</c:v>
                      </c:pt>
                      <c:pt idx="3">
                        <c:v>3 to &lt;5 
years
(n=92)</c:v>
                      </c:pt>
                      <c:pt idx="4">
                        <c:v>≥5 
years
(n=67)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Sheet1!$J$6:$J$10</c15:sqref>
                        </c15:formulaRef>
                      </c:ext>
                    </c:extLst>
                    <c:numCache>
                      <c:formatCode>General</c:formatCode>
                      <c:ptCount val="5"/>
                      <c:pt idx="0">
                        <c:v>61.01</c:v>
                      </c:pt>
                      <c:pt idx="1">
                        <c:v>60</c:v>
                      </c:pt>
                      <c:pt idx="2">
                        <c:v>212.17000000000002</c:v>
                      </c:pt>
                      <c:pt idx="3">
                        <c:v>157.13999999999999</c:v>
                      </c:pt>
                      <c:pt idx="4">
                        <c:v>203.02999999999997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8-4AB4-8048-AB13-5FDCF92CF561}"/>
                  </c:ext>
                </c:extLst>
              </c15:ser>
            </c15:filteredLineSeries>
          </c:ext>
        </c:extLst>
      </c:lineChart>
      <c:catAx>
        <c:axId val="65946856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100" b="1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Age of child at hospital admission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59469352"/>
        <c:crosses val="autoZero"/>
        <c:auto val="1"/>
        <c:lblAlgn val="ctr"/>
        <c:lblOffset val="100"/>
        <c:noMultiLvlLbl val="0"/>
      </c:catAx>
      <c:valAx>
        <c:axId val="659469352"/>
        <c:scaling>
          <c:orientation val="minMax"/>
          <c:max val="0.70000000000000007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100" b="1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Rate (hpspital admissions per child per year)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594685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CHEO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Iverson, Ryan</dc:creator>
  <cp:keywords/>
  <dc:description/>
  <cp:lastModifiedBy>Chakraborty, Pranesh</cp:lastModifiedBy>
  <cp:revision>3</cp:revision>
  <dcterms:created xsi:type="dcterms:W3CDTF">2022-01-05T21:44:00Z</dcterms:created>
  <dcterms:modified xsi:type="dcterms:W3CDTF">2022-05-20T14:49:00Z</dcterms:modified>
</cp:coreProperties>
</file>