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F5AF2" w14:textId="61FE4F84" w:rsidR="0057652B" w:rsidRPr="00417E85" w:rsidRDefault="0057652B" w:rsidP="0057652B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417E85">
        <w:rPr>
          <w:rFonts w:ascii="Arial" w:hAnsi="Arial" w:cs="Arial"/>
          <w:b/>
          <w:bCs/>
          <w:sz w:val="22"/>
          <w:szCs w:val="22"/>
          <w:lang w:val="en-US"/>
        </w:rPr>
        <w:t xml:space="preserve">RETURN ON INVESTMENT COSTS AND BENEFIT INPUTS. </w:t>
      </w:r>
    </w:p>
    <w:p w14:paraId="2D38E02D" w14:textId="77777777" w:rsidR="0057652B" w:rsidRPr="00417E85" w:rsidRDefault="0057652B" w:rsidP="0057652B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p w14:paraId="77B3BA0A" w14:textId="3FE0C6D6" w:rsidR="0057652B" w:rsidRPr="00417E85" w:rsidRDefault="0057652B" w:rsidP="0057652B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417E85">
        <w:rPr>
          <w:rFonts w:ascii="Arial" w:hAnsi="Arial" w:cs="Arial"/>
          <w:b/>
          <w:bCs/>
          <w:sz w:val="22"/>
          <w:szCs w:val="22"/>
          <w:lang w:val="en-US"/>
        </w:rPr>
        <w:t>A Cost inputs for both 146 district hospital and 25 regional referral hospitals</w:t>
      </w:r>
    </w:p>
    <w:tbl>
      <w:tblPr>
        <w:tblStyle w:val="TableGrid"/>
        <w:tblW w:w="9288" w:type="dxa"/>
        <w:tblLook w:val="04A0" w:firstRow="1" w:lastRow="0" w:firstColumn="1" w:lastColumn="0" w:noHBand="0" w:noVBand="1"/>
      </w:tblPr>
      <w:tblGrid>
        <w:gridCol w:w="3438"/>
        <w:gridCol w:w="1800"/>
        <w:gridCol w:w="2250"/>
        <w:gridCol w:w="1800"/>
      </w:tblGrid>
      <w:tr w:rsidR="0057652B" w:rsidRPr="00417E85" w14:paraId="4E9AF54F" w14:textId="77777777" w:rsidTr="00E56D2B">
        <w:tc>
          <w:tcPr>
            <w:tcW w:w="3438" w:type="dxa"/>
          </w:tcPr>
          <w:p w14:paraId="44F50699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Set Up Costs</w:t>
            </w:r>
          </w:p>
        </w:tc>
        <w:tc>
          <w:tcPr>
            <w:tcW w:w="1800" w:type="dxa"/>
          </w:tcPr>
          <w:p w14:paraId="070AFAD2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Annualized Set Up Costs in USD</w:t>
            </w:r>
          </w:p>
        </w:tc>
        <w:tc>
          <w:tcPr>
            <w:tcW w:w="2250" w:type="dxa"/>
          </w:tcPr>
          <w:p w14:paraId="4B44F898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Costs to 2030 in USD</w:t>
            </w:r>
          </w:p>
        </w:tc>
        <w:tc>
          <w:tcPr>
            <w:tcW w:w="1800" w:type="dxa"/>
          </w:tcPr>
          <w:p w14:paraId="3001C2CD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Source</w:t>
            </w:r>
          </w:p>
        </w:tc>
      </w:tr>
      <w:tr w:rsidR="0057652B" w:rsidRPr="00417E85" w14:paraId="5BAEDECA" w14:textId="77777777" w:rsidTr="00E56D2B">
        <w:trPr>
          <w:trHeight w:val="521"/>
        </w:trPr>
        <w:tc>
          <w:tcPr>
            <w:tcW w:w="3438" w:type="dxa"/>
          </w:tcPr>
          <w:p w14:paraId="29C1B270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Infrastructure-20 years useful life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74B42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6,128,652.00 </w:t>
            </w:r>
          </w:p>
        </w:tc>
        <w:tc>
          <w:tcPr>
            <w:tcW w:w="2250" w:type="dxa"/>
          </w:tcPr>
          <w:p w14:paraId="723ECAE9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61,286,520.00</w:t>
            </w:r>
          </w:p>
        </w:tc>
        <w:tc>
          <w:tcPr>
            <w:tcW w:w="1800" w:type="dxa"/>
          </w:tcPr>
          <w:p w14:paraId="6DFB45BA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ABC costing method</w:t>
            </w:r>
          </w:p>
        </w:tc>
      </w:tr>
      <w:tr w:rsidR="0057652B" w:rsidRPr="00417E85" w14:paraId="4A786222" w14:textId="77777777" w:rsidTr="00E56D2B">
        <w:tc>
          <w:tcPr>
            <w:tcW w:w="3438" w:type="dxa"/>
          </w:tcPr>
          <w:p w14:paraId="5EA5CCB7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Ward Furniture and Fixtures-5 years useful life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B6073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1,832,054.00 </w:t>
            </w:r>
          </w:p>
        </w:tc>
        <w:tc>
          <w:tcPr>
            <w:tcW w:w="2250" w:type="dxa"/>
          </w:tcPr>
          <w:p w14:paraId="5E9FD8B1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18,320,540.00</w:t>
            </w:r>
          </w:p>
        </w:tc>
        <w:tc>
          <w:tcPr>
            <w:tcW w:w="1800" w:type="dxa"/>
          </w:tcPr>
          <w:p w14:paraId="3548F1FE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ABC costing method</w:t>
            </w:r>
          </w:p>
        </w:tc>
      </w:tr>
      <w:tr w:rsidR="0057652B" w:rsidRPr="00417E85" w14:paraId="6938590C" w14:textId="77777777" w:rsidTr="00E56D2B">
        <w:tc>
          <w:tcPr>
            <w:tcW w:w="3438" w:type="dxa"/>
          </w:tcPr>
          <w:p w14:paraId="0759896C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Neonatal Devices-5 years useful life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9AA43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2,770,864.00 </w:t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55057E64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27,708,640.00</w:t>
            </w:r>
          </w:p>
        </w:tc>
        <w:tc>
          <w:tcPr>
            <w:tcW w:w="1800" w:type="dxa"/>
          </w:tcPr>
          <w:p w14:paraId="4ECEA90E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ABC costing method</w:t>
            </w:r>
          </w:p>
        </w:tc>
      </w:tr>
      <w:tr w:rsidR="0057652B" w:rsidRPr="00417E85" w14:paraId="552B5303" w14:textId="77777777" w:rsidTr="00E56D2B">
        <w:tc>
          <w:tcPr>
            <w:tcW w:w="3438" w:type="dxa"/>
          </w:tcPr>
          <w:p w14:paraId="31BD0ED5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TOTAL SET UP COSTS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EC351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 10,731,570.00 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2EC7CE46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107,315,700.00</w:t>
            </w:r>
          </w:p>
        </w:tc>
        <w:tc>
          <w:tcPr>
            <w:tcW w:w="1800" w:type="dxa"/>
          </w:tcPr>
          <w:p w14:paraId="424110B9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</w:tr>
      <w:tr w:rsidR="0057652B" w:rsidRPr="00417E85" w14:paraId="5A35F306" w14:textId="77777777" w:rsidTr="00417E85">
        <w:tc>
          <w:tcPr>
            <w:tcW w:w="3438" w:type="dxa"/>
          </w:tcPr>
          <w:p w14:paraId="7A1C70B4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Total Running costs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CA8B2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47,000,000 (if all facilities are built but this is estimated gradually 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56807F84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268,981,000</w:t>
            </w:r>
          </w:p>
        </w:tc>
        <w:tc>
          <w:tcPr>
            <w:tcW w:w="1800" w:type="dxa"/>
          </w:tcPr>
          <w:p w14:paraId="1AA8D667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</w:tr>
      <w:tr w:rsidR="00417E85" w:rsidRPr="00417E85" w14:paraId="46905CCB" w14:textId="77777777" w:rsidTr="00E56D2B">
        <w:tc>
          <w:tcPr>
            <w:tcW w:w="3438" w:type="dxa"/>
          </w:tcPr>
          <w:p w14:paraId="79DCF116" w14:textId="6DA4D547" w:rsidR="00417E85" w:rsidRPr="00417E85" w:rsidRDefault="00417E85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Total cost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9DCA5" w14:textId="77777777" w:rsidR="00417E85" w:rsidRPr="00417E85" w:rsidRDefault="00417E85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250" w:type="dxa"/>
            <w:tcBorders>
              <w:top w:val="single" w:sz="4" w:space="0" w:color="auto"/>
            </w:tcBorders>
          </w:tcPr>
          <w:p w14:paraId="77325EF5" w14:textId="6AC0E814" w:rsidR="00417E85" w:rsidRPr="00417E85" w:rsidRDefault="00417E85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376,296,000</w:t>
            </w:r>
          </w:p>
        </w:tc>
        <w:tc>
          <w:tcPr>
            <w:tcW w:w="1800" w:type="dxa"/>
          </w:tcPr>
          <w:p w14:paraId="6271E5F9" w14:textId="77777777" w:rsidR="00417E85" w:rsidRPr="00417E85" w:rsidRDefault="00417E85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</w:tr>
    </w:tbl>
    <w:p w14:paraId="62B92391" w14:textId="77777777" w:rsidR="0057652B" w:rsidRPr="00417E85" w:rsidRDefault="0057652B" w:rsidP="0057652B">
      <w:pPr>
        <w:rPr>
          <w:rFonts w:ascii="Arial" w:hAnsi="Arial" w:cs="Arial"/>
          <w:sz w:val="22"/>
          <w:szCs w:val="22"/>
        </w:rPr>
      </w:pPr>
      <w:r w:rsidRPr="00417E85">
        <w:rPr>
          <w:rFonts w:ascii="Arial" w:hAnsi="Arial" w:cs="Arial"/>
          <w:sz w:val="22"/>
          <w:szCs w:val="22"/>
        </w:rPr>
        <w:t>All set up costs and running costs were discounted at 3%.</w:t>
      </w:r>
    </w:p>
    <w:p w14:paraId="73964B36" w14:textId="50C78798" w:rsidR="0057652B" w:rsidRPr="00417E85" w:rsidRDefault="0057652B" w:rsidP="0057652B">
      <w:pPr>
        <w:rPr>
          <w:rFonts w:ascii="Arial" w:hAnsi="Arial" w:cs="Arial"/>
          <w:sz w:val="22"/>
          <w:szCs w:val="22"/>
        </w:rPr>
      </w:pPr>
      <w:r w:rsidRPr="00417E85">
        <w:rPr>
          <w:rFonts w:ascii="Arial" w:hAnsi="Arial" w:cs="Arial"/>
          <w:sz w:val="22"/>
          <w:szCs w:val="22"/>
        </w:rPr>
        <w:t>Total incremental Running costs per year if all is in place, $47,000,000 but</w:t>
      </w:r>
      <w:r w:rsidR="00417E85">
        <w:rPr>
          <w:rFonts w:ascii="Arial" w:hAnsi="Arial" w:cs="Arial"/>
          <w:sz w:val="22"/>
          <w:szCs w:val="22"/>
        </w:rPr>
        <w:t xml:space="preserve"> </w:t>
      </w:r>
      <w:r w:rsidRPr="00417E85">
        <w:rPr>
          <w:rFonts w:ascii="Arial" w:hAnsi="Arial" w:cs="Arial"/>
          <w:sz w:val="22"/>
          <w:szCs w:val="22"/>
        </w:rPr>
        <w:t xml:space="preserve">percentages estimation assumptions were used to gradual estimate the incremental costs of the running costs to 2030 for Scenario A as all facilities cannot be built in the first year. </w:t>
      </w:r>
    </w:p>
    <w:p w14:paraId="4A3E78AE" w14:textId="77777777" w:rsidR="00417E85" w:rsidRPr="00417E85" w:rsidRDefault="00417E85" w:rsidP="0057652B">
      <w:pPr>
        <w:rPr>
          <w:rFonts w:ascii="Arial" w:hAnsi="Arial" w:cs="Arial"/>
          <w:sz w:val="22"/>
          <w:szCs w:val="22"/>
        </w:rPr>
      </w:pPr>
    </w:p>
    <w:p w14:paraId="328EE3AE" w14:textId="77777777" w:rsidR="00417E85" w:rsidRPr="00417E85" w:rsidRDefault="00417E85" w:rsidP="0057652B">
      <w:pPr>
        <w:rPr>
          <w:rFonts w:ascii="Arial" w:hAnsi="Arial" w:cs="Arial"/>
          <w:sz w:val="22"/>
          <w:szCs w:val="22"/>
        </w:rPr>
      </w:pPr>
    </w:p>
    <w:p w14:paraId="67D05924" w14:textId="77777777" w:rsidR="0057652B" w:rsidRPr="00417E85" w:rsidRDefault="0057652B" w:rsidP="0057652B">
      <w:pPr>
        <w:rPr>
          <w:rFonts w:ascii="Arial" w:hAnsi="Arial" w:cs="Arial"/>
          <w:sz w:val="22"/>
          <w:szCs w:val="22"/>
          <w:lang w:val="en-US"/>
        </w:rPr>
      </w:pPr>
    </w:p>
    <w:p w14:paraId="3EF8A41A" w14:textId="4A57E322" w:rsidR="0057652B" w:rsidRPr="00417E85" w:rsidRDefault="0057652B" w:rsidP="0057652B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417E85">
        <w:rPr>
          <w:rFonts w:ascii="Arial" w:hAnsi="Arial" w:cs="Arial"/>
          <w:b/>
          <w:bCs/>
          <w:sz w:val="22"/>
          <w:szCs w:val="22"/>
          <w:lang w:val="en-US"/>
        </w:rPr>
        <w:t>B. Benefits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746"/>
        <w:gridCol w:w="2174"/>
        <w:gridCol w:w="2342"/>
        <w:gridCol w:w="1947"/>
      </w:tblGrid>
      <w:tr w:rsidR="0057652B" w:rsidRPr="00417E85" w14:paraId="011FED6F" w14:textId="77777777" w:rsidTr="00E56D2B">
        <w:tc>
          <w:tcPr>
            <w:tcW w:w="2833" w:type="dxa"/>
          </w:tcPr>
          <w:p w14:paraId="63BC541B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Input</w:t>
            </w:r>
          </w:p>
        </w:tc>
        <w:tc>
          <w:tcPr>
            <w:tcW w:w="1998" w:type="dxa"/>
          </w:tcPr>
          <w:p w14:paraId="4AF387C5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Value</w:t>
            </w:r>
          </w:p>
        </w:tc>
        <w:tc>
          <w:tcPr>
            <w:tcW w:w="2384" w:type="dxa"/>
          </w:tcPr>
          <w:p w14:paraId="7BAC62FC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Source</w:t>
            </w:r>
          </w:p>
        </w:tc>
        <w:tc>
          <w:tcPr>
            <w:tcW w:w="1994" w:type="dxa"/>
          </w:tcPr>
          <w:p w14:paraId="1F5E5642" w14:textId="1D8A22A0" w:rsidR="0057652B" w:rsidRPr="00417E85" w:rsidRDefault="00417E85" w:rsidP="00E56D2B">
            <w:pPr>
              <w:spacing w:line="259" w:lineRule="auto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Notes</w:t>
            </w:r>
          </w:p>
        </w:tc>
      </w:tr>
      <w:tr w:rsidR="0057652B" w:rsidRPr="00417E85" w14:paraId="3956ACBA" w14:textId="77777777" w:rsidTr="00E56D2B">
        <w:tc>
          <w:tcPr>
            <w:tcW w:w="2833" w:type="dxa"/>
          </w:tcPr>
          <w:p w14:paraId="40E46B6E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Lives Saved by 2030</w:t>
            </w:r>
          </w:p>
        </w:tc>
        <w:tc>
          <w:tcPr>
            <w:tcW w:w="1998" w:type="dxa"/>
          </w:tcPr>
          <w:p w14:paraId="15FA25F8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80,000</w:t>
            </w:r>
          </w:p>
        </w:tc>
        <w:tc>
          <w:tcPr>
            <w:tcW w:w="2384" w:type="dxa"/>
          </w:tcPr>
          <w:p w14:paraId="388F5337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Lives Saved tool output</w:t>
            </w:r>
          </w:p>
        </w:tc>
        <w:tc>
          <w:tcPr>
            <w:tcW w:w="1994" w:type="dxa"/>
          </w:tcPr>
          <w:p w14:paraId="6D7840B1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</w:tr>
      <w:tr w:rsidR="0057652B" w:rsidRPr="00417E85" w14:paraId="181E489F" w14:textId="77777777" w:rsidTr="00E56D2B">
        <w:tc>
          <w:tcPr>
            <w:tcW w:w="2833" w:type="dxa"/>
          </w:tcPr>
          <w:p w14:paraId="4D2D4119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Life Expectancy in Tanzania</w:t>
            </w:r>
          </w:p>
        </w:tc>
        <w:tc>
          <w:tcPr>
            <w:tcW w:w="1998" w:type="dxa"/>
          </w:tcPr>
          <w:p w14:paraId="5C273AA4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66</w:t>
            </w:r>
          </w:p>
        </w:tc>
        <w:tc>
          <w:tcPr>
            <w:tcW w:w="2384" w:type="dxa"/>
          </w:tcPr>
          <w:p w14:paraId="68018842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World Development Indicators 2021 -Tanzania</w:t>
            </w:r>
          </w:p>
          <w:p w14:paraId="1DD52E49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994" w:type="dxa"/>
          </w:tcPr>
          <w:p w14:paraId="165D65FD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</w:tr>
      <w:tr w:rsidR="0057652B" w:rsidRPr="00417E85" w14:paraId="3EAA5405" w14:textId="77777777" w:rsidTr="00E56D2B">
        <w:tc>
          <w:tcPr>
            <w:tcW w:w="2833" w:type="dxa"/>
          </w:tcPr>
          <w:p w14:paraId="5CD4A798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YLL Averted using Tanzania Life Exp</w:t>
            </w:r>
          </w:p>
          <w:p w14:paraId="652E5605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998" w:type="dxa"/>
          </w:tcPr>
          <w:p w14:paraId="3DA6FBEC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5,280,000.00</w:t>
            </w:r>
          </w:p>
        </w:tc>
        <w:tc>
          <w:tcPr>
            <w:tcW w:w="2384" w:type="dxa"/>
          </w:tcPr>
          <w:p w14:paraId="4A1B5B1C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994" w:type="dxa"/>
          </w:tcPr>
          <w:p w14:paraId="16831ADD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</w:tr>
      <w:tr w:rsidR="0057652B" w:rsidRPr="00417E85" w14:paraId="14B77A42" w14:textId="77777777" w:rsidTr="00E56D2B">
        <w:tc>
          <w:tcPr>
            <w:tcW w:w="9209" w:type="dxa"/>
            <w:gridSpan w:val="4"/>
          </w:tcPr>
          <w:p w14:paraId="27662573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Monetizing YLL Averted</w:t>
            </w:r>
          </w:p>
        </w:tc>
      </w:tr>
      <w:tr w:rsidR="0057652B" w:rsidRPr="00417E85" w14:paraId="459A7DB7" w14:textId="77777777" w:rsidTr="00E56D2B">
        <w:tc>
          <w:tcPr>
            <w:tcW w:w="2833" w:type="dxa"/>
          </w:tcPr>
          <w:p w14:paraId="5DD9E268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GDP Per Capita</w:t>
            </w:r>
          </w:p>
        </w:tc>
        <w:tc>
          <w:tcPr>
            <w:tcW w:w="1998" w:type="dxa"/>
          </w:tcPr>
          <w:p w14:paraId="0ACFA4F9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1099</w:t>
            </w:r>
          </w:p>
        </w:tc>
        <w:tc>
          <w:tcPr>
            <w:tcW w:w="2384" w:type="dxa"/>
          </w:tcPr>
          <w:p w14:paraId="5AF89B3A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World Development Indicators 2021 -Tanzania</w:t>
            </w:r>
          </w:p>
        </w:tc>
        <w:tc>
          <w:tcPr>
            <w:tcW w:w="1994" w:type="dxa"/>
          </w:tcPr>
          <w:p w14:paraId="0E67F7CF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</w:tr>
      <w:tr w:rsidR="0057652B" w:rsidRPr="00417E85" w14:paraId="2C6EDD5F" w14:textId="77777777" w:rsidTr="00E56D2B">
        <w:tc>
          <w:tcPr>
            <w:tcW w:w="2833" w:type="dxa"/>
          </w:tcPr>
          <w:p w14:paraId="52D5B430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Value of a statistical life year (USD) in Tanzania using GDP approach</w:t>
            </w:r>
          </w:p>
        </w:tc>
        <w:tc>
          <w:tcPr>
            <w:tcW w:w="1998" w:type="dxa"/>
          </w:tcPr>
          <w:p w14:paraId="6B6E860D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2527.7</w:t>
            </w:r>
          </w:p>
        </w:tc>
        <w:tc>
          <w:tcPr>
            <w:tcW w:w="2384" w:type="dxa"/>
          </w:tcPr>
          <w:p w14:paraId="0A19A127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2.3. times GDP per capita</w:t>
            </w:r>
          </w:p>
        </w:tc>
        <w:tc>
          <w:tcPr>
            <w:tcW w:w="1994" w:type="dxa"/>
          </w:tcPr>
          <w:p w14:paraId="14481589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</w:tr>
      <w:tr w:rsidR="0057652B" w:rsidRPr="00417E85" w14:paraId="598C0B13" w14:textId="77777777" w:rsidTr="00E56D2B">
        <w:tc>
          <w:tcPr>
            <w:tcW w:w="2833" w:type="dxa"/>
          </w:tcPr>
          <w:p w14:paraId="342F4C9F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Monetized YLL Averted Future value</w:t>
            </w:r>
          </w:p>
        </w:tc>
        <w:tc>
          <w:tcPr>
            <w:tcW w:w="1998" w:type="dxa"/>
          </w:tcPr>
          <w:p w14:paraId="159B31B4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$13,346,256,000.00</w:t>
            </w:r>
          </w:p>
        </w:tc>
        <w:tc>
          <w:tcPr>
            <w:tcW w:w="2384" w:type="dxa"/>
          </w:tcPr>
          <w:p w14:paraId="7DCE73DE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994" w:type="dxa"/>
          </w:tcPr>
          <w:p w14:paraId="744015AA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GDP approach</w:t>
            </w:r>
          </w:p>
        </w:tc>
      </w:tr>
      <w:tr w:rsidR="0057652B" w:rsidRPr="00417E85" w14:paraId="5F8FD5E1" w14:textId="77777777" w:rsidTr="00E56D2B">
        <w:tc>
          <w:tcPr>
            <w:tcW w:w="2833" w:type="dxa"/>
          </w:tcPr>
          <w:p w14:paraId="6C91BC87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Constant Value of Statistical life year in Tanzania</w:t>
            </w:r>
          </w:p>
        </w:tc>
        <w:tc>
          <w:tcPr>
            <w:tcW w:w="1998" w:type="dxa"/>
          </w:tcPr>
          <w:p w14:paraId="2DFA8513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2401</w:t>
            </w:r>
          </w:p>
        </w:tc>
        <w:tc>
          <w:tcPr>
            <w:tcW w:w="2384" w:type="dxa"/>
          </w:tcPr>
          <w:p w14:paraId="7ECFF175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Viscusi W. K. and Masterman C. J., “Income elasticities and global values of a statistical </w:t>
            </w: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lastRenderedPageBreak/>
              <w:t>life,” J. Benefit-Cost Anal., vol. 8, no. 2, pp. 226–250, 2017.</w:t>
            </w:r>
          </w:p>
        </w:tc>
        <w:tc>
          <w:tcPr>
            <w:tcW w:w="1994" w:type="dxa"/>
          </w:tcPr>
          <w:p w14:paraId="0A6F0141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lastRenderedPageBreak/>
              <w:t>Minimal difference with GDP approach-so we used GDP approach.</w:t>
            </w:r>
          </w:p>
        </w:tc>
      </w:tr>
      <w:tr w:rsidR="0057652B" w:rsidRPr="00417E85" w14:paraId="4503D291" w14:textId="77777777" w:rsidTr="00E56D2B">
        <w:trPr>
          <w:trHeight w:val="341"/>
        </w:trPr>
        <w:tc>
          <w:tcPr>
            <w:tcW w:w="2833" w:type="dxa"/>
          </w:tcPr>
          <w:p w14:paraId="2C0D0C94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Present Value of monetized lives</w:t>
            </w:r>
          </w:p>
        </w:tc>
        <w:tc>
          <w:tcPr>
            <w:tcW w:w="1998" w:type="dxa"/>
          </w:tcPr>
          <w:p w14:paraId="0BA85C91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$1,897,154,151.13</w:t>
            </w:r>
          </w:p>
        </w:tc>
        <w:tc>
          <w:tcPr>
            <w:tcW w:w="2384" w:type="dxa"/>
          </w:tcPr>
          <w:p w14:paraId="54F3CF23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(3% discount rate -BMGF reference case)</w:t>
            </w:r>
          </w:p>
        </w:tc>
        <w:tc>
          <w:tcPr>
            <w:tcW w:w="1994" w:type="dxa"/>
          </w:tcPr>
          <w:p w14:paraId="285E4EDA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Used GDP approach as not major difference with VSL</w:t>
            </w:r>
          </w:p>
        </w:tc>
      </w:tr>
      <w:tr w:rsidR="0057652B" w:rsidRPr="00417E85" w14:paraId="4A336E4C" w14:textId="77777777" w:rsidTr="00E56D2B">
        <w:tc>
          <w:tcPr>
            <w:tcW w:w="9209" w:type="dxa"/>
            <w:gridSpan w:val="4"/>
          </w:tcPr>
          <w:p w14:paraId="3EB1E88E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Productivity Benefits</w:t>
            </w:r>
          </w:p>
        </w:tc>
      </w:tr>
      <w:tr w:rsidR="0057652B" w:rsidRPr="00417E85" w14:paraId="076D97D6" w14:textId="77777777" w:rsidTr="00E56D2B">
        <w:tc>
          <w:tcPr>
            <w:tcW w:w="2833" w:type="dxa"/>
          </w:tcPr>
          <w:p w14:paraId="321B23DD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Age to enter labour force</w:t>
            </w:r>
          </w:p>
        </w:tc>
        <w:tc>
          <w:tcPr>
            <w:tcW w:w="1998" w:type="dxa"/>
          </w:tcPr>
          <w:p w14:paraId="563BAF59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2384" w:type="dxa"/>
          </w:tcPr>
          <w:p w14:paraId="4AC2CFE9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World Development Indicators 2021 -Tanzania</w:t>
            </w:r>
          </w:p>
        </w:tc>
        <w:tc>
          <w:tcPr>
            <w:tcW w:w="1994" w:type="dxa"/>
          </w:tcPr>
          <w:p w14:paraId="2EAEEAAC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</w:tr>
      <w:tr w:rsidR="0057652B" w:rsidRPr="00417E85" w14:paraId="108D98F3" w14:textId="77777777" w:rsidTr="00E56D2B">
        <w:tc>
          <w:tcPr>
            <w:tcW w:w="2833" w:type="dxa"/>
          </w:tcPr>
          <w:p w14:paraId="1266ADEF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Productive life years when one enters labour force</w:t>
            </w:r>
          </w:p>
        </w:tc>
        <w:tc>
          <w:tcPr>
            <w:tcW w:w="1998" w:type="dxa"/>
          </w:tcPr>
          <w:p w14:paraId="082B5E5A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46</w:t>
            </w:r>
          </w:p>
        </w:tc>
        <w:tc>
          <w:tcPr>
            <w:tcW w:w="2384" w:type="dxa"/>
          </w:tcPr>
          <w:p w14:paraId="02CF62D7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994" w:type="dxa"/>
          </w:tcPr>
          <w:p w14:paraId="690F71CC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</w:tr>
      <w:tr w:rsidR="0057652B" w:rsidRPr="00417E85" w14:paraId="32C5414E" w14:textId="77777777" w:rsidTr="00E56D2B">
        <w:tc>
          <w:tcPr>
            <w:tcW w:w="2833" w:type="dxa"/>
          </w:tcPr>
          <w:p w14:paraId="233153BB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Productivity gains (future value)</w:t>
            </w:r>
          </w:p>
        </w:tc>
        <w:tc>
          <w:tcPr>
            <w:tcW w:w="1998" w:type="dxa"/>
          </w:tcPr>
          <w:p w14:paraId="36660247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$9,301,936,000.00</w:t>
            </w:r>
          </w:p>
        </w:tc>
        <w:tc>
          <w:tcPr>
            <w:tcW w:w="2384" w:type="dxa"/>
          </w:tcPr>
          <w:p w14:paraId="0272335D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994" w:type="dxa"/>
          </w:tcPr>
          <w:p w14:paraId="72293AE4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using GDP approach</w:t>
            </w:r>
          </w:p>
        </w:tc>
      </w:tr>
      <w:tr w:rsidR="0057652B" w:rsidRPr="00417E85" w14:paraId="527F58BB" w14:textId="77777777" w:rsidTr="00E56D2B">
        <w:tc>
          <w:tcPr>
            <w:tcW w:w="2833" w:type="dxa"/>
          </w:tcPr>
          <w:p w14:paraId="54671D49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Productivity gains (present value)</w:t>
            </w:r>
          </w:p>
        </w:tc>
        <w:tc>
          <w:tcPr>
            <w:tcW w:w="1998" w:type="dxa"/>
          </w:tcPr>
          <w:p w14:paraId="12DB4C18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$1,250,070,111.94</w:t>
            </w:r>
          </w:p>
        </w:tc>
        <w:tc>
          <w:tcPr>
            <w:tcW w:w="2384" w:type="dxa"/>
          </w:tcPr>
          <w:p w14:paraId="0202EEA4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994" w:type="dxa"/>
          </w:tcPr>
          <w:p w14:paraId="4589CCB7" w14:textId="77777777" w:rsidR="0057652B" w:rsidRPr="00417E85" w:rsidRDefault="0057652B" w:rsidP="00E56D2B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417E8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using GDP approach</w:t>
            </w:r>
          </w:p>
        </w:tc>
      </w:tr>
    </w:tbl>
    <w:p w14:paraId="7A7BDD04" w14:textId="77777777" w:rsidR="0057652B" w:rsidRPr="00417E85" w:rsidRDefault="0057652B" w:rsidP="0057652B">
      <w:pPr>
        <w:spacing w:line="259" w:lineRule="auto"/>
        <w:rPr>
          <w:rFonts w:ascii="Arial" w:eastAsiaTheme="minorHAnsi" w:hAnsi="Arial" w:cs="Arial"/>
          <w:sz w:val="22"/>
          <w:szCs w:val="22"/>
          <w:lang w:eastAsia="en-US"/>
        </w:rPr>
      </w:pPr>
      <w:r w:rsidRPr="00417E85">
        <w:rPr>
          <w:rFonts w:ascii="Arial" w:eastAsiaTheme="minorHAnsi" w:hAnsi="Arial" w:cs="Arial"/>
          <w:sz w:val="22"/>
          <w:szCs w:val="22"/>
          <w:lang w:eastAsia="en-US"/>
        </w:rPr>
        <w:t>Scenario A in consideration- establishing and operating new additional neonatal for scale-up</w:t>
      </w:r>
    </w:p>
    <w:p w14:paraId="26F0060C" w14:textId="77777777" w:rsidR="00BE71C6" w:rsidRPr="00417E85" w:rsidRDefault="00BE71C6">
      <w:pPr>
        <w:rPr>
          <w:rFonts w:ascii="Arial" w:hAnsi="Arial" w:cs="Arial"/>
          <w:sz w:val="22"/>
          <w:szCs w:val="22"/>
        </w:rPr>
      </w:pPr>
    </w:p>
    <w:p w14:paraId="606C5097" w14:textId="38A6817D" w:rsidR="00417E85" w:rsidRPr="00417E85" w:rsidRDefault="00417E85" w:rsidP="00417E85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417E85">
        <w:rPr>
          <w:rFonts w:ascii="Arial" w:hAnsi="Arial" w:cs="Arial"/>
          <w:b/>
          <w:bCs/>
          <w:sz w:val="22"/>
          <w:szCs w:val="22"/>
          <w:lang w:val="en-US"/>
        </w:rPr>
        <w:t>C. Return on Investment (ROI)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3190"/>
        <w:gridCol w:w="2052"/>
        <w:gridCol w:w="4653"/>
      </w:tblGrid>
      <w:tr w:rsidR="00417E85" w:rsidRPr="00417E85" w14:paraId="2DCA9CBB" w14:textId="77777777" w:rsidTr="006B1853">
        <w:tc>
          <w:tcPr>
            <w:tcW w:w="3315" w:type="dxa"/>
          </w:tcPr>
          <w:p w14:paraId="365CAC90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Social benefits</w:t>
            </w:r>
          </w:p>
        </w:tc>
        <w:tc>
          <w:tcPr>
            <w:tcW w:w="1718" w:type="dxa"/>
          </w:tcPr>
          <w:p w14:paraId="1C54E5E2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4862" w:type="dxa"/>
          </w:tcPr>
          <w:p w14:paraId="0003D337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417E85" w:rsidRPr="00417E85" w14:paraId="3AC28E03" w14:textId="77777777" w:rsidTr="006B1853">
        <w:tc>
          <w:tcPr>
            <w:tcW w:w="3315" w:type="dxa"/>
          </w:tcPr>
          <w:p w14:paraId="50EB6ACE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TOTAL BENEFIT to 2030</w:t>
            </w:r>
          </w:p>
        </w:tc>
        <w:tc>
          <w:tcPr>
            <w:tcW w:w="1718" w:type="dxa"/>
          </w:tcPr>
          <w:p w14:paraId="726D4354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$1,897,154,151.13</w:t>
            </w:r>
          </w:p>
        </w:tc>
        <w:tc>
          <w:tcPr>
            <w:tcW w:w="4862" w:type="dxa"/>
          </w:tcPr>
          <w:p w14:paraId="64BCD19E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Discounted at 3%</w:t>
            </w:r>
          </w:p>
        </w:tc>
      </w:tr>
      <w:tr w:rsidR="00417E85" w:rsidRPr="00417E85" w14:paraId="589E455E" w14:textId="77777777" w:rsidTr="006B1853">
        <w:tc>
          <w:tcPr>
            <w:tcW w:w="3315" w:type="dxa"/>
          </w:tcPr>
          <w:p w14:paraId="54CEED58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TOTAL COST to 2030</w:t>
            </w:r>
          </w:p>
        </w:tc>
        <w:tc>
          <w:tcPr>
            <w:tcW w:w="1718" w:type="dxa"/>
          </w:tcPr>
          <w:p w14:paraId="21742429" w14:textId="77777777" w:rsidR="00417E85" w:rsidRPr="00417E85" w:rsidRDefault="00417E85" w:rsidP="006B185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17E85">
              <w:rPr>
                <w:rFonts w:ascii="Arial" w:hAnsi="Arial" w:cs="Arial"/>
                <w:color w:val="000000"/>
                <w:sz w:val="22"/>
                <w:szCs w:val="22"/>
              </w:rPr>
              <w:t xml:space="preserve">$ 376,296,700 </w:t>
            </w:r>
          </w:p>
          <w:p w14:paraId="7F9BEE8A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4862" w:type="dxa"/>
          </w:tcPr>
          <w:p w14:paraId="1C1B2670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Discounted at 3%</w:t>
            </w:r>
          </w:p>
        </w:tc>
      </w:tr>
      <w:tr w:rsidR="00417E85" w:rsidRPr="00417E85" w14:paraId="4B6FE95F" w14:textId="77777777" w:rsidTr="006B1853">
        <w:tc>
          <w:tcPr>
            <w:tcW w:w="3315" w:type="dxa"/>
          </w:tcPr>
          <w:p w14:paraId="4AD80735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ROI 1</w:t>
            </w:r>
          </w:p>
        </w:tc>
        <w:tc>
          <w:tcPr>
            <w:tcW w:w="1718" w:type="dxa"/>
          </w:tcPr>
          <w:p w14:paraId="5C9950D9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5.0</w:t>
            </w:r>
          </w:p>
        </w:tc>
        <w:tc>
          <w:tcPr>
            <w:tcW w:w="4862" w:type="dxa"/>
          </w:tcPr>
          <w:p w14:paraId="00BF7173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417E85" w:rsidRPr="00417E85" w14:paraId="67A0AF0C" w14:textId="77777777" w:rsidTr="006B1853">
        <w:tc>
          <w:tcPr>
            <w:tcW w:w="3315" w:type="dxa"/>
          </w:tcPr>
          <w:p w14:paraId="1F58BBE1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Economic benefits</w:t>
            </w:r>
          </w:p>
        </w:tc>
        <w:tc>
          <w:tcPr>
            <w:tcW w:w="1718" w:type="dxa"/>
          </w:tcPr>
          <w:p w14:paraId="2A2C67ED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4862" w:type="dxa"/>
          </w:tcPr>
          <w:p w14:paraId="049BC9FD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417E85" w:rsidRPr="00417E85" w14:paraId="01DCE3E3" w14:textId="77777777" w:rsidTr="006B1853">
        <w:tc>
          <w:tcPr>
            <w:tcW w:w="3315" w:type="dxa"/>
          </w:tcPr>
          <w:p w14:paraId="1A684BC9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TOTAL BENEFIT to 2030</w:t>
            </w:r>
          </w:p>
        </w:tc>
        <w:tc>
          <w:tcPr>
            <w:tcW w:w="1718" w:type="dxa"/>
          </w:tcPr>
          <w:p w14:paraId="2E300B21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$1,250,070,111.94</w:t>
            </w:r>
          </w:p>
        </w:tc>
        <w:tc>
          <w:tcPr>
            <w:tcW w:w="4862" w:type="dxa"/>
          </w:tcPr>
          <w:p w14:paraId="0427B1CE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Discounted at 3%</w:t>
            </w:r>
          </w:p>
        </w:tc>
      </w:tr>
      <w:tr w:rsidR="00417E85" w:rsidRPr="00417E85" w14:paraId="62045FCB" w14:textId="77777777" w:rsidTr="006B1853">
        <w:tc>
          <w:tcPr>
            <w:tcW w:w="3315" w:type="dxa"/>
          </w:tcPr>
          <w:p w14:paraId="121F29D9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TOTAL COST to 2030</w:t>
            </w:r>
          </w:p>
        </w:tc>
        <w:tc>
          <w:tcPr>
            <w:tcW w:w="1718" w:type="dxa"/>
          </w:tcPr>
          <w:p w14:paraId="50952E05" w14:textId="77777777" w:rsidR="00417E85" w:rsidRPr="00417E85" w:rsidRDefault="00417E85" w:rsidP="006B185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17E85">
              <w:rPr>
                <w:rFonts w:ascii="Arial" w:hAnsi="Arial" w:cs="Arial"/>
                <w:color w:val="000000"/>
                <w:sz w:val="22"/>
                <w:szCs w:val="22"/>
              </w:rPr>
              <w:t xml:space="preserve">$ 376,296,700 </w:t>
            </w:r>
          </w:p>
          <w:p w14:paraId="06134B8A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4862" w:type="dxa"/>
          </w:tcPr>
          <w:p w14:paraId="2D4598D1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Discounted at 3%</w:t>
            </w:r>
          </w:p>
        </w:tc>
      </w:tr>
      <w:tr w:rsidR="00417E85" w:rsidRPr="00417E85" w14:paraId="4541073B" w14:textId="77777777" w:rsidTr="006B1853">
        <w:tc>
          <w:tcPr>
            <w:tcW w:w="3315" w:type="dxa"/>
          </w:tcPr>
          <w:p w14:paraId="5CDBCEBA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ROI 2</w:t>
            </w:r>
          </w:p>
        </w:tc>
        <w:tc>
          <w:tcPr>
            <w:tcW w:w="1718" w:type="dxa"/>
          </w:tcPr>
          <w:p w14:paraId="7796A98E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3.3</w:t>
            </w:r>
          </w:p>
        </w:tc>
        <w:tc>
          <w:tcPr>
            <w:tcW w:w="4862" w:type="dxa"/>
          </w:tcPr>
          <w:p w14:paraId="69F3B3AE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417E85" w:rsidRPr="00417E85" w14:paraId="2D8426C7" w14:textId="77777777" w:rsidTr="006B1853">
        <w:tc>
          <w:tcPr>
            <w:tcW w:w="3315" w:type="dxa"/>
          </w:tcPr>
          <w:p w14:paraId="6ABF4749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Total ROI</w:t>
            </w:r>
          </w:p>
        </w:tc>
        <w:tc>
          <w:tcPr>
            <w:tcW w:w="1718" w:type="dxa"/>
          </w:tcPr>
          <w:p w14:paraId="471EA817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8.3</w:t>
            </w:r>
          </w:p>
        </w:tc>
        <w:tc>
          <w:tcPr>
            <w:tcW w:w="4862" w:type="dxa"/>
          </w:tcPr>
          <w:p w14:paraId="7E235BC2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41D0592A" w14:textId="77777777" w:rsidR="00417E85" w:rsidRPr="00417E85" w:rsidRDefault="00417E85" w:rsidP="00417E85">
      <w:pPr>
        <w:rPr>
          <w:rFonts w:ascii="Arial" w:hAnsi="Arial" w:cs="Arial"/>
          <w:sz w:val="22"/>
          <w:szCs w:val="22"/>
          <w:lang w:val="en-US"/>
        </w:rPr>
      </w:pPr>
    </w:p>
    <w:p w14:paraId="70F974ED" w14:textId="66C263DC" w:rsidR="00417E85" w:rsidRPr="00417E85" w:rsidRDefault="00417E85" w:rsidP="00417E85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417E85">
        <w:rPr>
          <w:rFonts w:ascii="Arial" w:hAnsi="Arial" w:cs="Arial"/>
          <w:b/>
          <w:bCs/>
          <w:sz w:val="22"/>
          <w:szCs w:val="22"/>
          <w:lang w:val="en-US"/>
        </w:rPr>
        <w:t>D. Sensitivity Analyses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3039"/>
        <w:gridCol w:w="2174"/>
        <w:gridCol w:w="2231"/>
        <w:gridCol w:w="2451"/>
      </w:tblGrid>
      <w:tr w:rsidR="00417E85" w:rsidRPr="00417E85" w14:paraId="7FB6A1CE" w14:textId="77777777" w:rsidTr="006B1853">
        <w:tc>
          <w:tcPr>
            <w:tcW w:w="3130" w:type="dxa"/>
          </w:tcPr>
          <w:p w14:paraId="2D078BAE" w14:textId="77777777" w:rsidR="00417E85" w:rsidRPr="00417E85" w:rsidRDefault="00417E85" w:rsidP="006B1853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Input</w:t>
            </w:r>
          </w:p>
        </w:tc>
        <w:tc>
          <w:tcPr>
            <w:tcW w:w="1998" w:type="dxa"/>
          </w:tcPr>
          <w:p w14:paraId="15865520" w14:textId="77777777" w:rsidR="00417E85" w:rsidRPr="00417E85" w:rsidRDefault="00417E85" w:rsidP="006B1853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Value</w:t>
            </w:r>
          </w:p>
        </w:tc>
        <w:tc>
          <w:tcPr>
            <w:tcW w:w="2270" w:type="dxa"/>
          </w:tcPr>
          <w:p w14:paraId="5D7C67F7" w14:textId="77777777" w:rsidR="00417E85" w:rsidRPr="00417E85" w:rsidRDefault="00417E85" w:rsidP="006B1853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Source</w:t>
            </w:r>
          </w:p>
        </w:tc>
        <w:tc>
          <w:tcPr>
            <w:tcW w:w="2497" w:type="dxa"/>
          </w:tcPr>
          <w:p w14:paraId="08AD698B" w14:textId="77777777" w:rsidR="00417E85" w:rsidRPr="00417E85" w:rsidRDefault="00417E85" w:rsidP="006B1853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Assumptions</w:t>
            </w:r>
          </w:p>
        </w:tc>
      </w:tr>
      <w:tr w:rsidR="00417E85" w:rsidRPr="00417E85" w14:paraId="35C18FBF" w14:textId="77777777" w:rsidTr="006B1853">
        <w:tc>
          <w:tcPr>
            <w:tcW w:w="9895" w:type="dxa"/>
            <w:gridSpan w:val="4"/>
          </w:tcPr>
          <w:p w14:paraId="1C6A5167" w14:textId="77777777" w:rsidR="00417E85" w:rsidRPr="00417E85" w:rsidRDefault="00417E85" w:rsidP="006B1853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417E8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Monetizing YLL Averted</w:t>
            </w:r>
          </w:p>
        </w:tc>
      </w:tr>
      <w:tr w:rsidR="00417E85" w:rsidRPr="00417E85" w14:paraId="2913D233" w14:textId="77777777" w:rsidTr="006B1853">
        <w:tc>
          <w:tcPr>
            <w:tcW w:w="3130" w:type="dxa"/>
          </w:tcPr>
          <w:p w14:paraId="5DB4561F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GDP Per Capita</w:t>
            </w:r>
          </w:p>
        </w:tc>
        <w:tc>
          <w:tcPr>
            <w:tcW w:w="1998" w:type="dxa"/>
          </w:tcPr>
          <w:p w14:paraId="6A58C4E4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1428.9</w:t>
            </w:r>
          </w:p>
        </w:tc>
        <w:tc>
          <w:tcPr>
            <w:tcW w:w="2270" w:type="dxa"/>
          </w:tcPr>
          <w:p w14:paraId="6A8652AA" w14:textId="77777777" w:rsidR="00417E85" w:rsidRPr="00417E85" w:rsidRDefault="00417E85" w:rsidP="006B185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17E85">
              <w:rPr>
                <w:rFonts w:ascii="Arial" w:hAnsi="Arial" w:cs="Arial"/>
                <w:color w:val="000000"/>
                <w:sz w:val="22"/>
                <w:szCs w:val="22"/>
              </w:rPr>
              <w:t>World Development Indicators 2021 -Tanzania</w:t>
            </w:r>
          </w:p>
        </w:tc>
        <w:tc>
          <w:tcPr>
            <w:tcW w:w="2497" w:type="dxa"/>
          </w:tcPr>
          <w:p w14:paraId="3E1E3CEB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Assumed a 3% growth in GDP annually</w:t>
            </w:r>
          </w:p>
        </w:tc>
      </w:tr>
      <w:tr w:rsidR="00417E85" w:rsidRPr="00417E85" w14:paraId="55BBD088" w14:textId="77777777" w:rsidTr="006B1853">
        <w:tc>
          <w:tcPr>
            <w:tcW w:w="3130" w:type="dxa"/>
          </w:tcPr>
          <w:p w14:paraId="7873A54C" w14:textId="77777777" w:rsidR="00417E85" w:rsidRPr="00417E85" w:rsidRDefault="00417E85" w:rsidP="006B185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17E85">
              <w:rPr>
                <w:rFonts w:ascii="Arial" w:hAnsi="Arial" w:cs="Arial"/>
                <w:color w:val="000000"/>
                <w:sz w:val="22"/>
                <w:szCs w:val="22"/>
              </w:rPr>
              <w:t>Value of a statistical life year (USD) in Tanzania using GDP approach</w:t>
            </w:r>
          </w:p>
        </w:tc>
        <w:tc>
          <w:tcPr>
            <w:tcW w:w="1998" w:type="dxa"/>
          </w:tcPr>
          <w:p w14:paraId="07994C59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3286.7</w:t>
            </w:r>
          </w:p>
        </w:tc>
        <w:tc>
          <w:tcPr>
            <w:tcW w:w="2270" w:type="dxa"/>
          </w:tcPr>
          <w:p w14:paraId="1F12B000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2.3. times GDP per capita</w:t>
            </w:r>
          </w:p>
        </w:tc>
        <w:tc>
          <w:tcPr>
            <w:tcW w:w="2497" w:type="dxa"/>
          </w:tcPr>
          <w:p w14:paraId="2AF6B649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417E85" w:rsidRPr="00417E85" w14:paraId="167685EE" w14:textId="77777777" w:rsidTr="006B1853">
        <w:tc>
          <w:tcPr>
            <w:tcW w:w="3130" w:type="dxa"/>
          </w:tcPr>
          <w:p w14:paraId="213BCC39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Monetized YLL Averted Future value</w:t>
            </w:r>
          </w:p>
        </w:tc>
        <w:tc>
          <w:tcPr>
            <w:tcW w:w="1998" w:type="dxa"/>
          </w:tcPr>
          <w:p w14:paraId="0E165FE1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$17,352,561,600.00</w:t>
            </w:r>
          </w:p>
        </w:tc>
        <w:tc>
          <w:tcPr>
            <w:tcW w:w="2270" w:type="dxa"/>
          </w:tcPr>
          <w:p w14:paraId="0B6904EC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497" w:type="dxa"/>
          </w:tcPr>
          <w:p w14:paraId="56EE7E77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GDP approach</w:t>
            </w:r>
          </w:p>
        </w:tc>
      </w:tr>
      <w:tr w:rsidR="00417E85" w:rsidRPr="00417E85" w14:paraId="7419F9C1" w14:textId="77777777" w:rsidTr="006B1853">
        <w:trPr>
          <w:trHeight w:val="341"/>
        </w:trPr>
        <w:tc>
          <w:tcPr>
            <w:tcW w:w="3130" w:type="dxa"/>
          </w:tcPr>
          <w:p w14:paraId="5BFCC81C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Present Value of monetized lives</w:t>
            </w:r>
          </w:p>
        </w:tc>
        <w:tc>
          <w:tcPr>
            <w:tcW w:w="1998" w:type="dxa"/>
          </w:tcPr>
          <w:p w14:paraId="0B95D369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</w:rPr>
            </w:pPr>
            <w:r w:rsidRPr="00417E85">
              <w:rPr>
                <w:rFonts w:ascii="Arial" w:hAnsi="Arial" w:cs="Arial"/>
                <w:sz w:val="22"/>
                <w:szCs w:val="22"/>
              </w:rPr>
              <w:t xml:space="preserve">$2,466,645,647.46 </w:t>
            </w:r>
          </w:p>
          <w:p w14:paraId="0DDC1294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270" w:type="dxa"/>
          </w:tcPr>
          <w:p w14:paraId="4EC16A6B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(3% discount rate -BMGF reference case)</w:t>
            </w:r>
          </w:p>
        </w:tc>
        <w:tc>
          <w:tcPr>
            <w:tcW w:w="2497" w:type="dxa"/>
          </w:tcPr>
          <w:p w14:paraId="6D1C5C9E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Used GDP approach as not major difference with VSL</w:t>
            </w:r>
          </w:p>
        </w:tc>
      </w:tr>
      <w:tr w:rsidR="00417E85" w:rsidRPr="00417E85" w14:paraId="4C3F4D12" w14:textId="77777777" w:rsidTr="006B1853">
        <w:tc>
          <w:tcPr>
            <w:tcW w:w="9895" w:type="dxa"/>
            <w:gridSpan w:val="4"/>
          </w:tcPr>
          <w:p w14:paraId="238F51BC" w14:textId="77777777" w:rsidR="00417E85" w:rsidRPr="00417E85" w:rsidRDefault="00417E85" w:rsidP="006B1853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PRODUCTIVITY BENEFITS</w:t>
            </w:r>
          </w:p>
        </w:tc>
      </w:tr>
      <w:tr w:rsidR="00417E85" w:rsidRPr="00417E85" w14:paraId="06847BF0" w14:textId="77777777" w:rsidTr="006B1853">
        <w:tc>
          <w:tcPr>
            <w:tcW w:w="3130" w:type="dxa"/>
          </w:tcPr>
          <w:p w14:paraId="337C9916" w14:textId="77777777" w:rsidR="00417E85" w:rsidRPr="00417E85" w:rsidRDefault="00417E85" w:rsidP="006B185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17E85">
              <w:rPr>
                <w:rFonts w:ascii="Arial" w:hAnsi="Arial" w:cs="Arial"/>
                <w:color w:val="000000"/>
                <w:sz w:val="22"/>
                <w:szCs w:val="22"/>
              </w:rPr>
              <w:t>Productivity gains (future value)</w:t>
            </w:r>
          </w:p>
        </w:tc>
        <w:tc>
          <w:tcPr>
            <w:tcW w:w="1998" w:type="dxa"/>
          </w:tcPr>
          <w:p w14:paraId="4E09A9E6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$ 12,094,209,600</w:t>
            </w:r>
          </w:p>
        </w:tc>
        <w:tc>
          <w:tcPr>
            <w:tcW w:w="2270" w:type="dxa"/>
          </w:tcPr>
          <w:p w14:paraId="63C7AC47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497" w:type="dxa"/>
          </w:tcPr>
          <w:p w14:paraId="7E2903D2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color w:val="000000"/>
                <w:sz w:val="22"/>
                <w:szCs w:val="22"/>
              </w:rPr>
              <w:t>using GDP approach</w:t>
            </w:r>
          </w:p>
        </w:tc>
      </w:tr>
      <w:tr w:rsidR="00417E85" w:rsidRPr="00417E85" w14:paraId="0218CCD0" w14:textId="77777777" w:rsidTr="006B1853">
        <w:tc>
          <w:tcPr>
            <w:tcW w:w="3130" w:type="dxa"/>
          </w:tcPr>
          <w:p w14:paraId="2393685A" w14:textId="77777777" w:rsidR="00417E85" w:rsidRPr="00417E85" w:rsidRDefault="00417E85" w:rsidP="006B185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17E85">
              <w:rPr>
                <w:rFonts w:ascii="Arial" w:hAnsi="Arial" w:cs="Arial"/>
                <w:color w:val="000000"/>
                <w:sz w:val="22"/>
                <w:szCs w:val="22"/>
              </w:rPr>
              <w:t>Productivity gains (present value)</w:t>
            </w:r>
          </w:p>
        </w:tc>
        <w:tc>
          <w:tcPr>
            <w:tcW w:w="1998" w:type="dxa"/>
          </w:tcPr>
          <w:p w14:paraId="69170714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$ 2,261,917,045.66</w:t>
            </w:r>
          </w:p>
        </w:tc>
        <w:tc>
          <w:tcPr>
            <w:tcW w:w="2270" w:type="dxa"/>
          </w:tcPr>
          <w:p w14:paraId="337787EC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497" w:type="dxa"/>
          </w:tcPr>
          <w:p w14:paraId="0BA633AB" w14:textId="77777777" w:rsidR="00417E85" w:rsidRPr="00417E85" w:rsidRDefault="00417E85" w:rsidP="006B185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17E85">
              <w:rPr>
                <w:rFonts w:ascii="Arial" w:hAnsi="Arial" w:cs="Arial"/>
                <w:color w:val="000000"/>
                <w:sz w:val="22"/>
                <w:szCs w:val="22"/>
              </w:rPr>
              <w:t>using GDP approach</w:t>
            </w:r>
          </w:p>
        </w:tc>
      </w:tr>
    </w:tbl>
    <w:p w14:paraId="0C76090E" w14:textId="77777777" w:rsidR="00417E85" w:rsidRPr="00417E85" w:rsidRDefault="00417E85" w:rsidP="00417E85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p w14:paraId="27460820" w14:textId="72BF4FEB" w:rsidR="00417E85" w:rsidRPr="00417E85" w:rsidRDefault="00417E85" w:rsidP="00417E85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417E85">
        <w:rPr>
          <w:rFonts w:ascii="Arial" w:hAnsi="Arial" w:cs="Arial"/>
          <w:b/>
          <w:bCs/>
          <w:sz w:val="22"/>
          <w:szCs w:val="22"/>
          <w:lang w:val="en-US"/>
        </w:rPr>
        <w:t xml:space="preserve">E. </w:t>
      </w:r>
      <w:r w:rsidRPr="00417E85">
        <w:rPr>
          <w:rFonts w:ascii="Arial" w:hAnsi="Arial" w:cs="Arial"/>
          <w:b/>
          <w:bCs/>
          <w:sz w:val="22"/>
          <w:szCs w:val="22"/>
          <w:lang w:val="en-US"/>
        </w:rPr>
        <w:t>Return on Investment (ROI) with Sensitivity Analyses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2605"/>
        <w:gridCol w:w="2273"/>
        <w:gridCol w:w="5017"/>
      </w:tblGrid>
      <w:tr w:rsidR="00417E85" w:rsidRPr="00417E85" w14:paraId="4A54762A" w14:textId="77777777" w:rsidTr="006B1853">
        <w:tc>
          <w:tcPr>
            <w:tcW w:w="2605" w:type="dxa"/>
          </w:tcPr>
          <w:p w14:paraId="44B27A46" w14:textId="77777777" w:rsidR="00417E85" w:rsidRPr="00417E85" w:rsidRDefault="00417E85" w:rsidP="006B1853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Social Benefits</w:t>
            </w:r>
          </w:p>
        </w:tc>
        <w:tc>
          <w:tcPr>
            <w:tcW w:w="2273" w:type="dxa"/>
          </w:tcPr>
          <w:p w14:paraId="0E09A50A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5017" w:type="dxa"/>
          </w:tcPr>
          <w:p w14:paraId="230D2516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417E85" w:rsidRPr="00417E85" w14:paraId="180C10FE" w14:textId="77777777" w:rsidTr="006B1853">
        <w:tc>
          <w:tcPr>
            <w:tcW w:w="2605" w:type="dxa"/>
          </w:tcPr>
          <w:p w14:paraId="2545F370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TOTAL BENEFIT to 2030</w:t>
            </w:r>
          </w:p>
        </w:tc>
        <w:tc>
          <w:tcPr>
            <w:tcW w:w="2273" w:type="dxa"/>
          </w:tcPr>
          <w:p w14:paraId="0798E2C9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$</w:t>
            </w:r>
            <w:r w:rsidRPr="00417E85">
              <w:rPr>
                <w:rFonts w:ascii="Arial" w:hAnsi="Arial" w:cs="Arial"/>
                <w:sz w:val="22"/>
                <w:szCs w:val="22"/>
              </w:rPr>
              <w:t xml:space="preserve">2,466,645,647.46 </w:t>
            </w:r>
          </w:p>
          <w:p w14:paraId="0F40FD5C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5017" w:type="dxa"/>
          </w:tcPr>
          <w:p w14:paraId="4B4458B6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Discounted at 3%</w:t>
            </w:r>
          </w:p>
        </w:tc>
      </w:tr>
      <w:tr w:rsidR="00417E85" w:rsidRPr="00417E85" w14:paraId="3285C086" w14:textId="77777777" w:rsidTr="006B1853">
        <w:tc>
          <w:tcPr>
            <w:tcW w:w="2605" w:type="dxa"/>
          </w:tcPr>
          <w:p w14:paraId="21F48FB5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TOTAL COST to 2030</w:t>
            </w:r>
          </w:p>
        </w:tc>
        <w:tc>
          <w:tcPr>
            <w:tcW w:w="2273" w:type="dxa"/>
          </w:tcPr>
          <w:p w14:paraId="3E39C568" w14:textId="77777777" w:rsidR="00417E85" w:rsidRPr="00417E85" w:rsidRDefault="00417E85" w:rsidP="006B185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17E85">
              <w:rPr>
                <w:rFonts w:ascii="Arial" w:hAnsi="Arial" w:cs="Arial"/>
                <w:color w:val="000000"/>
                <w:sz w:val="22"/>
                <w:szCs w:val="22"/>
              </w:rPr>
              <w:t xml:space="preserve">$ 376,296,700 </w:t>
            </w:r>
          </w:p>
          <w:p w14:paraId="4956F887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5017" w:type="dxa"/>
          </w:tcPr>
          <w:p w14:paraId="28893367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Discounted at 3%</w:t>
            </w:r>
          </w:p>
        </w:tc>
      </w:tr>
      <w:tr w:rsidR="00417E85" w:rsidRPr="00417E85" w14:paraId="1FAD3718" w14:textId="77777777" w:rsidTr="006B1853">
        <w:tc>
          <w:tcPr>
            <w:tcW w:w="2605" w:type="dxa"/>
          </w:tcPr>
          <w:p w14:paraId="5037A0CE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ROI 1</w:t>
            </w:r>
          </w:p>
        </w:tc>
        <w:tc>
          <w:tcPr>
            <w:tcW w:w="2273" w:type="dxa"/>
          </w:tcPr>
          <w:p w14:paraId="0120EDA9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6</w:t>
            </w:r>
          </w:p>
        </w:tc>
        <w:tc>
          <w:tcPr>
            <w:tcW w:w="5017" w:type="dxa"/>
          </w:tcPr>
          <w:p w14:paraId="674A124E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417E85" w:rsidRPr="00417E85" w14:paraId="7D43DB68" w14:textId="77777777" w:rsidTr="006B1853">
        <w:tc>
          <w:tcPr>
            <w:tcW w:w="2605" w:type="dxa"/>
          </w:tcPr>
          <w:p w14:paraId="53276338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TOTAL BENEFIT to 2030</w:t>
            </w:r>
          </w:p>
        </w:tc>
        <w:tc>
          <w:tcPr>
            <w:tcW w:w="2273" w:type="dxa"/>
          </w:tcPr>
          <w:p w14:paraId="29162A78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$ 2,261,917,045.66</w:t>
            </w:r>
          </w:p>
        </w:tc>
        <w:tc>
          <w:tcPr>
            <w:tcW w:w="5017" w:type="dxa"/>
          </w:tcPr>
          <w:p w14:paraId="5268103D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Discounted at 3%</w:t>
            </w:r>
          </w:p>
        </w:tc>
      </w:tr>
      <w:tr w:rsidR="00417E85" w:rsidRPr="00417E85" w14:paraId="4736C376" w14:textId="77777777" w:rsidTr="006B1853">
        <w:tc>
          <w:tcPr>
            <w:tcW w:w="2605" w:type="dxa"/>
          </w:tcPr>
          <w:p w14:paraId="2F453086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TOTAL COST to 2030</w:t>
            </w:r>
          </w:p>
        </w:tc>
        <w:tc>
          <w:tcPr>
            <w:tcW w:w="2273" w:type="dxa"/>
          </w:tcPr>
          <w:p w14:paraId="0C635562" w14:textId="77777777" w:rsidR="00417E85" w:rsidRPr="00417E85" w:rsidRDefault="00417E85" w:rsidP="006B185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17E85">
              <w:rPr>
                <w:rFonts w:ascii="Arial" w:hAnsi="Arial" w:cs="Arial"/>
                <w:color w:val="000000"/>
                <w:sz w:val="22"/>
                <w:szCs w:val="22"/>
              </w:rPr>
              <w:t xml:space="preserve">$ 376,296,700 </w:t>
            </w:r>
          </w:p>
          <w:p w14:paraId="59CF35C4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5017" w:type="dxa"/>
          </w:tcPr>
          <w:p w14:paraId="7D4E7DA3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Discounted at 3%</w:t>
            </w:r>
          </w:p>
        </w:tc>
      </w:tr>
      <w:tr w:rsidR="00417E85" w:rsidRPr="00417E85" w14:paraId="58E2311A" w14:textId="77777777" w:rsidTr="006B1853">
        <w:tc>
          <w:tcPr>
            <w:tcW w:w="2605" w:type="dxa"/>
          </w:tcPr>
          <w:p w14:paraId="1AF5596A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ROI 2</w:t>
            </w:r>
          </w:p>
        </w:tc>
        <w:tc>
          <w:tcPr>
            <w:tcW w:w="2273" w:type="dxa"/>
          </w:tcPr>
          <w:p w14:paraId="5173FF4A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6</w:t>
            </w:r>
          </w:p>
        </w:tc>
        <w:tc>
          <w:tcPr>
            <w:tcW w:w="5017" w:type="dxa"/>
          </w:tcPr>
          <w:p w14:paraId="6A15942B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417E85" w:rsidRPr="00417E85" w14:paraId="7EFAE473" w14:textId="77777777" w:rsidTr="006B1853">
        <w:tc>
          <w:tcPr>
            <w:tcW w:w="2605" w:type="dxa"/>
          </w:tcPr>
          <w:p w14:paraId="78829978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Total ROI</w:t>
            </w:r>
          </w:p>
        </w:tc>
        <w:tc>
          <w:tcPr>
            <w:tcW w:w="2273" w:type="dxa"/>
          </w:tcPr>
          <w:p w14:paraId="4546876E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7E85">
              <w:rPr>
                <w:rFonts w:ascii="Arial" w:hAnsi="Arial" w:cs="Arial"/>
                <w:sz w:val="22"/>
                <w:szCs w:val="22"/>
                <w:lang w:val="en-US"/>
              </w:rPr>
              <w:t>12</w:t>
            </w:r>
          </w:p>
        </w:tc>
        <w:tc>
          <w:tcPr>
            <w:tcW w:w="5017" w:type="dxa"/>
          </w:tcPr>
          <w:p w14:paraId="3DC66419" w14:textId="77777777" w:rsidR="00417E85" w:rsidRPr="00417E85" w:rsidRDefault="00417E85" w:rsidP="006B185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7A1B1A04" w14:textId="77777777" w:rsidR="00417E85" w:rsidRPr="00417E85" w:rsidRDefault="00417E85" w:rsidP="00417E85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p w14:paraId="7CC21099" w14:textId="65EA28AF" w:rsidR="00417E85" w:rsidRPr="00417E85" w:rsidRDefault="00417E85" w:rsidP="00417E85">
      <w:pPr>
        <w:jc w:val="center"/>
        <w:rPr>
          <w:rFonts w:ascii="Arial" w:hAnsi="Arial" w:cs="Arial"/>
          <w:b/>
          <w:bCs/>
          <w:sz w:val="22"/>
          <w:szCs w:val="22"/>
          <w:lang w:val="en-US"/>
        </w:rPr>
      </w:pPr>
      <w:r w:rsidRPr="00417E85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4802F6D" wp14:editId="38F68F74">
                <wp:simplePos x="0" y="0"/>
                <wp:positionH relativeFrom="column">
                  <wp:posOffset>-617220</wp:posOffset>
                </wp:positionH>
                <wp:positionV relativeFrom="paragraph">
                  <wp:posOffset>327025</wp:posOffset>
                </wp:positionV>
                <wp:extent cx="7056120" cy="1811655"/>
                <wp:effectExtent l="0" t="0" r="0" b="0"/>
                <wp:wrapSquare wrapText="bothSides"/>
                <wp:docPr id="51564064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56120" cy="1811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F532DF" w14:textId="77777777" w:rsidR="00417E85" w:rsidRPr="00F306DA" w:rsidRDefault="00417E85" w:rsidP="00417E85">
                            <w:pPr>
                              <w:pBdr>
                                <w:top w:val="single" w:sz="24" w:space="31" w:color="4472C4" w:themeColor="accent1"/>
                                <w:bottom w:val="single" w:sz="24" w:space="8" w:color="4472C4" w:themeColor="accent1"/>
                              </w:pBdr>
                              <w:jc w:val="both"/>
                              <w:rPr>
                                <w:rFonts w:ascii="Arial" w:hAnsi="Arial" w:cs="Arial"/>
                                <w:i/>
                                <w:iCs/>
                                <w:color w:val="4472C4" w:themeColor="accent1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F306DA">
                              <w:rPr>
                                <w:rFonts w:ascii="Arial" w:hAnsi="Arial" w:cs="Arial"/>
                                <w:i/>
                                <w:iCs/>
                                <w:color w:val="4472C4" w:themeColor="accent1"/>
                                <w:sz w:val="22"/>
                                <w:szCs w:val="22"/>
                                <w:lang w:val="en-US"/>
                              </w:rPr>
                              <w:t>RETURN ON INVESTMENT USING GDP APPROACH TO ESTIMATE THE VSL</w:t>
                            </w:r>
                          </w:p>
                          <w:p w14:paraId="62AD699B" w14:textId="77777777" w:rsidR="00417E85" w:rsidRPr="00F306DA" w:rsidRDefault="00417E85" w:rsidP="00417E85">
                            <w:pPr>
                              <w:pBdr>
                                <w:top w:val="single" w:sz="24" w:space="31" w:color="4472C4" w:themeColor="accent1"/>
                                <w:bottom w:val="single" w:sz="24" w:space="8" w:color="4472C4" w:themeColor="accent1"/>
                              </w:pBdr>
                              <w:jc w:val="both"/>
                              <w:rPr>
                                <w:rFonts w:ascii="Arial" w:hAnsi="Arial" w:cs="Arial"/>
                                <w:i/>
                                <w:iCs/>
                                <w:color w:val="4472C4" w:themeColor="accent1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31B93BEC" w14:textId="77777777" w:rsidR="00417E85" w:rsidRPr="00F306DA" w:rsidRDefault="00417E85" w:rsidP="00417E85">
                            <w:pPr>
                              <w:pBdr>
                                <w:top w:val="single" w:sz="24" w:space="31" w:color="4472C4" w:themeColor="accent1"/>
                                <w:bottom w:val="single" w:sz="24" w:space="8" w:color="4472C4" w:themeColor="accent1"/>
                              </w:pBdr>
                              <w:jc w:val="both"/>
                              <w:rPr>
                                <w:rFonts w:ascii="Arial" w:hAnsi="Arial" w:cs="Arial"/>
                                <w:i/>
                                <w:iCs/>
                                <w:color w:val="4472C4" w:themeColor="accent1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F306DA">
                              <w:rPr>
                                <w:rFonts w:ascii="Arial" w:hAnsi="Arial" w:cs="Arial"/>
                                <w:i/>
                                <w:iCs/>
                                <w:color w:val="4472C4" w:themeColor="accent1"/>
                                <w:sz w:val="22"/>
                                <w:szCs w:val="22"/>
                                <w:lang w:val="en-US"/>
                              </w:rPr>
                              <w:t>FOR EVERY DOLLAR INVESTED, TANZANIA GAINS $8 BACK ASSUMING NO GDP GROWTH</w:t>
                            </w:r>
                          </w:p>
                          <w:p w14:paraId="2A3C93B1" w14:textId="77777777" w:rsidR="00417E85" w:rsidRPr="00F306DA" w:rsidRDefault="00417E85" w:rsidP="00417E85">
                            <w:pPr>
                              <w:pBdr>
                                <w:top w:val="single" w:sz="24" w:space="31" w:color="4472C4" w:themeColor="accent1"/>
                                <w:bottom w:val="single" w:sz="24" w:space="8" w:color="4472C4" w:themeColor="accent1"/>
                              </w:pBdr>
                              <w:jc w:val="both"/>
                              <w:rPr>
                                <w:rFonts w:ascii="Arial" w:hAnsi="Arial" w:cs="Arial"/>
                                <w:i/>
                                <w:iCs/>
                                <w:color w:val="4472C4" w:themeColor="accent1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70FAC7A9" w14:textId="77777777" w:rsidR="00417E85" w:rsidRPr="00F306DA" w:rsidRDefault="00417E85" w:rsidP="00417E85">
                            <w:pPr>
                              <w:pBdr>
                                <w:top w:val="single" w:sz="24" w:space="31" w:color="4472C4" w:themeColor="accent1"/>
                                <w:bottom w:val="single" w:sz="24" w:space="8" w:color="4472C4" w:themeColor="accent1"/>
                              </w:pBdr>
                              <w:jc w:val="both"/>
                              <w:rPr>
                                <w:rFonts w:ascii="Arial" w:hAnsi="Arial" w:cs="Arial"/>
                                <w:i/>
                                <w:iCs/>
                                <w:color w:val="4472C4" w:themeColor="accent1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F306DA">
                              <w:rPr>
                                <w:rFonts w:ascii="Arial" w:hAnsi="Arial" w:cs="Arial"/>
                                <w:i/>
                                <w:iCs/>
                                <w:color w:val="4472C4" w:themeColor="accent1"/>
                                <w:sz w:val="22"/>
                                <w:szCs w:val="22"/>
                                <w:lang w:val="en-US"/>
                              </w:rPr>
                              <w:t>ASSUMING A 3% ANNUAL GDP GROWTH TO 2030, ROI IS ESTIMATED AT 12 FOR EVERY DOLLAR INVESTED</w:t>
                            </w:r>
                          </w:p>
                          <w:p w14:paraId="5FCAA0D8" w14:textId="77777777" w:rsidR="00417E85" w:rsidRDefault="00417E85" w:rsidP="00417E85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4802F6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48.6pt;margin-top:25.75pt;width:555.6pt;height:142.6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qYrEAIAACAEAAAOAAAAZHJzL2Uyb0RvYy54bWysk99v2yAQx98n7X9AvC+2ozhNrThVly7T&#10;pO6H1PUPwBjHaJhjQGJnf/0O7KbZur1M4wEBd3y5+9yxvhk6RY7COgm6pNkspURoDrXU+5I+ft29&#10;WVHiPNM1U6BFSU/C0ZvN61fr3hRiDi2oWliCItoVvSlp670pksTxVnTMzcAIjcYGbMc8bu0+qS3r&#10;Ub1TyTxNl0kPtjYWuHAOT+9GI91E/aYR3H9uGic8USXF2HycbZyrMCebNSv2lplW8ikM9g9RdExq&#10;fPQsdcc8IwcrX0h1kltw0PgZhy6BppFcxBwwmyz9LZuHlhkRc0E4zpwxuf8nyz8dH8wXS/zwFgYs&#10;YEzCmXvg3xzRsG2Z3otba6FvBavx4SwgS3rjiulqQO0KF0Sq/iPUWGR28BCFhsZ2gQrmSVAdC3A6&#10;QxeDJxwPr9J8mc3RxNGWrbJsmefxDVY8XTfW+fcCOhIWJbVY1SjPjvfOh3BY8eQSXnOgZL2TSsWN&#10;3VdbZcmRYQfs4pjUf3FTmvQlvc7n+UjgrxJpHH+S6KTHVlayK+nq7MSKwO2drmOjeSbVuMaQlZ5A&#10;BnYjRT9UAzoGoBXUJ0RqYWxZ/GK4aMH+oKTHdi2p+35gVlCiPmgsy3W2WIT+jptFfhWA2ktLdWlh&#10;mqNUST0l43Lr45+IwMwtlm8nI9jnSKZYsQ0j7+nLhD6/3Eev54+9+QkAAP//AwBQSwMEFAAGAAgA&#10;AAAhADCc62HgAAAACwEAAA8AAABkcnMvZG93bnJldi54bWxMj0FPg0AQhe8m/ofNmHhp2oUiWJGh&#10;0SY9eSrW+5YdgcjOIrtt6b93e6rHyXx573vFejK9ONHoOssI8SICQVxb3XGDsP/czlcgnFesVW+Z&#10;EC7kYF3e3xUq1/bMOzpVvhEhhF2uEFrvh1xKV7dklFvYgTj8vu1olA/n2Eg9qnMIN71cRlEmjeo4&#10;NLRqoE1L9U91NAjZb5XMPr70jHeX7ftYm1Rv9ini48P09grC0+RvMFz1gzqUwelgj6yd6BHmL8/L&#10;gCKkcQriCkTxU1h3QEiSbAWyLOT/DeUfAAAA//8DAFBLAQItABQABgAIAAAAIQC2gziS/gAAAOEB&#10;AAATAAAAAAAAAAAAAAAAAAAAAABbQ29udGVudF9UeXBlc10ueG1sUEsBAi0AFAAGAAgAAAAhADj9&#10;If/WAAAAlAEAAAsAAAAAAAAAAAAAAAAALwEAAF9yZWxzLy5yZWxzUEsBAi0AFAAGAAgAAAAhAGbm&#10;pisQAgAAIAQAAA4AAAAAAAAAAAAAAAAALgIAAGRycy9lMm9Eb2MueG1sUEsBAi0AFAAGAAgAAAAh&#10;ADCc62HgAAAACwEAAA8AAAAAAAAAAAAAAAAAagQAAGRycy9kb3ducmV2LnhtbFBLBQYAAAAABAAE&#10;APMAAAB3BQAAAAA=&#10;">
                <v:textbox style="mso-fit-shape-to-text:t">
                  <w:txbxContent>
                    <w:p w14:paraId="1DF532DF" w14:textId="77777777" w:rsidR="00417E85" w:rsidRPr="00F306DA" w:rsidRDefault="00417E85" w:rsidP="00417E85">
                      <w:pPr>
                        <w:pBdr>
                          <w:top w:val="single" w:sz="24" w:space="31" w:color="4472C4" w:themeColor="accent1"/>
                          <w:bottom w:val="single" w:sz="24" w:space="8" w:color="4472C4" w:themeColor="accent1"/>
                        </w:pBdr>
                        <w:jc w:val="both"/>
                        <w:rPr>
                          <w:rFonts w:ascii="Arial" w:hAnsi="Arial" w:cs="Arial"/>
                          <w:i/>
                          <w:iCs/>
                          <w:color w:val="4472C4" w:themeColor="accent1"/>
                          <w:sz w:val="22"/>
                          <w:szCs w:val="22"/>
                          <w:lang w:val="en-US"/>
                        </w:rPr>
                      </w:pPr>
                      <w:r w:rsidRPr="00F306DA">
                        <w:rPr>
                          <w:rFonts w:ascii="Arial" w:hAnsi="Arial" w:cs="Arial"/>
                          <w:i/>
                          <w:iCs/>
                          <w:color w:val="4472C4" w:themeColor="accent1"/>
                          <w:sz w:val="22"/>
                          <w:szCs w:val="22"/>
                          <w:lang w:val="en-US"/>
                        </w:rPr>
                        <w:t>RETURN ON INVESTMENT USING GDP APPROACH TO ESTIMATE THE VSL</w:t>
                      </w:r>
                    </w:p>
                    <w:p w14:paraId="62AD699B" w14:textId="77777777" w:rsidR="00417E85" w:rsidRPr="00F306DA" w:rsidRDefault="00417E85" w:rsidP="00417E85">
                      <w:pPr>
                        <w:pBdr>
                          <w:top w:val="single" w:sz="24" w:space="31" w:color="4472C4" w:themeColor="accent1"/>
                          <w:bottom w:val="single" w:sz="24" w:space="8" w:color="4472C4" w:themeColor="accent1"/>
                        </w:pBdr>
                        <w:jc w:val="both"/>
                        <w:rPr>
                          <w:rFonts w:ascii="Arial" w:hAnsi="Arial" w:cs="Arial"/>
                          <w:i/>
                          <w:iCs/>
                          <w:color w:val="4472C4" w:themeColor="accent1"/>
                          <w:sz w:val="22"/>
                          <w:szCs w:val="22"/>
                          <w:lang w:val="en-US"/>
                        </w:rPr>
                      </w:pPr>
                    </w:p>
                    <w:p w14:paraId="31B93BEC" w14:textId="77777777" w:rsidR="00417E85" w:rsidRPr="00F306DA" w:rsidRDefault="00417E85" w:rsidP="00417E85">
                      <w:pPr>
                        <w:pBdr>
                          <w:top w:val="single" w:sz="24" w:space="31" w:color="4472C4" w:themeColor="accent1"/>
                          <w:bottom w:val="single" w:sz="24" w:space="8" w:color="4472C4" w:themeColor="accent1"/>
                        </w:pBdr>
                        <w:jc w:val="both"/>
                        <w:rPr>
                          <w:rFonts w:ascii="Arial" w:hAnsi="Arial" w:cs="Arial"/>
                          <w:i/>
                          <w:iCs/>
                          <w:color w:val="4472C4" w:themeColor="accent1"/>
                          <w:sz w:val="22"/>
                          <w:szCs w:val="22"/>
                          <w:lang w:val="en-US"/>
                        </w:rPr>
                      </w:pPr>
                      <w:r w:rsidRPr="00F306DA">
                        <w:rPr>
                          <w:rFonts w:ascii="Arial" w:hAnsi="Arial" w:cs="Arial"/>
                          <w:i/>
                          <w:iCs/>
                          <w:color w:val="4472C4" w:themeColor="accent1"/>
                          <w:sz w:val="22"/>
                          <w:szCs w:val="22"/>
                          <w:lang w:val="en-US"/>
                        </w:rPr>
                        <w:t>FOR EVERY DOLLAR INVESTED, TANZANIA GAINS $8 BACK ASSUMING NO GDP GROWTH</w:t>
                      </w:r>
                    </w:p>
                    <w:p w14:paraId="2A3C93B1" w14:textId="77777777" w:rsidR="00417E85" w:rsidRPr="00F306DA" w:rsidRDefault="00417E85" w:rsidP="00417E85">
                      <w:pPr>
                        <w:pBdr>
                          <w:top w:val="single" w:sz="24" w:space="31" w:color="4472C4" w:themeColor="accent1"/>
                          <w:bottom w:val="single" w:sz="24" w:space="8" w:color="4472C4" w:themeColor="accent1"/>
                        </w:pBdr>
                        <w:jc w:val="both"/>
                        <w:rPr>
                          <w:rFonts w:ascii="Arial" w:hAnsi="Arial" w:cs="Arial"/>
                          <w:i/>
                          <w:iCs/>
                          <w:color w:val="4472C4" w:themeColor="accent1"/>
                          <w:sz w:val="22"/>
                          <w:szCs w:val="22"/>
                          <w:lang w:val="en-US"/>
                        </w:rPr>
                      </w:pPr>
                    </w:p>
                    <w:p w14:paraId="70FAC7A9" w14:textId="77777777" w:rsidR="00417E85" w:rsidRPr="00F306DA" w:rsidRDefault="00417E85" w:rsidP="00417E85">
                      <w:pPr>
                        <w:pBdr>
                          <w:top w:val="single" w:sz="24" w:space="31" w:color="4472C4" w:themeColor="accent1"/>
                          <w:bottom w:val="single" w:sz="24" w:space="8" w:color="4472C4" w:themeColor="accent1"/>
                        </w:pBdr>
                        <w:jc w:val="both"/>
                        <w:rPr>
                          <w:rFonts w:ascii="Arial" w:hAnsi="Arial" w:cs="Arial"/>
                          <w:i/>
                          <w:iCs/>
                          <w:color w:val="4472C4" w:themeColor="accent1"/>
                          <w:sz w:val="22"/>
                          <w:szCs w:val="22"/>
                          <w:lang w:val="en-US"/>
                        </w:rPr>
                      </w:pPr>
                      <w:r w:rsidRPr="00F306DA">
                        <w:rPr>
                          <w:rFonts w:ascii="Arial" w:hAnsi="Arial" w:cs="Arial"/>
                          <w:i/>
                          <w:iCs/>
                          <w:color w:val="4472C4" w:themeColor="accent1"/>
                          <w:sz w:val="22"/>
                          <w:szCs w:val="22"/>
                          <w:lang w:val="en-US"/>
                        </w:rPr>
                        <w:t>ASSUMING A 3% ANNUAL GDP GROWTH TO 2030, ROI IS ESTIMATED AT 12 FOR EVERY DOLLAR INVESTED</w:t>
                      </w:r>
                    </w:p>
                    <w:p w14:paraId="5FCAA0D8" w14:textId="77777777" w:rsidR="00417E85" w:rsidRDefault="00417E85" w:rsidP="00417E85"/>
                  </w:txbxContent>
                </v:textbox>
                <w10:wrap type="square"/>
              </v:shape>
            </w:pict>
          </mc:Fallback>
        </mc:AlternateContent>
      </w:r>
      <w:r w:rsidRPr="00417E85">
        <w:rPr>
          <w:rFonts w:ascii="Arial" w:hAnsi="Arial" w:cs="Arial"/>
          <w:b/>
          <w:bCs/>
          <w:sz w:val="22"/>
          <w:szCs w:val="22"/>
          <w:lang w:val="en-US"/>
        </w:rPr>
        <w:t>Return On Investment Output</w:t>
      </w:r>
    </w:p>
    <w:p w14:paraId="202182E3" w14:textId="77777777" w:rsidR="00417E85" w:rsidRPr="00417E85" w:rsidRDefault="00417E85">
      <w:pPr>
        <w:rPr>
          <w:rFonts w:ascii="Arial" w:hAnsi="Arial" w:cs="Arial"/>
          <w:sz w:val="22"/>
          <w:szCs w:val="22"/>
        </w:rPr>
      </w:pPr>
    </w:p>
    <w:p w14:paraId="6314B442" w14:textId="77777777" w:rsidR="00417E85" w:rsidRPr="00417E85" w:rsidRDefault="00417E85">
      <w:pPr>
        <w:rPr>
          <w:rFonts w:ascii="Arial" w:hAnsi="Arial" w:cs="Arial"/>
          <w:sz w:val="22"/>
          <w:szCs w:val="22"/>
        </w:rPr>
      </w:pPr>
    </w:p>
    <w:sectPr w:rsidR="00417E85" w:rsidRPr="00417E8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52B"/>
    <w:rsid w:val="00417E85"/>
    <w:rsid w:val="0057652B"/>
    <w:rsid w:val="00810527"/>
    <w:rsid w:val="008B3FA6"/>
    <w:rsid w:val="009250A9"/>
    <w:rsid w:val="00AE5E9F"/>
    <w:rsid w:val="00BE71C6"/>
    <w:rsid w:val="00BF1F12"/>
    <w:rsid w:val="00EC70A5"/>
    <w:rsid w:val="00FE1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41DE4"/>
  <w15:chartTrackingRefBased/>
  <w15:docId w15:val="{D5D68BAE-412B-497E-AAF3-3781AD5CF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5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65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5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52B"/>
    <w:pPr>
      <w:jc w:val="both"/>
    </w:pPr>
    <w:rPr>
      <w:rFonts w:ascii="Arial" w:eastAsiaTheme="minorHAnsi" w:hAnsi="Arial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52B"/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Rosemary Kamuyu</dc:creator>
  <cp:keywords/>
  <dc:description/>
  <cp:lastModifiedBy>Rosemary Kamuyu</cp:lastModifiedBy>
  <cp:revision>2</cp:revision>
  <dcterms:created xsi:type="dcterms:W3CDTF">2023-06-06T14:50:00Z</dcterms:created>
  <dcterms:modified xsi:type="dcterms:W3CDTF">2023-06-06T14:50:00Z</dcterms:modified>
</cp:coreProperties>
</file>