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BB92" w14:textId="77777777" w:rsidR="002521EA" w:rsidRPr="006C00C2" w:rsidRDefault="002521EA" w:rsidP="002521EA">
      <w:pPr>
        <w:jc w:val="center"/>
        <w:rPr>
          <w:rFonts w:ascii="Times New Roman" w:hAnsi="Times New Roman" w:cs="Times New Roman"/>
          <w:b/>
          <w:bCs/>
          <w:color w:val="000000" w:themeColor="text1"/>
          <w:sz w:val="24"/>
        </w:rPr>
      </w:pPr>
      <w:r w:rsidRPr="006C00C2">
        <w:rPr>
          <w:rFonts w:ascii="Times New Roman" w:hAnsi="Times New Roman" w:cs="Times New Roman"/>
          <w:b/>
          <w:bCs/>
          <w:color w:val="000000" w:themeColor="text1"/>
          <w:sz w:val="24"/>
        </w:rPr>
        <w:t>Supplementary Table 2. Newcastle-Ottawa Scale (NOS) assessment of included studies.</w:t>
      </w:r>
    </w:p>
    <w:p w14:paraId="77839977" w14:textId="77777777" w:rsidR="002521EA" w:rsidRPr="006C00C2" w:rsidRDefault="002521EA" w:rsidP="002521EA">
      <w:pPr>
        <w:jc w:val="center"/>
        <w:rPr>
          <w:rFonts w:ascii="Times New Roman" w:hAnsi="Times New Roman" w:cs="Times New Roman"/>
          <w:b/>
          <w:bCs/>
          <w:color w:val="000000" w:themeColor="text1"/>
          <w:sz w:val="24"/>
        </w:rPr>
      </w:pPr>
    </w:p>
    <w:tbl>
      <w:tblPr>
        <w:tblStyle w:val="TableGrid"/>
        <w:tblW w:w="0" w:type="auto"/>
        <w:tblLook w:val="04A0" w:firstRow="1" w:lastRow="0" w:firstColumn="1" w:lastColumn="0" w:noHBand="0" w:noVBand="1"/>
      </w:tblPr>
      <w:tblGrid>
        <w:gridCol w:w="2122"/>
        <w:gridCol w:w="4352"/>
        <w:gridCol w:w="3238"/>
        <w:gridCol w:w="3238"/>
      </w:tblGrid>
      <w:tr w:rsidR="002521EA" w:rsidRPr="006C00C2" w14:paraId="5EC089FF" w14:textId="77777777" w:rsidTr="00736C07">
        <w:tc>
          <w:tcPr>
            <w:tcW w:w="2122" w:type="dxa"/>
          </w:tcPr>
          <w:p w14:paraId="0EA36ABC" w14:textId="77777777" w:rsidR="002521EA" w:rsidRPr="006C00C2" w:rsidRDefault="002521EA" w:rsidP="00736C07">
            <w:pPr>
              <w:rPr>
                <w:rFonts w:ascii="Times New Roman" w:hAnsi="Times New Roman" w:cs="Times New Roman"/>
                <w:color w:val="000000" w:themeColor="text1"/>
                <w:sz w:val="24"/>
              </w:rPr>
            </w:pPr>
          </w:p>
        </w:tc>
        <w:tc>
          <w:tcPr>
            <w:tcW w:w="4352" w:type="dxa"/>
          </w:tcPr>
          <w:p w14:paraId="2E42758E" w14:textId="77777777" w:rsidR="002521EA" w:rsidRPr="006C00C2" w:rsidRDefault="002521EA" w:rsidP="00736C07">
            <w:pPr>
              <w:rPr>
                <w:rFonts w:ascii="Times New Roman" w:hAnsi="Times New Roman" w:cs="Times New Roman"/>
                <w:i/>
                <w:iCs/>
                <w:color w:val="000000" w:themeColor="text1"/>
                <w:sz w:val="24"/>
              </w:rPr>
            </w:pPr>
            <w:r w:rsidRPr="006C00C2">
              <w:rPr>
                <w:rFonts w:ascii="Times New Roman" w:hAnsi="Times New Roman" w:cs="Times New Roman"/>
                <w:i/>
                <w:iCs/>
                <w:color w:val="000000" w:themeColor="text1"/>
                <w:sz w:val="24"/>
              </w:rPr>
              <w:t>Selection</w:t>
            </w:r>
          </w:p>
        </w:tc>
        <w:tc>
          <w:tcPr>
            <w:tcW w:w="3238" w:type="dxa"/>
          </w:tcPr>
          <w:p w14:paraId="46A49876" w14:textId="77777777" w:rsidR="002521EA" w:rsidRPr="006C00C2" w:rsidRDefault="002521EA" w:rsidP="00736C07">
            <w:pPr>
              <w:rPr>
                <w:rFonts w:ascii="Times New Roman" w:hAnsi="Times New Roman" w:cs="Times New Roman"/>
                <w:i/>
                <w:iCs/>
                <w:color w:val="000000" w:themeColor="text1"/>
                <w:sz w:val="24"/>
              </w:rPr>
            </w:pPr>
            <w:r w:rsidRPr="006C00C2">
              <w:rPr>
                <w:rFonts w:ascii="Times New Roman" w:hAnsi="Times New Roman" w:cs="Times New Roman"/>
                <w:i/>
                <w:iCs/>
                <w:color w:val="000000" w:themeColor="text1"/>
                <w:sz w:val="24"/>
              </w:rPr>
              <w:t>Comparability</w:t>
            </w:r>
          </w:p>
        </w:tc>
        <w:tc>
          <w:tcPr>
            <w:tcW w:w="3238" w:type="dxa"/>
          </w:tcPr>
          <w:p w14:paraId="3379B279" w14:textId="77777777" w:rsidR="002521EA" w:rsidRPr="006C00C2" w:rsidRDefault="002521EA" w:rsidP="00736C07">
            <w:pPr>
              <w:rPr>
                <w:rFonts w:ascii="Times New Roman" w:hAnsi="Times New Roman" w:cs="Times New Roman"/>
                <w:i/>
                <w:iCs/>
                <w:color w:val="000000" w:themeColor="text1"/>
                <w:sz w:val="24"/>
              </w:rPr>
            </w:pPr>
            <w:r w:rsidRPr="006C00C2">
              <w:rPr>
                <w:rFonts w:ascii="Times New Roman" w:hAnsi="Times New Roman" w:cs="Times New Roman"/>
                <w:i/>
                <w:iCs/>
                <w:color w:val="000000" w:themeColor="text1"/>
                <w:sz w:val="24"/>
              </w:rPr>
              <w:t>Exposure</w:t>
            </w:r>
          </w:p>
        </w:tc>
      </w:tr>
      <w:tr w:rsidR="002521EA" w:rsidRPr="006C00C2" w14:paraId="1FEC4C94" w14:textId="77777777" w:rsidTr="00736C07">
        <w:tc>
          <w:tcPr>
            <w:tcW w:w="2122" w:type="dxa"/>
          </w:tcPr>
          <w:p w14:paraId="1B7AE4C3" w14:textId="1E1616E9" w:rsidR="002521EA" w:rsidRPr="006C00C2" w:rsidRDefault="00FE3A09" w:rsidP="00736C07">
            <w:pPr>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Bener</w:t>
            </w:r>
            <w:proofErr w:type="spellEnd"/>
            <w:r w:rsidR="002521EA" w:rsidRPr="006C00C2">
              <w:rPr>
                <w:rFonts w:ascii="Times New Roman" w:hAnsi="Times New Roman" w:cs="Times New Roman"/>
                <w:color w:val="000000" w:themeColor="text1"/>
                <w:sz w:val="24"/>
              </w:rPr>
              <w:t xml:space="preserve"> </w:t>
            </w:r>
            <w:r w:rsidR="002521EA" w:rsidRPr="006C00C2">
              <w:rPr>
                <w:rFonts w:ascii="Times New Roman" w:hAnsi="Times New Roman" w:cs="Times New Roman"/>
                <w:i/>
                <w:iCs/>
                <w:color w:val="000000" w:themeColor="text1"/>
                <w:sz w:val="24"/>
              </w:rPr>
              <w:t>et al</w:t>
            </w:r>
            <w:r w:rsidR="002521EA" w:rsidRPr="006C00C2">
              <w:rPr>
                <w:rFonts w:ascii="Times New Roman" w:hAnsi="Times New Roman" w:cs="Times New Roman"/>
                <w:color w:val="000000" w:themeColor="text1"/>
                <w:sz w:val="24"/>
              </w:rPr>
              <w:t>., 20</w:t>
            </w:r>
            <w:r>
              <w:rPr>
                <w:rFonts w:ascii="Times New Roman" w:hAnsi="Times New Roman" w:cs="Times New Roman"/>
                <w:color w:val="000000" w:themeColor="text1"/>
                <w:sz w:val="24"/>
              </w:rPr>
              <w:t>0</w:t>
            </w:r>
            <w:r w:rsidR="002521EA" w:rsidRPr="006C00C2">
              <w:rPr>
                <w:rFonts w:ascii="Times New Roman" w:hAnsi="Times New Roman" w:cs="Times New Roman"/>
                <w:color w:val="000000" w:themeColor="text1"/>
                <w:sz w:val="24"/>
              </w:rPr>
              <w:t>9</w:t>
            </w:r>
            <w:r w:rsidR="002521EA" w:rsidRPr="006C00C2">
              <w:rPr>
                <w:rFonts w:ascii="Times New Roman" w:hAnsi="Times New Roman" w:cs="Times New Roman"/>
                <w:color w:val="000000" w:themeColor="text1"/>
                <w:sz w:val="24"/>
              </w:rPr>
              <w:fldChar w:fldCharType="begin"/>
            </w:r>
            <w:r w:rsidR="002521EA" w:rsidRPr="006C00C2">
              <w:rPr>
                <w:rFonts w:ascii="Times New Roman" w:hAnsi="Times New Roman" w:cs="Times New Roman"/>
                <w:color w:val="000000" w:themeColor="text1"/>
                <w:sz w:val="24"/>
              </w:rPr>
              <w:instrText xml:space="preserve"> ADDIN ZOTERO_ITEM CSL_CITATION {"citationID":"pJwR0YIu","properties":{"formattedCitation":"\\super 1\\nosupersub{}","plainCitation":"1","noteIndex":0},"citationItems":[{"id":12006,"uris":["http://zotero.org/groups/4538994/items/Z8G6D54J"],"uri":["http://zotero.org/groups/4538994/items/Z8G6D54J"],"itemData":{"id":12006,"type":"article-journal","abstract":"Introduction: Functional constipation (FC) is a common problem in childhood. This study intended to investigate the dietary properties and anthropometric findings of children with FC.\nPopulation and methods: Patients with FC were defined according to the Rome IV diagnostic criteria. The control group included children who were not diagnosed with FC or any other organic disease. The children who admitted to pediatric gastroenterology outpatient clinic between September 2017-March 2018 were included. Anthropometric measurements of weight, height, and body mass index were recorded. Body mass index z-scores were used to identify for overweight and obese children. Malnutrition was defined according to Waterlow criteria. The three-day nutritional diaries of both FC patients and control subjects were assessed and the daily average of calorie, fiber, carbohydrate, protein and fat intake were calculated by the same nutritionist.\nResults: Fourty patients with FC and fourty healthy control were included. Twenty-four patients with FC were in the normal height and weight ranges. There was no significant difference in the average daily calorie, carbohydrate, fat and fiber intake between the FC and control groups. Although protein ratios (%) in the diet were found to be significantly lower in children with FC, the amount of protein that taken daily was found to be within normal limits in both groups.\nConclusion: Most children with FC were in the normal range for height and weight. There was no significant relationship between FC and carbohydrate, fat and fiber content in the diet, only low protein ratios were found in FC.","container-title":"Archivos Argentinos De Pediatria","DOI":"10.5546/aap.2019.eng.e224","ISSN":"1668-3501","issue":"3","journalAbbreviation":"Arch Argent Pediatr","language":"eng, spa","note":"PMID: 31063305","page":"e224-31","source":"PubMed","title":"Dietary properties and anthropometric findings of children with functional constipation: a cross-sectional study","title-short":"Dietary properties and anthropometric findings of children with functional constipation","volume":"117","author":[{"family":"Appak","given":"Yeliz Çağan"},{"family":"Karakoyun","given":"Miray"},{"family":"Koru","given":"Tugce"},{"family":"Baran","given":"Maşallah"}],"issued":{"date-parts":[["2019"]]}}}],"schema":"https://github.com/citation-style-language/schema/raw/master/csl-citation.json"} </w:instrText>
            </w:r>
            <w:r w:rsidR="002521EA" w:rsidRPr="006C00C2">
              <w:rPr>
                <w:rFonts w:ascii="Times New Roman" w:hAnsi="Times New Roman" w:cs="Times New Roman"/>
                <w:color w:val="000000" w:themeColor="text1"/>
                <w:sz w:val="24"/>
              </w:rPr>
              <w:fldChar w:fldCharType="separate"/>
            </w:r>
            <w:r w:rsidR="002521EA" w:rsidRPr="006C00C2">
              <w:rPr>
                <w:rFonts w:ascii="Times New Roman" w:hAnsi="Times New Roman" w:cs="Times New Roman"/>
                <w:color w:val="000000" w:themeColor="text1"/>
                <w:sz w:val="24"/>
                <w:vertAlign w:val="superscript"/>
                <w:lang w:val="en-US"/>
              </w:rPr>
              <w:t>1</w:t>
            </w:r>
            <w:r w:rsidR="002521EA" w:rsidRPr="006C00C2">
              <w:rPr>
                <w:rFonts w:ascii="Times New Roman" w:hAnsi="Times New Roman" w:cs="Times New Roman"/>
                <w:color w:val="000000" w:themeColor="text1"/>
                <w:sz w:val="24"/>
              </w:rPr>
              <w:fldChar w:fldCharType="end"/>
            </w:r>
          </w:p>
        </w:tc>
        <w:tc>
          <w:tcPr>
            <w:tcW w:w="4352" w:type="dxa"/>
          </w:tcPr>
          <w:p w14:paraId="54A6E09C" w14:textId="155353B5" w:rsidR="002521EA" w:rsidRPr="006C00C2" w:rsidRDefault="0027025F" w:rsidP="00736C07">
            <w:pPr>
              <w:rPr>
                <w:rFonts w:ascii="Times New Roman" w:hAnsi="Times New Roman" w:cs="Times New Roman"/>
                <w:i/>
                <w:iCs/>
                <w:color w:val="000000" w:themeColor="text1"/>
                <w:sz w:val="24"/>
              </w:rPr>
            </w:pPr>
            <w:r>
              <w:rPr>
                <w:rFonts w:ascii="Times New Roman" w:hAnsi="Times New Roman" w:cs="Times New Roman"/>
                <w:color w:val="000000" w:themeColor="text1"/>
                <w:sz w:val="24"/>
              </w:rPr>
              <w:t>Gastroenteritis definition is not provided.</w:t>
            </w:r>
            <w:r w:rsidR="002521EA" w:rsidRPr="006C00C2">
              <w:rPr>
                <w:rFonts w:ascii="Times New Roman" w:hAnsi="Times New Roman" w:cs="Times New Roman"/>
                <w:color w:val="000000" w:themeColor="text1"/>
                <w:sz w:val="24"/>
              </w:rPr>
              <w:t xml:space="preserve"> All eligible cases with </w:t>
            </w:r>
            <w:r w:rsidR="00DC101F">
              <w:rPr>
                <w:rFonts w:ascii="Times New Roman" w:hAnsi="Times New Roman" w:cs="Times New Roman"/>
                <w:color w:val="000000" w:themeColor="text1"/>
                <w:sz w:val="24"/>
              </w:rPr>
              <w:t>gastroenteritis</w:t>
            </w:r>
            <w:r w:rsidR="002521EA" w:rsidRPr="006C00C2">
              <w:rPr>
                <w:rFonts w:ascii="Times New Roman" w:hAnsi="Times New Roman" w:cs="Times New Roman"/>
                <w:color w:val="000000" w:themeColor="text1"/>
                <w:sz w:val="24"/>
              </w:rPr>
              <w:t xml:space="preserve"> are included. Controls were taken from the </w:t>
            </w:r>
            <w:r w:rsidR="00DC101F">
              <w:rPr>
                <w:rFonts w:ascii="Times New Roman" w:hAnsi="Times New Roman" w:cs="Times New Roman"/>
                <w:color w:val="000000" w:themeColor="text1"/>
                <w:sz w:val="24"/>
              </w:rPr>
              <w:t>community and had no history of the disease</w:t>
            </w:r>
            <w:r w:rsidR="002521EA" w:rsidRPr="006C00C2">
              <w:rPr>
                <w:rFonts w:ascii="Times New Roman" w:hAnsi="Times New Roman" w:cs="Times New Roman"/>
                <w:color w:val="000000" w:themeColor="text1"/>
                <w:sz w:val="24"/>
              </w:rPr>
              <w:t xml:space="preserve">. </w:t>
            </w:r>
            <w:r w:rsidR="002521EA" w:rsidRPr="006C00C2">
              <w:rPr>
                <w:rFonts w:ascii="Times New Roman" w:hAnsi="Times New Roman" w:cs="Times New Roman"/>
                <w:b/>
                <w:bCs/>
                <w:color w:val="000000" w:themeColor="text1"/>
                <w:sz w:val="24"/>
              </w:rPr>
              <w:t>(3/4)</w:t>
            </w:r>
          </w:p>
        </w:tc>
        <w:tc>
          <w:tcPr>
            <w:tcW w:w="3238" w:type="dxa"/>
          </w:tcPr>
          <w:p w14:paraId="21039D5C" w14:textId="491B9D50" w:rsidR="002521EA" w:rsidRPr="006C00C2" w:rsidRDefault="002521EA" w:rsidP="00736C07">
            <w:pPr>
              <w:rPr>
                <w:rFonts w:ascii="Times New Roman" w:hAnsi="Times New Roman" w:cs="Times New Roman"/>
                <w:i/>
                <w:iCs/>
                <w:color w:val="000000" w:themeColor="text1"/>
                <w:sz w:val="24"/>
              </w:rPr>
            </w:pPr>
            <w:r w:rsidRPr="006C00C2">
              <w:rPr>
                <w:rFonts w:ascii="Times New Roman" w:hAnsi="Times New Roman" w:cs="Times New Roman"/>
                <w:color w:val="000000" w:themeColor="text1"/>
                <w:sz w:val="24"/>
              </w:rPr>
              <w:t>This study controls for same age group between case &amp; control groups,</w:t>
            </w:r>
            <w:r w:rsidR="00DC101F">
              <w:rPr>
                <w:rFonts w:ascii="Times New Roman" w:hAnsi="Times New Roman" w:cs="Times New Roman"/>
                <w:color w:val="000000" w:themeColor="text1"/>
                <w:sz w:val="24"/>
              </w:rPr>
              <w:t xml:space="preserve"> but not</w:t>
            </w:r>
            <w:r w:rsidRPr="006C00C2">
              <w:rPr>
                <w:rFonts w:ascii="Times New Roman" w:hAnsi="Times New Roman" w:cs="Times New Roman"/>
                <w:color w:val="000000" w:themeColor="text1"/>
                <w:sz w:val="24"/>
              </w:rPr>
              <w:t xml:space="preserve"> other factors</w:t>
            </w:r>
            <w:r w:rsidR="00DC101F">
              <w:rPr>
                <w:rFonts w:ascii="Times New Roman" w:hAnsi="Times New Roman" w:cs="Times New Roman"/>
                <w:color w:val="000000" w:themeColor="text1"/>
                <w:sz w:val="24"/>
              </w:rPr>
              <w:t xml:space="preserve"> (other diseases)</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w:t>
            </w:r>
            <w:r w:rsidR="00DC101F">
              <w:rPr>
                <w:rFonts w:ascii="Times New Roman" w:hAnsi="Times New Roman" w:cs="Times New Roman"/>
                <w:b/>
                <w:bCs/>
                <w:color w:val="000000" w:themeColor="text1"/>
                <w:sz w:val="24"/>
              </w:rPr>
              <w:t>1</w:t>
            </w:r>
            <w:r w:rsidRPr="006C00C2">
              <w:rPr>
                <w:rFonts w:ascii="Times New Roman" w:hAnsi="Times New Roman" w:cs="Times New Roman"/>
                <w:b/>
                <w:bCs/>
                <w:color w:val="000000" w:themeColor="text1"/>
                <w:sz w:val="24"/>
              </w:rPr>
              <w:t>/2)</w:t>
            </w:r>
          </w:p>
        </w:tc>
        <w:tc>
          <w:tcPr>
            <w:tcW w:w="3238" w:type="dxa"/>
          </w:tcPr>
          <w:p w14:paraId="22B8A059" w14:textId="20410E00" w:rsidR="002521EA" w:rsidRPr="006C00C2" w:rsidRDefault="00DC101F" w:rsidP="00736C07">
            <w:pPr>
              <w:rPr>
                <w:rFonts w:ascii="Times New Roman" w:hAnsi="Times New Roman" w:cs="Times New Roman"/>
                <w:i/>
                <w:iCs/>
                <w:color w:val="000000" w:themeColor="text1"/>
                <w:sz w:val="24"/>
              </w:rPr>
            </w:pPr>
            <w:r>
              <w:rPr>
                <w:rFonts w:ascii="Times New Roman" w:hAnsi="Times New Roman" w:cs="Times New Roman"/>
                <w:color w:val="000000" w:themeColor="text1"/>
                <w:sz w:val="24"/>
              </w:rPr>
              <w:t xml:space="preserve">Exposure was determined by a structured survey and assessment. </w:t>
            </w:r>
            <w:r w:rsidR="002521EA" w:rsidRPr="006C00C2">
              <w:rPr>
                <w:rFonts w:ascii="Times New Roman" w:hAnsi="Times New Roman" w:cs="Times New Roman"/>
                <w:color w:val="000000" w:themeColor="text1"/>
                <w:sz w:val="24"/>
              </w:rPr>
              <w:t xml:space="preserve">This study used a same method of ascertainment for cases and controls, and same non-response rate for both groups. </w:t>
            </w:r>
            <w:r w:rsidR="002521EA"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002521EA" w:rsidRPr="006C00C2">
              <w:rPr>
                <w:rFonts w:ascii="Times New Roman" w:hAnsi="Times New Roman" w:cs="Times New Roman"/>
                <w:b/>
                <w:bCs/>
                <w:color w:val="000000" w:themeColor="text1"/>
                <w:sz w:val="24"/>
              </w:rPr>
              <w:t>/3)</w:t>
            </w:r>
          </w:p>
        </w:tc>
      </w:tr>
      <w:tr w:rsidR="002521EA" w:rsidRPr="006C00C2" w14:paraId="0CBDF23C" w14:textId="77777777" w:rsidTr="00736C07">
        <w:tc>
          <w:tcPr>
            <w:tcW w:w="2122" w:type="dxa"/>
          </w:tcPr>
          <w:p w14:paraId="47427FDD" w14:textId="149F7569" w:rsidR="002521EA" w:rsidRPr="006C00C2" w:rsidRDefault="00FE3A09" w:rsidP="00736C07">
            <w:pPr>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lang w:val="en-US"/>
              </w:rPr>
              <w:t>Binks</w:t>
            </w:r>
            <w:proofErr w:type="spellEnd"/>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201</w:t>
            </w:r>
            <w:r>
              <w:rPr>
                <w:rFonts w:ascii="Times New Roman" w:hAnsi="Times New Roman" w:cs="Times New Roman"/>
                <w:color w:val="000000" w:themeColor="text1"/>
                <w:sz w:val="24"/>
                <w:lang w:val="en-US"/>
              </w:rPr>
              <w:t>4</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{"citationID":"ACjWTxz7","properties":{"formattedCitation":"\\super 2\\nosupersub{}","plainCitation":"2","noteIndex":0},"citationItems":[{"id":12009,"uris":["http://zotero.org/groups/4538994/items/7QYRWSFA"],"uri":["http://zotero.org/groups/4538994/items/7QYRWSFA"],"itemData":{"id":12009,"type":"article-journal","abstract":"Background:\nConstipation is one of the most common pediatric disorders, especially in developed population, which categorized to organic or functional (non-organic) constipation. Furthermore, obesity is a growing chronic pediatric problem that could cause any compromise in weight and height. The aim of this study is the evaluation of probable relation between obesity and pediatric functional constipation.\n\nMethods:\nThis study was conducted as a case-control investigation on 2-14-years-old children those referred to Baqiyatallah University clinic during 2009-2011. The constipated children with organic causes were excluded. The control group of children was those who had not any disorders affecting on height and weight. Quantitative variables were expressed by mean and standard deviation and the correlation was tested with chi2 through SPSS version 17.\n\nResults:\nA total of 259 children (male 51.7%) consisting 124 cases and 135 controls were enrolled. The mean age in constipated and normal children was 69.47 ± 35.03 and 74.15 ± 39.68, respectively. BMI over 95% in the control group was 11.9% and in the constipated group was 17.7% that the difference was not statistically significant either (P = 0.188). The only significant association was found between obesity and the duration of constipation and also age (P = 0.008, 0.042, respectively).\n\nConclusion:\nAlthough we found a significant relationship between duration of constipation and obesity, there was not a clear association between obesity and presence of constipation. Furthermore, we suggest extended cohort or clinical trial study regarding to the regional nutritional and growth patterns to confirm weight decrease or increase the effect on defecation.","container-title":"Journal of Family Medicine and Primary Care","DOI":"10.4103/2249-4863.120715","ISSN":"2249-4863","issue":"3","journalAbbreviation":"J Family Med Prim Care","note":"PMID: 24479087\nPMCID: PMC3902676","page":"222-6","source":"PubMed Central","title":"Comparison of Body Mass Index on Children with Functional Constipation and Healthy Controls","volume":"2","author":[{"family":"Kavehmanesh","given":"Zohreh"},{"family":"Saburi","given":"Amin"},{"family":"Maavaiyan","given":"Ali"}],"issued":{"date-parts":[["2013"]]}}}],"schema":"https://github.com/citation-style-language/schema/raw/master/csl-citation.json"}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2</w:t>
            </w:r>
            <w:r w:rsidR="002521EA" w:rsidRPr="006C00C2">
              <w:rPr>
                <w:rFonts w:ascii="Times New Roman" w:hAnsi="Times New Roman" w:cs="Times New Roman"/>
                <w:color w:val="000000" w:themeColor="text1"/>
                <w:sz w:val="24"/>
                <w:lang w:val="en-US"/>
              </w:rPr>
              <w:fldChar w:fldCharType="end"/>
            </w:r>
          </w:p>
        </w:tc>
        <w:tc>
          <w:tcPr>
            <w:tcW w:w="4352" w:type="dxa"/>
          </w:tcPr>
          <w:p w14:paraId="5D3020AB" w14:textId="1434F0FE" w:rsidR="002521EA" w:rsidRPr="006C00C2" w:rsidRDefault="00FE3A09"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Gastroenteritis was determined by ICD-10 codes. All eligible cases with gastroenteritis </w:t>
            </w:r>
            <w:r w:rsidRPr="006C00C2">
              <w:rPr>
                <w:rFonts w:ascii="Times New Roman" w:hAnsi="Times New Roman" w:cs="Times New Roman"/>
                <w:color w:val="000000" w:themeColor="text1"/>
                <w:sz w:val="24"/>
              </w:rPr>
              <w:t>are included. Controls were taken from the</w:t>
            </w:r>
            <w:r>
              <w:rPr>
                <w:rFonts w:ascii="Times New Roman" w:hAnsi="Times New Roman" w:cs="Times New Roman"/>
                <w:color w:val="000000" w:themeColor="text1"/>
                <w:sz w:val="24"/>
              </w:rPr>
              <w:t xml:space="preserve"> hospital and had no history of the disease</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(3/4)</w:t>
            </w:r>
          </w:p>
        </w:tc>
        <w:tc>
          <w:tcPr>
            <w:tcW w:w="3238" w:type="dxa"/>
          </w:tcPr>
          <w:p w14:paraId="1A6222BB" w14:textId="5AD7F33A"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w:t>
            </w:r>
            <w:r w:rsidR="00FE3A09">
              <w:rPr>
                <w:rFonts w:ascii="Times New Roman" w:hAnsi="Times New Roman" w:cs="Times New Roman"/>
                <w:color w:val="000000" w:themeColor="text1"/>
                <w:sz w:val="24"/>
              </w:rPr>
              <w:t>but not</w:t>
            </w:r>
            <w:r w:rsidRPr="006C00C2">
              <w:rPr>
                <w:rFonts w:ascii="Times New Roman" w:hAnsi="Times New Roman" w:cs="Times New Roman"/>
                <w:color w:val="000000" w:themeColor="text1"/>
                <w:sz w:val="24"/>
              </w:rPr>
              <w:t xml:space="preserve"> other factors</w:t>
            </w:r>
            <w:r w:rsidR="00FE3A09">
              <w:rPr>
                <w:rFonts w:ascii="Times New Roman" w:hAnsi="Times New Roman" w:cs="Times New Roman"/>
                <w:color w:val="000000" w:themeColor="text1"/>
                <w:sz w:val="24"/>
              </w:rPr>
              <w:t xml:space="preserve"> (other diseases)</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w:t>
            </w:r>
            <w:r w:rsidR="00FE3A09">
              <w:rPr>
                <w:rFonts w:ascii="Times New Roman" w:hAnsi="Times New Roman" w:cs="Times New Roman"/>
                <w:b/>
                <w:bCs/>
                <w:color w:val="000000" w:themeColor="text1"/>
                <w:sz w:val="24"/>
              </w:rPr>
              <w:t>1</w:t>
            </w:r>
            <w:r w:rsidRPr="006C00C2">
              <w:rPr>
                <w:rFonts w:ascii="Times New Roman" w:hAnsi="Times New Roman" w:cs="Times New Roman"/>
                <w:b/>
                <w:bCs/>
                <w:color w:val="000000" w:themeColor="text1"/>
                <w:sz w:val="24"/>
              </w:rPr>
              <w:t>/2)</w:t>
            </w:r>
          </w:p>
        </w:tc>
        <w:tc>
          <w:tcPr>
            <w:tcW w:w="3238" w:type="dxa"/>
          </w:tcPr>
          <w:p w14:paraId="41DB14E8" w14:textId="17DAD67E" w:rsidR="002521EA" w:rsidRPr="006C00C2" w:rsidRDefault="00FE3A09"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Exposure was determined by a secure record. </w:t>
            </w:r>
            <w:r w:rsidRPr="006C00C2">
              <w:rPr>
                <w:rFonts w:ascii="Times New Roman" w:hAnsi="Times New Roman" w:cs="Times New Roman"/>
                <w:color w:val="000000" w:themeColor="text1"/>
                <w:sz w:val="24"/>
              </w:rPr>
              <w:t xml:space="preserve">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792C2075" w14:textId="77777777" w:rsidTr="00736C07">
        <w:tc>
          <w:tcPr>
            <w:tcW w:w="2122" w:type="dxa"/>
          </w:tcPr>
          <w:p w14:paraId="6E029520" w14:textId="1C340C0D" w:rsidR="002521EA" w:rsidRPr="006C00C2" w:rsidRDefault="007F023D" w:rsidP="00736C07">
            <w:pPr>
              <w:rPr>
                <w:rFonts w:ascii="Times New Roman" w:hAnsi="Times New Roman" w:cs="Times New Roman"/>
                <w:color w:val="000000" w:themeColor="text1"/>
                <w:sz w:val="24"/>
                <w:lang w:val="en-US"/>
              </w:rPr>
            </w:pPr>
            <w:proofErr w:type="spellStart"/>
            <w:r>
              <w:rPr>
                <w:rFonts w:ascii="Times New Roman" w:hAnsi="Times New Roman" w:cs="Times New Roman"/>
                <w:color w:val="000000" w:themeColor="text1"/>
                <w:sz w:val="24"/>
                <w:szCs w:val="36"/>
                <w:lang w:val="en-US"/>
              </w:rPr>
              <w:t>Bucak</w:t>
            </w:r>
            <w:proofErr w:type="spellEnd"/>
            <w:r w:rsidR="002521EA" w:rsidRPr="006C00C2">
              <w:rPr>
                <w:rFonts w:ascii="Times New Roman" w:hAnsi="Times New Roman" w:cs="Times New Roman"/>
                <w:color w:val="000000" w:themeColor="text1"/>
                <w:sz w:val="24"/>
                <w:szCs w:val="36"/>
                <w:lang w:val="en-US"/>
              </w:rPr>
              <w:t xml:space="preserve"> </w:t>
            </w:r>
            <w:r w:rsidR="002521EA" w:rsidRPr="006C00C2">
              <w:rPr>
                <w:rFonts w:ascii="Times New Roman" w:hAnsi="Times New Roman" w:cs="Times New Roman"/>
                <w:i/>
                <w:iCs/>
                <w:color w:val="000000" w:themeColor="text1"/>
                <w:sz w:val="24"/>
                <w:szCs w:val="36"/>
                <w:lang w:val="en-US"/>
              </w:rPr>
              <w:t>et al</w:t>
            </w:r>
            <w:r w:rsidR="002521EA" w:rsidRPr="006C00C2">
              <w:rPr>
                <w:rFonts w:ascii="Times New Roman" w:hAnsi="Times New Roman" w:cs="Times New Roman"/>
                <w:color w:val="000000" w:themeColor="text1"/>
                <w:sz w:val="24"/>
                <w:szCs w:val="36"/>
                <w:lang w:val="en-US"/>
              </w:rPr>
              <w:t>., 2016</w:t>
            </w:r>
            <w:r w:rsidR="002521EA" w:rsidRPr="006C00C2">
              <w:rPr>
                <w:rFonts w:ascii="Times New Roman" w:hAnsi="Times New Roman" w:cs="Times New Roman"/>
                <w:color w:val="000000" w:themeColor="text1"/>
                <w:sz w:val="24"/>
                <w:szCs w:val="36"/>
                <w:lang w:val="en-US"/>
              </w:rPr>
              <w:fldChar w:fldCharType="begin"/>
            </w:r>
            <w:r w:rsidR="002521EA" w:rsidRPr="006C00C2">
              <w:rPr>
                <w:rFonts w:ascii="Times New Roman" w:hAnsi="Times New Roman" w:cs="Times New Roman"/>
                <w:color w:val="000000" w:themeColor="text1"/>
                <w:sz w:val="24"/>
                <w:szCs w:val="36"/>
                <w:lang w:val="en-US"/>
              </w:rPr>
              <w:instrText xml:space="preserve"> ADDIN ZOTERO_ITEM CSL_CITATION {"citationID":"gR8M3L42","properties":{"formattedCitation":"\\super 3\\nosupersub{}","plainCitation":"3","noteIndex":0},"citationItems":[{"id":12012,"uris":["http://zotero.org/groups/4538994/items/JCWAHA5V"],"uri":["http://zotero.org/groups/4538994/items/JCWAHA5V"],"itemData":{"id":12012,"type":"article-journal","abstract":"OBJECTIVES: To determine the prevalence of functional constipation, overweight, and obesity in a cross-sectional observational study among children in Colombia and to examine the association between functional constipation and excessive bodyweight in this population.\nSTUDY DESIGN: Demographics, anthropometric data, and questionnaires were collected from 2820 children between 8 and 18 years of age across 4 regions in Colombia. A Spanish translation of the Questionnaire on Pediatric Gastrointestinal Symptoms-Rome III Version was used to determine the prevalence of functional constipation. Anthropometric measurements of weight, height, and body mass index (BMI) were obtained following World Health Organization guidelines; overweight was defined as a BMI z-score (adjusted for sex and age) between 1 and 2, obesity was defined as a BMI z-score &gt;2.\nRESULTS: A total of 368 children (13.0%) were found to have functional constipation, 542 children (19.2%) were overweight, and 188 children (6.7%) were obese. Functional constipation did not occur more frequently in children who were obese (14.9%) or overweight (13.1%) compared with children with normal weight (12.9%, P = .73). The prevalence of functional constipation, overweight, and obesity differed significantly between regions. Functional constipation and excessive bodyweight were significantly more common in children attending private schools compared with children attending public schools.\nCONCLUSIONS: Functional constipation, overweight, and obesity are commonly observed in children in Colombia. No association between functional constipation and overweight or obesity was found.","container-title":"The Journal of Pediatrics","DOI":"10.1016/j.jpeds.2015.12.033","ISSN":"1097-6833","journalAbbreviation":"J Pediatr","language":"eng","note":"PMID: 26787379","page":"178-182","source":"PubMed","title":"Is There an Association between Functional Constipation and Excessive Bodyweight in Children?","volume":"171","author":[{"family":"Koppen","given":"Ilan J. N."},{"family":"Velasco-Benítez","given":"Carlos A."},{"family":"Benninga","given":"Marc A."},{"family":"Di Lorenzo","given":"Carlo"},{"family":"Saps","given":"Miguel"}],"issued":{"date-parts":[["2016"]]}}}],"schema":"https://github.com/citation-style-language/schema/raw/master/csl-citation.json"} </w:instrText>
            </w:r>
            <w:r w:rsidR="002521EA" w:rsidRPr="006C00C2">
              <w:rPr>
                <w:rFonts w:ascii="Times New Roman" w:hAnsi="Times New Roman" w:cs="Times New Roman"/>
                <w:color w:val="000000" w:themeColor="text1"/>
                <w:sz w:val="24"/>
                <w:szCs w:val="36"/>
                <w:lang w:val="en-US"/>
              </w:rPr>
              <w:fldChar w:fldCharType="separate"/>
            </w:r>
            <w:r w:rsidR="002521EA" w:rsidRPr="006C00C2">
              <w:rPr>
                <w:rFonts w:ascii="Times New Roman" w:hAnsi="Times New Roman" w:cs="Times New Roman"/>
                <w:color w:val="000000" w:themeColor="text1"/>
                <w:sz w:val="24"/>
                <w:vertAlign w:val="superscript"/>
                <w:lang w:val="en-US"/>
              </w:rPr>
              <w:t>3</w:t>
            </w:r>
            <w:r w:rsidR="002521EA" w:rsidRPr="006C00C2">
              <w:rPr>
                <w:rFonts w:ascii="Times New Roman" w:hAnsi="Times New Roman" w:cs="Times New Roman"/>
                <w:color w:val="000000" w:themeColor="text1"/>
                <w:sz w:val="24"/>
                <w:szCs w:val="36"/>
                <w:lang w:val="en-US"/>
              </w:rPr>
              <w:fldChar w:fldCharType="end"/>
            </w:r>
          </w:p>
        </w:tc>
        <w:tc>
          <w:tcPr>
            <w:tcW w:w="4352" w:type="dxa"/>
          </w:tcPr>
          <w:p w14:paraId="741FE8B4" w14:textId="637D7E53" w:rsidR="002521EA" w:rsidRPr="006C00C2" w:rsidRDefault="007F023D"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Rotaviral </w:t>
            </w: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was determined by laboratory. All eligible cases </w:t>
            </w:r>
            <w:r w:rsidRPr="006C00C2">
              <w:rPr>
                <w:rFonts w:ascii="Times New Roman" w:hAnsi="Times New Roman" w:cs="Times New Roman"/>
                <w:color w:val="000000" w:themeColor="text1"/>
                <w:sz w:val="24"/>
              </w:rPr>
              <w:t>are included. Controls were taken from the</w:t>
            </w:r>
            <w:r>
              <w:rPr>
                <w:rFonts w:ascii="Times New Roman" w:hAnsi="Times New Roman" w:cs="Times New Roman"/>
                <w:color w:val="000000" w:themeColor="text1"/>
                <w:sz w:val="24"/>
              </w:rPr>
              <w:t xml:space="preserve"> hospital and had no history of the disease</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(3/4)</w:t>
            </w:r>
          </w:p>
        </w:tc>
        <w:tc>
          <w:tcPr>
            <w:tcW w:w="3238" w:type="dxa"/>
          </w:tcPr>
          <w:p w14:paraId="072F39CE" w14:textId="77777777"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39C9436B" w14:textId="1C9555A6" w:rsidR="002521EA" w:rsidRPr="006C00C2" w:rsidRDefault="007F023D"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Exposure was determined by a secure record. </w:t>
            </w:r>
            <w:r w:rsidRPr="006C00C2">
              <w:rPr>
                <w:rFonts w:ascii="Times New Roman" w:hAnsi="Times New Roman" w:cs="Times New Roman"/>
                <w:color w:val="000000" w:themeColor="text1"/>
                <w:sz w:val="24"/>
              </w:rPr>
              <w:t xml:space="preserve">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2A11473C" w14:textId="77777777" w:rsidTr="00736C07">
        <w:tc>
          <w:tcPr>
            <w:tcW w:w="2122" w:type="dxa"/>
          </w:tcPr>
          <w:p w14:paraId="2CE61860" w14:textId="13FE9FC1" w:rsidR="002521EA" w:rsidRPr="006C00C2" w:rsidRDefault="007F023D" w:rsidP="00736C07">
            <w:pPr>
              <w:rPr>
                <w:rFonts w:ascii="Times New Roman" w:hAnsi="Times New Roman" w:cs="Times New Roman"/>
                <w:color w:val="000000" w:themeColor="text1"/>
                <w:sz w:val="24"/>
                <w:szCs w:val="36"/>
                <w:lang w:val="en-US"/>
              </w:rPr>
            </w:pPr>
            <w:r>
              <w:rPr>
                <w:rFonts w:ascii="Times New Roman" w:hAnsi="Times New Roman" w:cs="Times New Roman"/>
                <w:color w:val="000000" w:themeColor="text1"/>
                <w:sz w:val="24"/>
                <w:lang w:val="en-US"/>
              </w:rPr>
              <w:t>Chowdhury</w:t>
            </w:r>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201</w:t>
            </w:r>
            <w:r w:rsidR="00420E24">
              <w:rPr>
                <w:rFonts w:ascii="Times New Roman" w:hAnsi="Times New Roman" w:cs="Times New Roman"/>
                <w:color w:val="000000" w:themeColor="text1"/>
                <w:sz w:val="24"/>
                <w:lang w:val="en-US"/>
              </w:rPr>
              <w:t>7</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{"citationID":"eSSyhb4I","properties":{"formattedCitation":"\\super 4\\nosupersub{}","plainCitation":"4","noteIndex":0},"citationItems":[{"id":12014,"uris":["http://zotero.org/groups/4538994/items/S878JQX7"],"uri":["http://zotero.org/groups/4538994/items/S878JQX7"],"itemData":{"id":12014,"type":"article-journal","abstract":"OBJECTIVE: To investigate nutritional status and growth status of pediatric patients with functional gastrointestinal disorders (FGIDs) and to examine the relationship between nutritional status and linear growth in these children.\nSTUDY DESIGN: In total, 102 pediatric patients diagnosed with functional constipation (FC), irritable bowel syndrome (IBS), or functional abdominal pain (FAP) in years 2013-2015 were subjected to anthropometric measurements. Anthropometry comprised body height, leg and trunk lengths, body weight, mid-upper arm circumference, and 3 skinfold thicknesses. Body fat percentage was obtained with bioelectrical impedance analysis. Indices of the nutritional status and body proportions were calculated and adjusted for age and sex.\nRESULTS: Excessive body weight and excessive fatness were the most common in children with IBS. Being underweight was most common in children with FAP, but fat deficiency was similarly frequent in the FAP and in FC groups. Short stature was the most common in children with FC. Children with IBS were the best nourished and the tallest for age and sex due to increased trunk length. Body height and linear body proportions adjusted for age and sex were positively associated with body weight and body fatness in the total sample.\nCONCLUSIONS: Children with FGIDs present various linear growth abnormalities that are associated with body weight and body fatness. Although excessive body weight and body fat are common in children with IBS, pediatricians should be aware of the risk of malnutrition in children with other FGIDs.","container-title":"The Journal of Pediatrics","DOI":"10.1016/j.jpeds.2018.02.069","ISSN":"1097-6833","journalAbbreviation":"J Pediatr","language":"eng","note":"PMID: 29709346","page":"171-7","source":"PubMed","title":"A Link between Nutritional and Growth States in Pediatric Patients with Functional Gastrointestinal Disorders","volume":"199","author":[{"family":"Pawłowska","given":"Katarzyna"},{"family":"Umławska","given":"Wioleta"},{"family":"Iwańczak","given":"Barbara"}],"issued":{"date-parts":[["2018"]]}}}],"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4</w:t>
            </w:r>
            <w:r w:rsidR="002521EA" w:rsidRPr="006C00C2">
              <w:rPr>
                <w:rFonts w:ascii="Times New Roman" w:hAnsi="Times New Roman" w:cs="Times New Roman"/>
                <w:color w:val="000000" w:themeColor="text1"/>
                <w:sz w:val="24"/>
                <w:lang w:val="en-US"/>
              </w:rPr>
              <w:fldChar w:fldCharType="end"/>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{"citationID":"ssNRoAYV","properties":{"formattedCitation":"\\super 7\\nosupersub{}","plainCitation":"7","dontUpdate":true,"noteIndex":0},"citationItems":[{"id":12014,"uris":["http://zotero.org/groups/4538994/items/S878JQX7"],"uri":["http://zotero.org/groups/4538994/items/S878JQX7"],"itemData":{"id":12014,"type":"article-journal","abstract":"OBJECTIVE: To investigate nutritional status and growth status of pediatric patients with functional gastrointestinal disorders (FGIDs) and to examine the relationship between nutritional status and linear growth in these children.\nSTUDY DESIGN: In total, 102 pediatric patients diagnosed with functional constipation (FC), irritable bowel syndrome (IBS), or functional abdominal pain (FAP) in years 2013-2015 were subjected to anthropometric measurements. Anthropometry comprised body height, leg and trunk lengths, body weight, mid-upper arm circumference, and 3 skinfold thicknesses. Body fat percentage was obtained with bioelectrical impedance analysis. Indices of the nutritional status and body proportions were calculated and adjusted for age and sex.\nRESULTS: Excessive body weight and excessive fatness were the most common in children with IBS. Being underweight was most common in children with FAP, but fat deficiency was similarly frequent in the FAP and in FC groups. Short stature was the most common in children with FC. Children with IBS were the best nourished and the tallest for age and sex due to increased trunk length. Body height and linear body proportions adjusted for age and sex were positively associated with body weight and body fatness in the total sample.\nCONCLUSIONS: Children with FGIDs present various linear growth abnormalities that are associated with body weight and body fatness. Although excessive body weight and body fat are common in children with IBS, pediatricians should be aware of the risk of malnutrition in children with other FGIDs.","container-title":"The Journal of Pediatrics","DOI":"10.1016/j.jpeds.2018.02.069","ISSN":"1097-6833","journalAbbreviation":"J Pediatr","language":"eng","note":"PMID: 29709346","page":"171-7","source":"PubMed","title":"A Link between Nutritional and Growth States in Pediatric Patients with Functional Gastrointestinal Disorders","volume":"199","author":[{"family":"Pawłowska","given":"Katarzyna"},{"family":"Umławska","given":"Wioleta"},{"family":"Iwańczak","given":"Barbara"}],"issued":{"date-parts":[["2018"]]}}}],"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 xml:space="preserve"> </w:t>
            </w:r>
            <w:r w:rsidR="002521EA" w:rsidRPr="006C00C2">
              <w:rPr>
                <w:rFonts w:ascii="Times New Roman" w:hAnsi="Times New Roman" w:cs="Times New Roman"/>
                <w:color w:val="000000" w:themeColor="text1"/>
                <w:sz w:val="24"/>
                <w:lang w:val="en-US"/>
              </w:rPr>
              <w:fldChar w:fldCharType="end"/>
            </w:r>
          </w:p>
        </w:tc>
        <w:tc>
          <w:tcPr>
            <w:tcW w:w="4352" w:type="dxa"/>
          </w:tcPr>
          <w:p w14:paraId="1241D5B2" w14:textId="213F3EEB" w:rsidR="002521EA" w:rsidRPr="006C00C2" w:rsidRDefault="00420E24" w:rsidP="00736C07">
            <w:pPr>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was determined clinically. All eligible cases with </w:t>
            </w: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t>
            </w:r>
            <w:r w:rsidRPr="006C00C2">
              <w:rPr>
                <w:rFonts w:ascii="Times New Roman" w:hAnsi="Times New Roman" w:cs="Times New Roman"/>
                <w:color w:val="000000" w:themeColor="text1"/>
                <w:sz w:val="24"/>
              </w:rPr>
              <w:t>are included. Controls were taken from the</w:t>
            </w:r>
            <w:r>
              <w:rPr>
                <w:rFonts w:ascii="Times New Roman" w:hAnsi="Times New Roman" w:cs="Times New Roman"/>
                <w:color w:val="000000" w:themeColor="text1"/>
                <w:sz w:val="24"/>
              </w:rPr>
              <w:t xml:space="preserve"> community and had no history of the disease</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4</w:t>
            </w:r>
            <w:r w:rsidRPr="006C00C2">
              <w:rPr>
                <w:rFonts w:ascii="Times New Roman" w:hAnsi="Times New Roman" w:cs="Times New Roman"/>
                <w:b/>
                <w:bCs/>
                <w:color w:val="000000" w:themeColor="text1"/>
                <w:sz w:val="24"/>
              </w:rPr>
              <w:t>/4)</w:t>
            </w:r>
          </w:p>
        </w:tc>
        <w:tc>
          <w:tcPr>
            <w:tcW w:w="3238" w:type="dxa"/>
          </w:tcPr>
          <w:p w14:paraId="02AFD7B3" w14:textId="4E2B6A7C" w:rsidR="002521EA" w:rsidRPr="006C00C2" w:rsidRDefault="00420E24"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w:t>
            </w:r>
            <w:r>
              <w:rPr>
                <w:rFonts w:ascii="Times New Roman" w:hAnsi="Times New Roman" w:cs="Times New Roman"/>
                <w:color w:val="000000" w:themeColor="text1"/>
                <w:sz w:val="24"/>
              </w:rPr>
              <w:t>but not</w:t>
            </w:r>
            <w:r w:rsidRPr="006C00C2">
              <w:rPr>
                <w:rFonts w:ascii="Times New Roman" w:hAnsi="Times New Roman" w:cs="Times New Roman"/>
                <w:color w:val="000000" w:themeColor="text1"/>
                <w:sz w:val="24"/>
              </w:rPr>
              <w:t xml:space="preserve"> other factors</w:t>
            </w:r>
            <w:r>
              <w:rPr>
                <w:rFonts w:ascii="Times New Roman" w:hAnsi="Times New Roman" w:cs="Times New Roman"/>
                <w:color w:val="000000" w:themeColor="text1"/>
                <w:sz w:val="24"/>
              </w:rPr>
              <w:t xml:space="preserve"> (other diseases)</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1</w:t>
            </w:r>
            <w:r w:rsidRPr="006C00C2">
              <w:rPr>
                <w:rFonts w:ascii="Times New Roman" w:hAnsi="Times New Roman" w:cs="Times New Roman"/>
                <w:b/>
                <w:bCs/>
                <w:color w:val="000000" w:themeColor="text1"/>
                <w:sz w:val="24"/>
              </w:rPr>
              <w:t>/2)</w:t>
            </w:r>
          </w:p>
        </w:tc>
        <w:tc>
          <w:tcPr>
            <w:tcW w:w="3238" w:type="dxa"/>
          </w:tcPr>
          <w:p w14:paraId="2EF28CD3" w14:textId="11092C7F" w:rsidR="002521EA" w:rsidRPr="006C00C2" w:rsidRDefault="0044454C"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Exposure was determined by a structured survey. </w:t>
            </w:r>
            <w:r w:rsidRPr="006C00C2">
              <w:rPr>
                <w:rFonts w:ascii="Times New Roman" w:hAnsi="Times New Roman" w:cs="Times New Roman"/>
                <w:color w:val="000000" w:themeColor="text1"/>
                <w:sz w:val="24"/>
              </w:rPr>
              <w:t xml:space="preserve">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478F0342" w14:textId="77777777" w:rsidTr="00736C07">
        <w:tc>
          <w:tcPr>
            <w:tcW w:w="2122" w:type="dxa"/>
          </w:tcPr>
          <w:p w14:paraId="73E68556" w14:textId="046E5169" w:rsidR="002521EA" w:rsidRPr="006C00C2" w:rsidRDefault="0044454C" w:rsidP="00736C07">
            <w:pPr>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Hassam</w:t>
            </w:r>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201</w:t>
            </w:r>
            <w:r>
              <w:rPr>
                <w:rFonts w:ascii="Times New Roman" w:hAnsi="Times New Roman" w:cs="Times New Roman"/>
                <w:color w:val="000000" w:themeColor="text1"/>
                <w:sz w:val="24"/>
                <w:lang w:val="en-US"/>
              </w:rPr>
              <w:t>9</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{"citationID":"lNJp6qoJ","properties":{"formattedCitation":"\\super 5\\nosupersub{}","plainCitation":"5","noteIndex":0},"citationItems":[{"id":12022,"uris":["http://zotero.org/groups/4538994/items/UE6CPLSI"],"uri":["http://zotero.org/groups/4538994/items/UE6CPLSI"],"itemData":{"id":12022,"type":"article-journal","abstract":"BACKGROUND AND OBJECTIVES: Constipation is a common complaint in children, which is not fatal but can affect quality of life. Several lifestyle-related risk factors for constipation have been reported, particularly dietary factors, but results have been inconsistent. Here, we examined the relationship of dietary and lifestyle factors with constipation in Japanese preschool children using data of a nationwide study.\nMETHODS AND STUDY DESIGN: Subjects were 5,309 children aged 5 to 6 years at 380 nursery schools in 44 of 47 prefectures in Japan. Children having three or fewer bowel movements per week were considered constipated. Dietary intake data was collected using a validated brief-type self-administered diet history questionnaire for Japanese preschool children, and information about general lifestyle was collected using a 4-page questionnaire designed for this study. Multivariateadjusted odds ratios for constipation were calculated by logistic regression.\nRESULTS: Higher dietary fiber intake was significantly associated with a lower prevalence of constipation (adjusted odds ratio: 0.62, p for trend: 0.005), but higher carbohydrate intake was marginally associated with a higher prevalence of constipation. Intake of potatoes, pulses, vegetables, and fruits intake decreased constipation prevalence, whereas higher rice intake was significantly and independently associated with higher prevalence of constipation. Regarding lifestyle factors, high physical activity and sufficient preparation time for breakfast and dinner for guardians were significantly associated with lower prevalence. Prevalence tended to be negatively associated with a higher educational background of the mother.\nCONCLUSIONS: Several lifestyle factors were associated with a lower prevalence of constipation among Japanese preschool children, including dietary fiber intake.","container-title":"Asia Pacific Journal of Clinical Nutrition","DOI":"10.6133/apjcn.112015.02","ISSN":"0964-7058","issue":"1","journalAbbreviation":"Asia Pac J Clin Nutr","language":"eng","note":"PMID: 28049271","page":"118-29","source":"PubMed","title":"Dietary intake, physical activity, and time management are associated with constipation in preschool children in Japan","volume":"26","author":[{"family":"Asakura","given":"Keiko"},{"family":"Masayasu","given":"Shizuko"},{"family":"Sasaki","given":"Satoshi"}],"issued":{"date-parts":[["2017"]]}}}],"schema":"https://github.com/citation-style-language/schema/raw/master/csl-citation.json"}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5</w:t>
            </w:r>
            <w:r w:rsidR="002521EA" w:rsidRPr="006C00C2">
              <w:rPr>
                <w:rFonts w:ascii="Times New Roman" w:hAnsi="Times New Roman" w:cs="Times New Roman"/>
                <w:color w:val="000000" w:themeColor="text1"/>
                <w:sz w:val="24"/>
                <w:lang w:val="en-US"/>
              </w:rPr>
              <w:fldChar w:fldCharType="end"/>
            </w:r>
          </w:p>
        </w:tc>
        <w:tc>
          <w:tcPr>
            <w:tcW w:w="4352" w:type="dxa"/>
          </w:tcPr>
          <w:p w14:paraId="6D962B73" w14:textId="154E513E" w:rsidR="002521EA" w:rsidRPr="006C00C2" w:rsidRDefault="00EC4D4A" w:rsidP="00736C07">
            <w:pPr>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was determined clinically. </w:t>
            </w:r>
            <w:r w:rsidRPr="006C00C2">
              <w:rPr>
                <w:rFonts w:ascii="Times New Roman" w:hAnsi="Times New Roman" w:cs="Times New Roman"/>
                <w:color w:val="000000" w:themeColor="text1"/>
                <w:sz w:val="24"/>
              </w:rPr>
              <w:t xml:space="preserve">All eligible cases with </w:t>
            </w:r>
            <w:proofErr w:type="spellStart"/>
            <w:r>
              <w:rPr>
                <w:rFonts w:ascii="Times New Roman" w:hAnsi="Times New Roman" w:cs="Times New Roman"/>
                <w:color w:val="000000" w:themeColor="text1"/>
                <w:sz w:val="24"/>
              </w:rPr>
              <w:t>diarrhea</w:t>
            </w:r>
            <w:proofErr w:type="spellEnd"/>
            <w:r w:rsidRPr="006C00C2">
              <w:rPr>
                <w:rFonts w:ascii="Times New Roman" w:hAnsi="Times New Roman" w:cs="Times New Roman"/>
                <w:color w:val="000000" w:themeColor="text1"/>
                <w:sz w:val="24"/>
              </w:rPr>
              <w:t xml:space="preserve"> are included. </w:t>
            </w:r>
            <w:r w:rsidRPr="006C00C2">
              <w:rPr>
                <w:rFonts w:ascii="Times New Roman" w:hAnsi="Times New Roman" w:cs="Times New Roman"/>
                <w:color w:val="000000" w:themeColor="text1"/>
                <w:sz w:val="24"/>
              </w:rPr>
              <w:lastRenderedPageBreak/>
              <w:t xml:space="preserve">Controls were taken from the </w:t>
            </w:r>
            <w:r>
              <w:rPr>
                <w:rFonts w:ascii="Times New Roman" w:hAnsi="Times New Roman" w:cs="Times New Roman"/>
                <w:color w:val="000000" w:themeColor="text1"/>
                <w:sz w:val="24"/>
              </w:rPr>
              <w:t>hospital and had no history of the disease</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(3/4)</w:t>
            </w:r>
          </w:p>
        </w:tc>
        <w:tc>
          <w:tcPr>
            <w:tcW w:w="3238" w:type="dxa"/>
          </w:tcPr>
          <w:p w14:paraId="350DDAAE" w14:textId="77777777"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lastRenderedPageBreak/>
              <w:t xml:space="preserve">This study controls for same age group between case &amp; </w:t>
            </w:r>
            <w:r w:rsidRPr="006C00C2">
              <w:rPr>
                <w:rFonts w:ascii="Times New Roman" w:hAnsi="Times New Roman" w:cs="Times New Roman"/>
                <w:color w:val="000000" w:themeColor="text1"/>
                <w:sz w:val="24"/>
              </w:rPr>
              <w:lastRenderedPageBreak/>
              <w:t xml:space="preserve">control groups, and other factors. </w:t>
            </w:r>
            <w:r w:rsidRPr="006C00C2">
              <w:rPr>
                <w:rFonts w:ascii="Times New Roman" w:hAnsi="Times New Roman" w:cs="Times New Roman"/>
                <w:b/>
                <w:bCs/>
                <w:color w:val="000000" w:themeColor="text1"/>
                <w:sz w:val="24"/>
              </w:rPr>
              <w:t>(2/2)</w:t>
            </w:r>
          </w:p>
        </w:tc>
        <w:tc>
          <w:tcPr>
            <w:tcW w:w="3238" w:type="dxa"/>
          </w:tcPr>
          <w:p w14:paraId="6F8B2172" w14:textId="23E09049" w:rsidR="002521EA" w:rsidRPr="006C00C2" w:rsidRDefault="00EC4D4A"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xml:space="preserve">Exposure was determined by a secure record. </w:t>
            </w:r>
            <w:r w:rsidRPr="006C00C2">
              <w:rPr>
                <w:rFonts w:ascii="Times New Roman" w:hAnsi="Times New Roman" w:cs="Times New Roman"/>
                <w:color w:val="000000" w:themeColor="text1"/>
                <w:sz w:val="24"/>
              </w:rPr>
              <w:t xml:space="preserve">This study used </w:t>
            </w:r>
            <w:r w:rsidRPr="006C00C2">
              <w:rPr>
                <w:rFonts w:ascii="Times New Roman" w:hAnsi="Times New Roman" w:cs="Times New Roman"/>
                <w:color w:val="000000" w:themeColor="text1"/>
                <w:sz w:val="24"/>
              </w:rPr>
              <w:lastRenderedPageBreak/>
              <w:t xml:space="preserve">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C3067C" w:rsidRPr="006C00C2" w14:paraId="421511F2" w14:textId="77777777" w:rsidTr="00736C07">
        <w:tc>
          <w:tcPr>
            <w:tcW w:w="2122" w:type="dxa"/>
          </w:tcPr>
          <w:p w14:paraId="0ECC9324" w14:textId="2440A790" w:rsidR="00C3067C" w:rsidRDefault="00C3067C" w:rsidP="00736C07">
            <w:pPr>
              <w:rPr>
                <w:rFonts w:ascii="Times New Roman" w:hAnsi="Times New Roman" w:cs="Times New Roman"/>
                <w:color w:val="000000" w:themeColor="text1"/>
                <w:sz w:val="24"/>
                <w:lang w:val="en-US"/>
              </w:rPr>
            </w:pPr>
            <w:proofErr w:type="spellStart"/>
            <w:r>
              <w:rPr>
                <w:rFonts w:ascii="Times New Roman" w:hAnsi="Times New Roman" w:cs="Times New Roman"/>
                <w:color w:val="000000" w:themeColor="text1"/>
                <w:sz w:val="24"/>
                <w:lang w:val="en-US"/>
              </w:rPr>
              <w:lastRenderedPageBreak/>
              <w:t>Mahyar</w:t>
            </w:r>
            <w:proofErr w:type="spellEnd"/>
            <w:r>
              <w:rPr>
                <w:rFonts w:ascii="Times New Roman" w:hAnsi="Times New Roman" w:cs="Times New Roman"/>
                <w:color w:val="000000" w:themeColor="text1"/>
                <w:sz w:val="24"/>
                <w:lang w:val="en-US"/>
              </w:rPr>
              <w:t xml:space="preserve"> </w:t>
            </w:r>
            <w:r>
              <w:rPr>
                <w:rFonts w:ascii="Times New Roman" w:hAnsi="Times New Roman" w:cs="Times New Roman"/>
                <w:i/>
                <w:iCs/>
                <w:color w:val="000000" w:themeColor="text1"/>
                <w:sz w:val="24"/>
                <w:lang w:val="en-US"/>
              </w:rPr>
              <w:t>et al</w:t>
            </w:r>
            <w:r>
              <w:rPr>
                <w:rFonts w:ascii="Times New Roman" w:hAnsi="Times New Roman" w:cs="Times New Roman"/>
                <w:color w:val="000000" w:themeColor="text1"/>
                <w:sz w:val="24"/>
                <w:lang w:val="en-US"/>
              </w:rPr>
              <w:t xml:space="preserve">., 2019 </w:t>
            </w:r>
            <w:r w:rsidRPr="006C00C2">
              <w:rPr>
                <w:rFonts w:ascii="Times New Roman" w:hAnsi="Times New Roman" w:cs="Times New Roman"/>
                <w:color w:val="000000" w:themeColor="text1"/>
                <w:sz w:val="24"/>
                <w:lang w:val="en-US"/>
              </w:rPr>
              <w:fldChar w:fldCharType="begin"/>
            </w:r>
            <w:r w:rsidRPr="006C00C2">
              <w:rPr>
                <w:rFonts w:ascii="Times New Roman" w:hAnsi="Times New Roman" w:cs="Times New Roman"/>
                <w:color w:val="000000" w:themeColor="text1"/>
                <w:sz w:val="24"/>
                <w:lang w:val="en-US"/>
              </w:rPr>
              <w:instrText xml:space="preserve"> ADDIN ZOTERO_ITEM CSL_CITATION {"citationID":"EfliVpWt","properties":{"formattedCitation":"\\super 6\\nosupersub{}","plainCitation":"6","noteIndex":0},"citationItems":[{"id":12024,"uris":["http://zotero.org/groups/4538994/items/25QET4DT"],"uri":["http://zotero.org/groups/4538994/items/25QET4DT"],"itemData":{"id":12024,"type":"article-journal","abstract":"Objectives: To determine the prevalence and effect of dietary habits on functional constipation in preschool and early elementary school children in Japan.\nStudy Design: A total of 3595 children aged 3 to 8 years from 28 nursery schools and 22 elementary schools in Yokohama City, Kanagawa Prefecture, Japan, were evaluated. The subjects were divided into a functional constipation group and a nonfunctional constipation group according to the Rome III criteria. Dietary intake data were collected using a brief-type, self-administered, diet-history questionnaire validated for Japanese preschool-aged children.\nResults: Of the 3595 subjects evaluated, 718 (20.0%) had functional constipation. The association between functional constipation and gender was not statistically significant (p = 0.617). A decrease in bowel frequency was observed in 15.9% of those with functional constipation. There was no significant difference in the proportion of participants in the constipation group by age (p = 0.112). Binomial logistic regression analysis indicated that only fat per 100 kcal positively correlated with functional constipation [odds ratio = 1.216, 95% confidence interval: 1.0476-1.412].\nConclusions: Functional constipation is common among children in preschool and early elementary school in urban areas of Japan. Parents should pay attention to constipation-related symptoms other than defecation frequency. A high-fat diet should be avoided to prevent functional constipation.","container-title":"Gastroenterology Research and Practice","DOI":"10.1155/2018/3108021","ISSN":"1687-6121","journalAbbreviation":"Gastroenterol Res Pract","language":"eng","note":"PMID: 29681930\nPMCID: PMC5848140","page":"1-8","source":"PubMed","title":"Prevalence of Functional Constipation and Relationship with Dietary Habits in 3- to 8-Year-Old Children in Japan","volume":"2018","author":[{"family":"Fujitani","given":"Asami"},{"family":"Sogo","given":"Tsuyoshi"},{"family":"Inui","given":"Ayano"},{"family":"Kawakubo","given":"Kiyoshi"}],"issued":{"date-parts":[["2018"]]}}}],"schema":"https://github.com/citation-style-language/schema/raw/master/csl-citation.json"} </w:instrText>
            </w:r>
            <w:r w:rsidRPr="006C00C2">
              <w:rPr>
                <w:rFonts w:ascii="Times New Roman" w:hAnsi="Times New Roman" w:cs="Times New Roman"/>
                <w:color w:val="000000" w:themeColor="text1"/>
                <w:sz w:val="24"/>
                <w:lang w:val="en-US"/>
              </w:rPr>
              <w:fldChar w:fldCharType="separate"/>
            </w:r>
            <w:r w:rsidRPr="006C00C2">
              <w:rPr>
                <w:rFonts w:ascii="Times New Roman" w:hAnsi="Times New Roman" w:cs="Times New Roman"/>
                <w:color w:val="000000" w:themeColor="text1"/>
                <w:sz w:val="24"/>
                <w:vertAlign w:val="superscript"/>
                <w:lang w:val="en-US"/>
              </w:rPr>
              <w:t>6</w:t>
            </w:r>
            <w:r w:rsidRPr="006C00C2">
              <w:rPr>
                <w:rFonts w:ascii="Times New Roman" w:hAnsi="Times New Roman" w:cs="Times New Roman"/>
                <w:color w:val="000000" w:themeColor="text1"/>
                <w:sz w:val="24"/>
                <w:lang w:val="en-US"/>
              </w:rPr>
              <w:fldChar w:fldCharType="end"/>
            </w:r>
          </w:p>
        </w:tc>
        <w:tc>
          <w:tcPr>
            <w:tcW w:w="4352" w:type="dxa"/>
          </w:tcPr>
          <w:p w14:paraId="59359475" w14:textId="36CD1D85" w:rsidR="00C3067C" w:rsidRDefault="00C3067C"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Bacterial </w:t>
            </w: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was determined by laboratory examination. </w:t>
            </w:r>
            <w:r w:rsidRPr="006C00C2">
              <w:rPr>
                <w:rFonts w:ascii="Times New Roman" w:hAnsi="Times New Roman" w:cs="Times New Roman"/>
                <w:color w:val="000000" w:themeColor="text1"/>
                <w:sz w:val="24"/>
              </w:rPr>
              <w:t xml:space="preserve">All eligible cases with </w:t>
            </w:r>
            <w:r>
              <w:rPr>
                <w:rFonts w:ascii="Times New Roman" w:hAnsi="Times New Roman" w:cs="Times New Roman"/>
                <w:color w:val="000000" w:themeColor="text1"/>
                <w:sz w:val="24"/>
              </w:rPr>
              <w:t xml:space="preserve">bacterial </w:t>
            </w:r>
            <w:proofErr w:type="spellStart"/>
            <w:r>
              <w:rPr>
                <w:rFonts w:ascii="Times New Roman" w:hAnsi="Times New Roman" w:cs="Times New Roman"/>
                <w:color w:val="000000" w:themeColor="text1"/>
                <w:sz w:val="24"/>
              </w:rPr>
              <w:t>diarrhea</w:t>
            </w:r>
            <w:proofErr w:type="spellEnd"/>
            <w:r w:rsidRPr="006C00C2">
              <w:rPr>
                <w:rFonts w:ascii="Times New Roman" w:hAnsi="Times New Roman" w:cs="Times New Roman"/>
                <w:color w:val="000000" w:themeColor="text1"/>
                <w:sz w:val="24"/>
              </w:rPr>
              <w:t xml:space="preserve"> are included. Controls were taken from the </w:t>
            </w:r>
            <w:r>
              <w:rPr>
                <w:rFonts w:ascii="Times New Roman" w:hAnsi="Times New Roman" w:cs="Times New Roman"/>
                <w:color w:val="000000" w:themeColor="text1"/>
                <w:sz w:val="24"/>
              </w:rPr>
              <w:t>hospital and had no history of the disease</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(3/4)</w:t>
            </w:r>
          </w:p>
        </w:tc>
        <w:tc>
          <w:tcPr>
            <w:tcW w:w="3238" w:type="dxa"/>
          </w:tcPr>
          <w:p w14:paraId="778D382C" w14:textId="1A3E546E" w:rsidR="00C3067C" w:rsidRPr="006C00C2" w:rsidRDefault="00C3067C"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7FB0F0DC" w14:textId="2EC8C752" w:rsidR="00C3067C" w:rsidRDefault="00C3067C"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Exposure was determined by a secure record. </w:t>
            </w:r>
            <w:r w:rsidRPr="006C00C2">
              <w:rPr>
                <w:rFonts w:ascii="Times New Roman" w:hAnsi="Times New Roman" w:cs="Times New Roman"/>
                <w:color w:val="000000" w:themeColor="text1"/>
                <w:sz w:val="24"/>
              </w:rPr>
              <w:t xml:space="preserve">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073E5433" w14:textId="77777777" w:rsidTr="00736C07">
        <w:tc>
          <w:tcPr>
            <w:tcW w:w="2122" w:type="dxa"/>
          </w:tcPr>
          <w:p w14:paraId="547CC3BB" w14:textId="2E0326F3" w:rsidR="002521EA" w:rsidRPr="006C00C2" w:rsidRDefault="00EC4D4A" w:rsidP="00736C07">
            <w:pPr>
              <w:rPr>
                <w:rFonts w:ascii="Times New Roman" w:hAnsi="Times New Roman" w:cs="Times New Roman"/>
                <w:color w:val="000000" w:themeColor="text1"/>
                <w:sz w:val="24"/>
                <w:lang w:val="en-US"/>
              </w:rPr>
            </w:pPr>
            <w:proofErr w:type="spellStart"/>
            <w:r>
              <w:rPr>
                <w:rFonts w:ascii="Times New Roman" w:hAnsi="Times New Roman" w:cs="Times New Roman"/>
                <w:color w:val="000000" w:themeColor="text1"/>
                <w:sz w:val="24"/>
                <w:lang w:val="en-US"/>
              </w:rPr>
              <w:t>Talachian</w:t>
            </w:r>
            <w:proofErr w:type="spellEnd"/>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201</w:t>
            </w:r>
            <w:r>
              <w:rPr>
                <w:rFonts w:ascii="Times New Roman" w:hAnsi="Times New Roman" w:cs="Times New Roman"/>
                <w:color w:val="000000" w:themeColor="text1"/>
                <w:sz w:val="24"/>
                <w:lang w:val="en-US"/>
              </w:rPr>
              <w:t>5</w:t>
            </w:r>
            <w:r w:rsidR="00C3067C" w:rsidRPr="006C00C2">
              <w:rPr>
                <w:rFonts w:ascii="Times New Roman" w:hAnsi="Times New Roman" w:cs="Times New Roman"/>
                <w:color w:val="000000" w:themeColor="text1"/>
                <w:sz w:val="24"/>
                <w:lang w:val="en-US"/>
              </w:rPr>
              <w:fldChar w:fldCharType="begin"/>
            </w:r>
            <w:r w:rsidR="00C3067C" w:rsidRPr="006C00C2">
              <w:rPr>
                <w:rFonts w:ascii="Times New Roman" w:hAnsi="Times New Roman" w:cs="Times New Roman"/>
                <w:color w:val="000000" w:themeColor="text1"/>
                <w:sz w:val="24"/>
                <w:lang w:val="en-US"/>
              </w:rPr>
              <w:instrText xml:space="preserve"> ADDIN ZOTERO_ITEM CSL_CITATION {"citationID":"wsZBxjjn","properties":{"formattedCitation":"\\super 7\\nosupersub{}","plainCitation":"7","noteIndex":0},"citationItems":[{"id":12027,"uris":["http://zotero.org/groups/4538994/items/5FA3JQZ5"],"uri":["http://zotero.org/groups/4538994/items/5FA3JQZ5"],"itemData":{"id":12027,"type":"article-journal","abstract":"OBJECTIVE: To compare the prevalence of functional gastrointestinal disorders such as functional constipation (FC), functional abdominal pain (FAP), functional abdominal pain syndrome (FAPS) and irritable bowel syndrome (IBS) between a large cohort of healthy obese/overweight children and normal-weight children.\nMETHODS: Healthy children between the ages of 4 and 18 years were eligible for recruitment from the Yale Pediatric Primary Care clinic, Yale Adolescent clinic and a local private practice in Orange, CT, USA. Study subjects or their parents were interviewed using a questionnaire based on the ROME III standardized criteria for diagnosing functional gastrointestinal disorders. Medical records were reviewed to collect information about age, gender, height, weight, body mass index (BMI), ethnicity and chronic medical conditions. Children were classified into obese, overweight and normal-weight based on their BMI for age and gender. Data were analyzed to compare the prevalence of FC, FAP, FAPS and IBS between obese/overweight children and normal-weight children.\nRESULTS: A total of 450 children (45% males) were recruited. There were 191 (42%) obese/overweight children and 259 (58%) normal-weight children. FAPS (odds ratio (OR) =2.1, 95% confidence interval (CI): 1.21-3.64, P=0.007), FC (OR=1.83, 95% CI: 1.12-2.98, P=0.01), and IBS (OR=2.59, 95% CI: 1.40-4.79, P=0.003) were significantly more prevalent in the obese/overweight children than in the normal-weight children. Of the obese/overweight children, 47% had at least one functional gastrointestinal disorder compared with 27% of the normal-weight children (P</w:instrText>
            </w:r>
            <w:r w:rsidR="00C3067C" w:rsidRPr="006C00C2">
              <w:rPr>
                <w:rFonts w:ascii="Cambria Math" w:hAnsi="Cambria Math" w:cs="Cambria Math"/>
                <w:color w:val="000000" w:themeColor="text1"/>
                <w:sz w:val="24"/>
                <w:lang w:val="en-US"/>
              </w:rPr>
              <w:instrText>⩽</w:instrText>
            </w:r>
            <w:r w:rsidR="00C3067C" w:rsidRPr="006C00C2">
              <w:rPr>
                <w:rFonts w:ascii="Times New Roman" w:hAnsi="Times New Roman" w:cs="Times New Roman"/>
                <w:color w:val="000000" w:themeColor="text1"/>
                <w:sz w:val="24"/>
                <w:lang w:val="en-US"/>
              </w:rPr>
              <w:instrText xml:space="preserve">0.001). Only 36% of the children with functional gastrointestinal disorders sought medical attention for their symptoms.\nCONCLUSIONS: Obese/overweight children have a higher prevalence of functional gastrointestinal disorders than normal-weight children. Almost half of the obese/overweight children had at least one functional gastrointestinal disorder.","container-title":"International Journal of Obesity (2005)","DOI":"10.1038/ijo.2014.67","ISSN":"1476-5497","issue":"10","journalAbbreviation":"Int J Obes (Lond)","language":"eng","note":"PMID: 24781857","page":"1324-7","source":"PubMed","title":"Prevalence of functional gastrointestinal disorders in obese and overweight children","volume":"38","author":[{"family":"Phatak","given":"U. P."},{"family":"Pashankar","given":"D. S."}],"issued":{"date-parts":[["2014"]]}}}],"schema":"https://github.com/citation-style-language/schema/raw/master/csl-citation.json"} </w:instrText>
            </w:r>
            <w:r w:rsidR="00C3067C" w:rsidRPr="006C00C2">
              <w:rPr>
                <w:rFonts w:ascii="Times New Roman" w:hAnsi="Times New Roman" w:cs="Times New Roman"/>
                <w:color w:val="000000" w:themeColor="text1"/>
                <w:sz w:val="24"/>
                <w:lang w:val="en-US"/>
              </w:rPr>
              <w:fldChar w:fldCharType="separate"/>
            </w:r>
            <w:r w:rsidR="00C3067C" w:rsidRPr="006C00C2">
              <w:rPr>
                <w:rFonts w:ascii="Times New Roman" w:hAnsi="Times New Roman" w:cs="Times New Roman"/>
                <w:color w:val="000000" w:themeColor="text1"/>
                <w:sz w:val="24"/>
                <w:vertAlign w:val="superscript"/>
                <w:lang w:val="en-US"/>
              </w:rPr>
              <w:t>7</w:t>
            </w:r>
            <w:r w:rsidR="00C3067C" w:rsidRPr="006C00C2">
              <w:rPr>
                <w:rFonts w:ascii="Times New Roman" w:hAnsi="Times New Roman" w:cs="Times New Roman"/>
                <w:color w:val="000000" w:themeColor="text1"/>
                <w:sz w:val="24"/>
                <w:lang w:val="en-US"/>
              </w:rPr>
              <w:fldChar w:fldCharType="end"/>
            </w:r>
          </w:p>
        </w:tc>
        <w:tc>
          <w:tcPr>
            <w:tcW w:w="4352" w:type="dxa"/>
          </w:tcPr>
          <w:p w14:paraId="516DC515" w14:textId="6D67BD73" w:rsidR="002521EA" w:rsidRPr="006C00C2" w:rsidRDefault="00EC4D4A"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Acute infectious </w:t>
            </w: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was determined clinically according to WHO definition. </w:t>
            </w:r>
            <w:r w:rsidRPr="006C00C2">
              <w:rPr>
                <w:rFonts w:ascii="Times New Roman" w:hAnsi="Times New Roman" w:cs="Times New Roman"/>
                <w:color w:val="000000" w:themeColor="text1"/>
                <w:sz w:val="24"/>
              </w:rPr>
              <w:t xml:space="preserve">All eligible cases with </w:t>
            </w:r>
            <w:proofErr w:type="spellStart"/>
            <w:r>
              <w:rPr>
                <w:rFonts w:ascii="Times New Roman" w:hAnsi="Times New Roman" w:cs="Times New Roman"/>
                <w:color w:val="000000" w:themeColor="text1"/>
                <w:sz w:val="24"/>
              </w:rPr>
              <w:t>diarrhea</w:t>
            </w:r>
            <w:proofErr w:type="spellEnd"/>
            <w:r w:rsidRPr="006C00C2">
              <w:rPr>
                <w:rFonts w:ascii="Times New Roman" w:hAnsi="Times New Roman" w:cs="Times New Roman"/>
                <w:color w:val="000000" w:themeColor="text1"/>
                <w:sz w:val="24"/>
              </w:rPr>
              <w:t xml:space="preserve"> are included. Controls were taken from the </w:t>
            </w:r>
            <w:r>
              <w:rPr>
                <w:rFonts w:ascii="Times New Roman" w:hAnsi="Times New Roman" w:cs="Times New Roman"/>
                <w:color w:val="000000" w:themeColor="text1"/>
                <w:sz w:val="24"/>
              </w:rPr>
              <w:t>hospital and had no history of the disease</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(3/4)</w:t>
            </w:r>
          </w:p>
        </w:tc>
        <w:tc>
          <w:tcPr>
            <w:tcW w:w="3238" w:type="dxa"/>
          </w:tcPr>
          <w:p w14:paraId="7B2EA2E6" w14:textId="77777777"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472C3D74" w14:textId="0E654373" w:rsidR="002521EA" w:rsidRPr="006C00C2" w:rsidRDefault="00EC4D4A"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Exposure was determined by a secure record. </w:t>
            </w:r>
            <w:r w:rsidRPr="006C00C2">
              <w:rPr>
                <w:rFonts w:ascii="Times New Roman" w:hAnsi="Times New Roman" w:cs="Times New Roman"/>
                <w:color w:val="000000" w:themeColor="text1"/>
                <w:sz w:val="24"/>
              </w:rPr>
              <w:t xml:space="preserve">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56ADA439" w14:textId="77777777" w:rsidTr="00736C07">
        <w:tc>
          <w:tcPr>
            <w:tcW w:w="2122" w:type="dxa"/>
          </w:tcPr>
          <w:p w14:paraId="7D30DFD2" w14:textId="1A6FD397" w:rsidR="002521EA" w:rsidRPr="006C00C2" w:rsidRDefault="00270298" w:rsidP="00736C07">
            <w:pPr>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Abed</w:t>
            </w:r>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2014</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ZOTERO_TEMP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noProof/>
                <w:color w:val="000000" w:themeColor="text1"/>
                <w:sz w:val="24"/>
                <w:lang w:val="en-US"/>
              </w:rPr>
              <w:t xml:space="preserve"> </w:t>
            </w:r>
            <w:r w:rsidR="002521EA" w:rsidRPr="006C00C2">
              <w:rPr>
                <w:rFonts w:ascii="Times New Roman" w:hAnsi="Times New Roman" w:cs="Times New Roman"/>
                <w:color w:val="000000" w:themeColor="text1"/>
                <w:sz w:val="24"/>
                <w:lang w:val="en-US"/>
              </w:rPr>
              <w:fldChar w:fldCharType="end"/>
            </w:r>
          </w:p>
        </w:tc>
        <w:tc>
          <w:tcPr>
            <w:tcW w:w="4352" w:type="dxa"/>
          </w:tcPr>
          <w:p w14:paraId="57077D70" w14:textId="4E1C2395" w:rsidR="002521EA" w:rsidRPr="006C00C2" w:rsidRDefault="00852026"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Recurrent </w:t>
            </w: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was determined clinically. All eligible cases with recurrent </w:t>
            </w: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t>
            </w:r>
            <w:r w:rsidRPr="006C00C2">
              <w:rPr>
                <w:rFonts w:ascii="Times New Roman" w:hAnsi="Times New Roman" w:cs="Times New Roman"/>
                <w:color w:val="000000" w:themeColor="text1"/>
                <w:sz w:val="24"/>
              </w:rPr>
              <w:t xml:space="preserve">are included. Controls </w:t>
            </w:r>
            <w:r>
              <w:rPr>
                <w:rFonts w:ascii="Times New Roman" w:hAnsi="Times New Roman" w:cs="Times New Roman"/>
                <w:color w:val="000000" w:themeColor="text1"/>
                <w:sz w:val="24"/>
              </w:rPr>
              <w:t>had no history of the disease but no description of their source (hospital or community)</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/4)</w:t>
            </w:r>
          </w:p>
        </w:tc>
        <w:tc>
          <w:tcPr>
            <w:tcW w:w="3238" w:type="dxa"/>
          </w:tcPr>
          <w:p w14:paraId="55641F28" w14:textId="77777777"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7D0C29D4" w14:textId="652F04B3" w:rsidR="002521EA" w:rsidRPr="006C00C2" w:rsidRDefault="00852026"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Exposure was determined by a secure record. </w:t>
            </w:r>
            <w:r w:rsidRPr="006C00C2">
              <w:rPr>
                <w:rFonts w:ascii="Times New Roman" w:hAnsi="Times New Roman" w:cs="Times New Roman"/>
                <w:color w:val="000000" w:themeColor="text1"/>
                <w:sz w:val="24"/>
              </w:rPr>
              <w:t xml:space="preserve">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75DF99B3" w14:textId="77777777" w:rsidTr="00736C07">
        <w:tc>
          <w:tcPr>
            <w:tcW w:w="2122" w:type="dxa"/>
          </w:tcPr>
          <w:p w14:paraId="5E82026F" w14:textId="7870363B" w:rsidR="002521EA" w:rsidRPr="006C00C2" w:rsidRDefault="00852026" w:rsidP="00736C07">
            <w:pPr>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Ahmed</w:t>
            </w:r>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w:t>
            </w:r>
            <w:r>
              <w:rPr>
                <w:rFonts w:ascii="Times New Roman" w:hAnsi="Times New Roman" w:cs="Times New Roman"/>
                <w:color w:val="000000" w:themeColor="text1"/>
                <w:sz w:val="24"/>
                <w:lang w:val="en-US"/>
              </w:rPr>
              <w:t>16</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{"citationID":"XTjVcxsN","properties":{"formattedCitation":"\\super 8\\nosupersub{}","plainCitation":"8","noteIndex":0},"citationItems":[{"id":12030,"uris":["http://zotero.org/groups/4538994/items/YAAF5UHH"],"uri":["http://zotero.org/groups/4538994/items/YAAF5UHH"],"itemData":{"id":12030,"type":"article-journal","abstract":"OBJECTIVE: The rapidly increasing prevalence of obesity in children is the most important problem facing pediatricians today. A recent study suggested an association of obesity and constipation in children but lacked a control group for comparison. The objectives of this study were to evaluate the prevalence of obesity in a large cohort of children with functional constipation and to compare it with a control group representative of the general population.\nMETHODS: Retrospective chart review was performed on 719 children, between the ages of 4 and &lt;18 years, with chronic functional constipation seen in the general pediatric and pediatric gastroenterology clinics between July 2002 and June 2004. Data collected included age, gender, BMI, and signs and symptoms of constipation including fecal incontinence. Obesity was classified as a BMI of &gt;95th percentile and severe obesity as a BMI of &gt; or =5 kg/m2 above the 95th percentile for age and gender. The control group consisted of all 930 children (4 to &lt;18 years of age) presenting to the pediatric clinic for a well-child visit between January and June 2004. The chi2 and t tests were used for analysis.\nRESULTS: Overall prevalence of obesity was significantly higher in constipated children (22.4%) compared with control children (11.7%), and this higher prevalence was also seen for severe obesity. The prevalence rates of obesity were significantly higher in constipated males (25%) than in constipated females (19%) and were significantly higher compared with the control males (13.5%) and control females (9.8%). Constipated boys in all 3 age groups had significantly higher rates of obesity than the control boys; the constipated girls had significantly higher obesity rates for the age groups between 8 and &lt;18 years. Fecal incontinence (encopresis) was present in 334 of 719 (46%) constipated children. The prevalence of obesity was similar in constipated children with and without fecal incontinence.\nCONCLUSIONS: There is a significantly higher prevalence of obesity in children with constipation compared with age- and gender-matched controls. This higher prevalence is present in both boys (4 to &lt;18 years of age) and girls (8 to &lt;18 years of age) with constipation and is not related to the presence of fecal incontinence among constipated children. The higher prevalence of obesity may be a result of dietary factors, activity level, or hormonal influences and needs additional evaluation.","container-title":"Pediatrics","DOI":"10.1542/peds.2005-0490","ISSN":"1098-4275","issue":"3","journalAbbreviation":"Pediatrics","language":"eng","note":"PMID: 16140681","page":"e377-380","source":"PubMed","title":"Increased prevalence of obesity in children with functional constipation evaluated in an academic medical center","volume":"116","author":[{"family":"Pashankar","given":"Dinesh S."},{"family":"Loening-Baucke","given":"Vera"}],"issued":{"date-parts":[["2005"]]}}}],"schema":"https://github.com/citation-style-language/schema/raw/master/csl-citation.json"}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8</w:t>
            </w:r>
            <w:r w:rsidR="002521EA" w:rsidRPr="006C00C2">
              <w:rPr>
                <w:rFonts w:ascii="Times New Roman" w:hAnsi="Times New Roman" w:cs="Times New Roman"/>
                <w:color w:val="000000" w:themeColor="text1"/>
                <w:sz w:val="24"/>
                <w:lang w:val="en-US"/>
              </w:rPr>
              <w:fldChar w:fldCharType="end"/>
            </w:r>
          </w:p>
        </w:tc>
        <w:tc>
          <w:tcPr>
            <w:tcW w:w="4352" w:type="dxa"/>
          </w:tcPr>
          <w:p w14:paraId="3CA45376" w14:textId="70037DAE" w:rsidR="002521EA" w:rsidRPr="006C00C2" w:rsidRDefault="00512F4F" w:rsidP="00736C07">
            <w:pPr>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Diarrhea</w:t>
            </w:r>
            <w:proofErr w:type="spellEnd"/>
            <w:r>
              <w:rPr>
                <w:rFonts w:ascii="Times New Roman" w:hAnsi="Times New Roman" w:cs="Times New Roman"/>
                <w:color w:val="000000" w:themeColor="text1"/>
                <w:sz w:val="24"/>
              </w:rPr>
              <w:t xml:space="preserve"> was determined clinically, while vitamin D deficiency was determined by laboratory examination. </w:t>
            </w:r>
            <w:r w:rsidRPr="006C00C2">
              <w:rPr>
                <w:rFonts w:ascii="Times New Roman" w:hAnsi="Times New Roman" w:cs="Times New Roman"/>
                <w:color w:val="000000" w:themeColor="text1"/>
                <w:sz w:val="24"/>
              </w:rPr>
              <w:t>All eligible cases</w:t>
            </w:r>
            <w:r>
              <w:rPr>
                <w:rFonts w:ascii="Times New Roman" w:hAnsi="Times New Roman" w:cs="Times New Roman"/>
                <w:color w:val="000000" w:themeColor="text1"/>
                <w:sz w:val="24"/>
              </w:rPr>
              <w:t xml:space="preserve"> </w:t>
            </w:r>
            <w:r w:rsidRPr="006C00C2">
              <w:rPr>
                <w:rFonts w:ascii="Times New Roman" w:hAnsi="Times New Roman" w:cs="Times New Roman"/>
                <w:color w:val="000000" w:themeColor="text1"/>
                <w:sz w:val="24"/>
              </w:rPr>
              <w:t xml:space="preserve">are included. Controls were taken from the </w:t>
            </w:r>
            <w:r>
              <w:rPr>
                <w:rFonts w:ascii="Times New Roman" w:hAnsi="Times New Roman" w:cs="Times New Roman"/>
                <w:color w:val="000000" w:themeColor="text1"/>
                <w:sz w:val="24"/>
              </w:rPr>
              <w:t>community and had no history of the disease</w:t>
            </w:r>
            <w:r w:rsidRPr="006C00C2">
              <w:rPr>
                <w:rFonts w:ascii="Times New Roman" w:hAnsi="Times New Roman" w:cs="Times New Roman"/>
                <w:color w:val="000000" w:themeColor="text1"/>
                <w:sz w:val="24"/>
              </w:rPr>
              <w:t xml:space="preserve">.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4</w:t>
            </w:r>
            <w:r w:rsidRPr="006C00C2">
              <w:rPr>
                <w:rFonts w:ascii="Times New Roman" w:hAnsi="Times New Roman" w:cs="Times New Roman"/>
                <w:b/>
                <w:bCs/>
                <w:color w:val="000000" w:themeColor="text1"/>
                <w:sz w:val="24"/>
              </w:rPr>
              <w:t>/4)</w:t>
            </w:r>
          </w:p>
        </w:tc>
        <w:tc>
          <w:tcPr>
            <w:tcW w:w="3238" w:type="dxa"/>
          </w:tcPr>
          <w:p w14:paraId="0722A85E" w14:textId="77777777"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57A1D119" w14:textId="71CBAE67" w:rsidR="002521EA" w:rsidRPr="006C00C2" w:rsidRDefault="00512F4F"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Cases</w:t>
            </w:r>
            <w:r w:rsidR="002521EA" w:rsidRPr="006C00C2">
              <w:rPr>
                <w:rFonts w:ascii="Times New Roman" w:hAnsi="Times New Roman" w:cs="Times New Roman"/>
                <w:color w:val="000000" w:themeColor="text1"/>
                <w:sz w:val="24"/>
              </w:rPr>
              <w:t xml:space="preserve"> were taken from medical record only. This study used a same method of ascertainment for cases and controls, and same non-response rate for both groups. </w:t>
            </w:r>
            <w:r w:rsidR="002521EA"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002521EA" w:rsidRPr="006C00C2">
              <w:rPr>
                <w:rFonts w:ascii="Times New Roman" w:hAnsi="Times New Roman" w:cs="Times New Roman"/>
                <w:b/>
                <w:bCs/>
                <w:color w:val="000000" w:themeColor="text1"/>
                <w:sz w:val="24"/>
              </w:rPr>
              <w:t>/3)</w:t>
            </w:r>
          </w:p>
        </w:tc>
      </w:tr>
      <w:tr w:rsidR="002521EA" w:rsidRPr="006C00C2" w14:paraId="4619E032" w14:textId="77777777" w:rsidTr="00736C07">
        <w:tc>
          <w:tcPr>
            <w:tcW w:w="2122" w:type="dxa"/>
          </w:tcPr>
          <w:p w14:paraId="1E185E44" w14:textId="38210CF1" w:rsidR="002521EA" w:rsidRPr="006C00C2" w:rsidRDefault="00512F4F" w:rsidP="00736C07">
            <w:pPr>
              <w:rPr>
                <w:rFonts w:ascii="Times New Roman" w:hAnsi="Times New Roman" w:cs="Times New Roman"/>
                <w:color w:val="000000" w:themeColor="text1"/>
                <w:sz w:val="24"/>
                <w:lang w:val="en-US"/>
              </w:rPr>
            </w:pPr>
            <w:proofErr w:type="spellStart"/>
            <w:r>
              <w:rPr>
                <w:rFonts w:ascii="Times New Roman" w:hAnsi="Times New Roman" w:cs="Times New Roman"/>
                <w:color w:val="000000" w:themeColor="text1"/>
                <w:sz w:val="24"/>
                <w:lang w:val="en-US"/>
              </w:rPr>
              <w:lastRenderedPageBreak/>
              <w:t>B</w:t>
            </w:r>
            <w:r w:rsidR="00BD3EDE">
              <w:rPr>
                <w:rFonts w:ascii="Times New Roman" w:hAnsi="Times New Roman" w:cs="Times New Roman"/>
                <w:color w:val="000000" w:themeColor="text1"/>
                <w:sz w:val="24"/>
                <w:lang w:val="en-US"/>
              </w:rPr>
              <w:t>asaran</w:t>
            </w:r>
            <w:proofErr w:type="spellEnd"/>
            <w:r w:rsidR="00BD3EDE">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w:t>
            </w:r>
            <w:r w:rsidR="00BD3EDE">
              <w:rPr>
                <w:rFonts w:ascii="Times New Roman" w:hAnsi="Times New Roman" w:cs="Times New Roman"/>
                <w:color w:val="000000" w:themeColor="text1"/>
                <w:sz w:val="24"/>
                <w:lang w:val="en-US"/>
              </w:rPr>
              <w:t>22</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{"citationID":"vUiIVc5q","properties":{"formattedCitation":"\\super 9\\nosupersub{}","plainCitation":"9","noteIndex":0},"citationItems":[{"id":12032,"uris":["http://zotero.org/groups/4538994/items/23DUXEIB"],"uri":["http://zotero.org/groups/4538994/items/23DUXEIB"],"itemData":{"id":12032,"type":"article-journal","abstract":"AIM: The objectives of this study were to estimate the prevalence of constipation, defined as less than three defaecations per week, in Taiwanese adolescents and to examine its association with the intake of vegetables, fruits and fluids; time spent on sedentary behaviour; and time spent on moderate and vigorous physical activity.\nMETHODS: This study used a questionnaire survey. The study participants were 14,626 adolescents in grades 7-12. Physical activity was measured using the International Physical Activity Questionnaire-Youth Show Card Version. Time spent on sedentary activity included studying, reading, sitting in vehicles and screen time. Consumption of fluid, fruits and vegetables was measured by asking participants to describe the average consumption of each type of food in the past 7 days.\nRESULTS: The prevalence of defaecation frequency of &lt; 3 times a week was 9.3%. Multivariate logistic regression analysis showed that female sex (odds ratio (OR) = 2.2), worse health status (OR = 1.3), not being overweight/obese (OR = 0.7 and 0.3 for overweight and obesity), more time spent on sedentary activity (OR = 1.0) and low intake of fluids (&lt; 1.8 L/day; OR = 1.2), fruits (&lt; 1 portion; OR = 1.6), vegetables (&lt; 1 portion or 100 g; OR = 1.4) and whole-grain products (OR = 1.2) were independently associated with increased risk of low defaecation frequency.\nCONCLUSIONS: The prevalence of low defaecation frequency was high in Taiwanese adolescents. Decreasing sedentary behaviour and increasing the intake of fluids, vegetables, fruits and whole-grain products among those adolescents with very low intake levels could be helpful in preventing and managing constipation, irrespective of body size and health status.","container-title":"Journal of Paediatrics and Child Health","DOI":"10.1111/j.1440-1754.2010.01990.x","ISSN":"1440-1754","issue":"6","journalAbbreviation":"J Paediatr Child Health","language":"eng","note":"PMID: 21309885","page":"381-6","source":"PubMed","title":"Low defaecation frequency in Taiwanese adolescents: association with dietary intake, physical activity and sedentary behaviour","title-short":"Low defaecation frequency in Taiwanese adolescents","volume":"47","author":[{"family":"Chien","given":"Li-Yin"},{"family":"Liou","given":"Yiing Mei"},{"family":"Chang","given":"Polun"}],"issued":{"date-parts":[["2011"]]}}}],"schema":"https://github.com/citation-style-language/schema/raw/master/csl-citation.json"}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9</w:t>
            </w:r>
            <w:r w:rsidR="002521EA" w:rsidRPr="006C00C2">
              <w:rPr>
                <w:rFonts w:ascii="Times New Roman" w:hAnsi="Times New Roman" w:cs="Times New Roman"/>
                <w:color w:val="000000" w:themeColor="text1"/>
                <w:sz w:val="24"/>
                <w:lang w:val="en-US"/>
              </w:rPr>
              <w:fldChar w:fldCharType="end"/>
            </w:r>
          </w:p>
        </w:tc>
        <w:tc>
          <w:tcPr>
            <w:tcW w:w="4352" w:type="dxa"/>
          </w:tcPr>
          <w:p w14:paraId="27E52275" w14:textId="35DB576A" w:rsidR="002521EA" w:rsidRPr="006C00C2" w:rsidRDefault="00BD3EDE"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Rotaviral </w:t>
            </w:r>
            <w:proofErr w:type="spellStart"/>
            <w:r>
              <w:rPr>
                <w:rFonts w:ascii="Times New Roman" w:hAnsi="Times New Roman" w:cs="Times New Roman"/>
                <w:color w:val="000000" w:themeColor="text1"/>
                <w:sz w:val="24"/>
              </w:rPr>
              <w:t>d</w:t>
            </w:r>
            <w:r w:rsidR="00512F4F">
              <w:rPr>
                <w:rFonts w:ascii="Times New Roman" w:hAnsi="Times New Roman" w:cs="Times New Roman"/>
                <w:color w:val="000000" w:themeColor="text1"/>
                <w:sz w:val="24"/>
              </w:rPr>
              <w:t>iarrhea</w:t>
            </w:r>
            <w:proofErr w:type="spellEnd"/>
            <w:r w:rsidR="00512F4F">
              <w:rPr>
                <w:rFonts w:ascii="Times New Roman" w:hAnsi="Times New Roman" w:cs="Times New Roman"/>
                <w:color w:val="000000" w:themeColor="text1"/>
                <w:sz w:val="24"/>
              </w:rPr>
              <w:t xml:space="preserve"> was determined clinical</w:t>
            </w:r>
            <w:r w:rsidR="004A2B20">
              <w:rPr>
                <w:rFonts w:ascii="Times New Roman" w:hAnsi="Times New Roman" w:cs="Times New Roman"/>
                <w:color w:val="000000" w:themeColor="text1"/>
                <w:sz w:val="24"/>
              </w:rPr>
              <w:t xml:space="preserve"> and laboratory examination</w:t>
            </w:r>
            <w:r w:rsidR="00512F4F">
              <w:rPr>
                <w:rFonts w:ascii="Times New Roman" w:hAnsi="Times New Roman" w:cs="Times New Roman"/>
                <w:color w:val="000000" w:themeColor="text1"/>
                <w:sz w:val="24"/>
              </w:rPr>
              <w:t xml:space="preserve">, while vitamin D deficiency was determined by laboratory examination. </w:t>
            </w:r>
            <w:r w:rsidR="00512F4F" w:rsidRPr="006C00C2">
              <w:rPr>
                <w:rFonts w:ascii="Times New Roman" w:hAnsi="Times New Roman" w:cs="Times New Roman"/>
                <w:color w:val="000000" w:themeColor="text1"/>
                <w:sz w:val="24"/>
              </w:rPr>
              <w:t>All eligible cases</w:t>
            </w:r>
            <w:r w:rsidR="00512F4F">
              <w:rPr>
                <w:rFonts w:ascii="Times New Roman" w:hAnsi="Times New Roman" w:cs="Times New Roman"/>
                <w:color w:val="000000" w:themeColor="text1"/>
                <w:sz w:val="24"/>
              </w:rPr>
              <w:t xml:space="preserve"> </w:t>
            </w:r>
            <w:r w:rsidR="00512F4F" w:rsidRPr="006C00C2">
              <w:rPr>
                <w:rFonts w:ascii="Times New Roman" w:hAnsi="Times New Roman" w:cs="Times New Roman"/>
                <w:color w:val="000000" w:themeColor="text1"/>
                <w:sz w:val="24"/>
              </w:rPr>
              <w:t xml:space="preserve">are included. Controls were taken from the </w:t>
            </w:r>
            <w:r w:rsidR="004A2B20">
              <w:rPr>
                <w:rFonts w:ascii="Times New Roman" w:hAnsi="Times New Roman" w:cs="Times New Roman"/>
                <w:color w:val="000000" w:themeColor="text1"/>
                <w:sz w:val="24"/>
              </w:rPr>
              <w:t>hospital</w:t>
            </w:r>
            <w:r w:rsidR="00512F4F">
              <w:rPr>
                <w:rFonts w:ascii="Times New Roman" w:hAnsi="Times New Roman" w:cs="Times New Roman"/>
                <w:color w:val="000000" w:themeColor="text1"/>
                <w:sz w:val="24"/>
              </w:rPr>
              <w:t xml:space="preserve"> and had no history of the disease</w:t>
            </w:r>
            <w:r w:rsidR="00512F4F" w:rsidRPr="006C00C2">
              <w:rPr>
                <w:rFonts w:ascii="Times New Roman" w:hAnsi="Times New Roman" w:cs="Times New Roman"/>
                <w:color w:val="000000" w:themeColor="text1"/>
                <w:sz w:val="24"/>
              </w:rPr>
              <w:t xml:space="preserve">. </w:t>
            </w:r>
            <w:r w:rsidR="00512F4F" w:rsidRPr="006C00C2">
              <w:rPr>
                <w:rFonts w:ascii="Times New Roman" w:hAnsi="Times New Roman" w:cs="Times New Roman"/>
                <w:b/>
                <w:bCs/>
                <w:color w:val="000000" w:themeColor="text1"/>
                <w:sz w:val="24"/>
              </w:rPr>
              <w:t>(</w:t>
            </w:r>
            <w:r w:rsidR="004A2B20">
              <w:rPr>
                <w:rFonts w:ascii="Times New Roman" w:hAnsi="Times New Roman" w:cs="Times New Roman"/>
                <w:b/>
                <w:bCs/>
                <w:color w:val="000000" w:themeColor="text1"/>
                <w:sz w:val="24"/>
              </w:rPr>
              <w:t>3</w:t>
            </w:r>
            <w:r w:rsidR="00512F4F" w:rsidRPr="006C00C2">
              <w:rPr>
                <w:rFonts w:ascii="Times New Roman" w:hAnsi="Times New Roman" w:cs="Times New Roman"/>
                <w:b/>
                <w:bCs/>
                <w:color w:val="000000" w:themeColor="text1"/>
                <w:sz w:val="24"/>
              </w:rPr>
              <w:t>/4)</w:t>
            </w:r>
          </w:p>
        </w:tc>
        <w:tc>
          <w:tcPr>
            <w:tcW w:w="3238" w:type="dxa"/>
          </w:tcPr>
          <w:p w14:paraId="1C67AE7C" w14:textId="77777777"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509D8591" w14:textId="5D7EA7AD" w:rsidR="002521EA" w:rsidRPr="006C00C2" w:rsidRDefault="004A2B20"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Cases</w:t>
            </w:r>
            <w:r w:rsidRPr="006C00C2">
              <w:rPr>
                <w:rFonts w:ascii="Times New Roman" w:hAnsi="Times New Roman" w:cs="Times New Roman"/>
                <w:color w:val="000000" w:themeColor="text1"/>
                <w:sz w:val="24"/>
              </w:rPr>
              <w:t xml:space="preserve"> were taken from medical record only. 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373DD1DA" w14:textId="77777777" w:rsidTr="00736C07">
        <w:tc>
          <w:tcPr>
            <w:tcW w:w="2122" w:type="dxa"/>
          </w:tcPr>
          <w:p w14:paraId="69BAB3CE" w14:textId="41044C4B" w:rsidR="002521EA" w:rsidRPr="006C00C2" w:rsidRDefault="00EA0848" w:rsidP="00736C07">
            <w:pPr>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Sudfeld</w:t>
            </w:r>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201</w:t>
            </w:r>
            <w:r>
              <w:rPr>
                <w:rFonts w:ascii="Times New Roman" w:hAnsi="Times New Roman" w:cs="Times New Roman"/>
                <w:color w:val="000000" w:themeColor="text1"/>
                <w:sz w:val="24"/>
                <w:lang w:val="en-US"/>
              </w:rPr>
              <w:t>7</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{"citationID":"GRzsu9PS","properties":{"formattedCitation":"\\super 10\\nosupersub{}","plainCitation":"10","noteIndex":0},"citationItems":[{"id":12034,"uris":["http://zotero.org/groups/4538994/items/XQYWNUNM"],"uri":["http://zotero.org/groups/4538994/items/XQYWNUNM"],"itemData":{"id":12034,"type":"article-journal","abstract":"The association between overweight and gastrointestinal symptoms has been recently studied in the literature; however, few studies have evaluated the association between overweight and constipation in adolescents in a community-based sample. The aim of this study was to analyze the prevalence of constipation and its association with being overweight in a community-based survey with adolescents.","container-title":"BMC Gastroenterology","DOI":"10.1186/1471-230X-11-40","ISSN":"1471-230X","issue":"1","journalAbbreviation":"BMC Gastroenterology","page":"40-4","source":"BioMed Central","title":"Overweight and constipation in adolescents","volume":"11","author":[{"family":"Costa","given":"Mariana L."},{"family":"Oliveira","given":"Julyanne N."},{"family":"Tahan","given":"Soraia"},{"family":"Morais","given":"Mauro B."}],"issued":{"date-parts":[["2011"]]}}}],"schema":"https://github.com/citation-style-language/schema/raw/master/csl-citation.json"}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10</w:t>
            </w:r>
            <w:r w:rsidR="002521EA" w:rsidRPr="006C00C2">
              <w:rPr>
                <w:rFonts w:ascii="Times New Roman" w:hAnsi="Times New Roman" w:cs="Times New Roman"/>
                <w:color w:val="000000" w:themeColor="text1"/>
                <w:sz w:val="24"/>
                <w:lang w:val="en-US"/>
              </w:rPr>
              <w:fldChar w:fldCharType="end"/>
            </w:r>
          </w:p>
        </w:tc>
        <w:tc>
          <w:tcPr>
            <w:tcW w:w="4352" w:type="dxa"/>
          </w:tcPr>
          <w:p w14:paraId="3A90D747" w14:textId="11763DAA" w:rsidR="002521EA" w:rsidRPr="006C00C2" w:rsidRDefault="00D607EE"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Vitamin D deficiency was determined by laboratory examination</w:t>
            </w:r>
            <w:r w:rsidR="002521EA" w:rsidRPr="006C00C2">
              <w:rPr>
                <w:rFonts w:ascii="Times New Roman" w:hAnsi="Times New Roman" w:cs="Times New Roman"/>
                <w:color w:val="000000" w:themeColor="text1"/>
                <w:sz w:val="24"/>
              </w:rPr>
              <w:t xml:space="preserve">. All eligible cases are included. Controls were taken from the </w:t>
            </w:r>
            <w:r w:rsidR="00DA5EDC">
              <w:rPr>
                <w:rFonts w:ascii="Times New Roman" w:hAnsi="Times New Roman" w:cs="Times New Roman"/>
                <w:color w:val="000000" w:themeColor="text1"/>
                <w:sz w:val="24"/>
              </w:rPr>
              <w:t>community</w:t>
            </w:r>
            <w:r w:rsidR="002521EA" w:rsidRPr="006C00C2">
              <w:rPr>
                <w:rFonts w:ascii="Times New Roman" w:hAnsi="Times New Roman" w:cs="Times New Roman"/>
                <w:color w:val="000000" w:themeColor="text1"/>
                <w:sz w:val="24"/>
              </w:rPr>
              <w:t xml:space="preserve"> and demonstrated that the outcome of interest was not present at start of study. </w:t>
            </w:r>
            <w:r w:rsidR="002521EA" w:rsidRPr="006C00C2">
              <w:rPr>
                <w:rFonts w:ascii="Times New Roman" w:hAnsi="Times New Roman" w:cs="Times New Roman"/>
                <w:b/>
                <w:bCs/>
                <w:color w:val="000000" w:themeColor="text1"/>
                <w:sz w:val="24"/>
              </w:rPr>
              <w:t>(</w:t>
            </w:r>
            <w:r w:rsidR="00DA5EDC">
              <w:rPr>
                <w:rFonts w:ascii="Times New Roman" w:hAnsi="Times New Roman" w:cs="Times New Roman"/>
                <w:b/>
                <w:bCs/>
                <w:color w:val="000000" w:themeColor="text1"/>
                <w:sz w:val="24"/>
              </w:rPr>
              <w:t>4</w:t>
            </w:r>
            <w:r w:rsidR="002521EA" w:rsidRPr="006C00C2">
              <w:rPr>
                <w:rFonts w:ascii="Times New Roman" w:hAnsi="Times New Roman" w:cs="Times New Roman"/>
                <w:b/>
                <w:bCs/>
                <w:color w:val="000000" w:themeColor="text1"/>
                <w:sz w:val="24"/>
              </w:rPr>
              <w:t>/4)</w:t>
            </w:r>
          </w:p>
        </w:tc>
        <w:tc>
          <w:tcPr>
            <w:tcW w:w="3238" w:type="dxa"/>
          </w:tcPr>
          <w:p w14:paraId="619F98C8" w14:textId="34FA1FB4" w:rsidR="002521EA" w:rsidRPr="006C00C2" w:rsidRDefault="00DA5EDC"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42B51044" w14:textId="61F8DF5C" w:rsidR="002521EA" w:rsidRPr="006C00C2" w:rsidRDefault="00DA5EDC"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Cases</w:t>
            </w:r>
            <w:r w:rsidRPr="006C00C2">
              <w:rPr>
                <w:rFonts w:ascii="Times New Roman" w:hAnsi="Times New Roman" w:cs="Times New Roman"/>
                <w:color w:val="000000" w:themeColor="text1"/>
                <w:sz w:val="24"/>
              </w:rPr>
              <w:t xml:space="preserve"> were taken from medical record only. 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r w:rsidR="002521EA" w:rsidRPr="006C00C2" w14:paraId="75410A8A" w14:textId="77777777" w:rsidTr="00736C07">
        <w:tc>
          <w:tcPr>
            <w:tcW w:w="2122" w:type="dxa"/>
          </w:tcPr>
          <w:p w14:paraId="59A8672B" w14:textId="746F2168" w:rsidR="002521EA" w:rsidRPr="006C00C2" w:rsidRDefault="00DA5EDC" w:rsidP="00736C07">
            <w:pPr>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Thornton</w:t>
            </w:r>
            <w:r w:rsidR="002521EA" w:rsidRPr="006C00C2">
              <w:rPr>
                <w:rFonts w:ascii="Times New Roman" w:hAnsi="Times New Roman" w:cs="Times New Roman"/>
                <w:color w:val="000000" w:themeColor="text1"/>
                <w:sz w:val="24"/>
                <w:lang w:val="en-US"/>
              </w:rPr>
              <w:t xml:space="preserve"> </w:t>
            </w:r>
            <w:r w:rsidR="002521EA" w:rsidRPr="006C00C2">
              <w:rPr>
                <w:rFonts w:ascii="Times New Roman" w:hAnsi="Times New Roman" w:cs="Times New Roman"/>
                <w:i/>
                <w:iCs/>
                <w:color w:val="000000" w:themeColor="text1"/>
                <w:sz w:val="24"/>
                <w:lang w:val="en-US"/>
              </w:rPr>
              <w:t>et al</w:t>
            </w:r>
            <w:r w:rsidR="002521EA" w:rsidRPr="006C00C2">
              <w:rPr>
                <w:rFonts w:ascii="Times New Roman" w:hAnsi="Times New Roman" w:cs="Times New Roman"/>
                <w:color w:val="000000" w:themeColor="text1"/>
                <w:sz w:val="24"/>
                <w:lang w:val="en-US"/>
              </w:rPr>
              <w:t>., 201</w:t>
            </w:r>
            <w:r>
              <w:rPr>
                <w:rFonts w:ascii="Times New Roman" w:hAnsi="Times New Roman" w:cs="Times New Roman"/>
                <w:color w:val="000000" w:themeColor="text1"/>
                <w:sz w:val="24"/>
                <w:lang w:val="en-US"/>
              </w:rPr>
              <w:t>3</w:t>
            </w:r>
            <w:r w:rsidR="002521EA" w:rsidRPr="006C00C2">
              <w:rPr>
                <w:rFonts w:ascii="Times New Roman" w:hAnsi="Times New Roman" w:cs="Times New Roman"/>
                <w:color w:val="000000" w:themeColor="text1"/>
                <w:sz w:val="24"/>
                <w:lang w:val="en-US"/>
              </w:rPr>
              <w:fldChar w:fldCharType="begin"/>
            </w:r>
            <w:r w:rsidR="002521EA" w:rsidRPr="006C00C2">
              <w:rPr>
                <w:rFonts w:ascii="Times New Roman" w:hAnsi="Times New Roman" w:cs="Times New Roman"/>
                <w:color w:val="000000" w:themeColor="text1"/>
                <w:sz w:val="24"/>
                <w:lang w:val="en-US"/>
              </w:rPr>
              <w:instrText xml:space="preserve"> ADDIN ZOTERO_ITEM CSL_CITATION {"citationID":"7d7PoABz","properties":{"formattedCitation":"\\super 11\\nosupersub{}","plainCitation":"11","noteIndex":0},"citationItems":[{"id":12016,"uris":["http://zotero.org/groups/4538994/items/XFLVGPKK"],"uri":["http://zotero.org/groups/4538994/items/XFLVGPKK"],"itemData":{"id":12016,"type":"article-journal","abstract":"To explore the relationship between increased body mass index (BMI) and constipation in the primarycaresettings.","container-title":"Journal of Digestive Diseases and Hepatology","ISSN":"2574-3511","issue":"2","journalAbbreviation":"J Dig Dis Hepatol","language":"en","note":"publisher: Gavin Publishers","page":"1-4","source":"www.gavinpublishers.com","title":"Overweight and Chronic Constipation in Pediatric Primary Care Setting","volume":"2016","author":[{"family":"Misra","given":"Sudipta"}],"issued":{"date-parts":[["2016"]]}}}],"schema":"https://github.com/citation-style-language/schema/raw/master/csl-citation.json"} </w:instrText>
            </w:r>
            <w:r w:rsidR="002521EA" w:rsidRPr="006C00C2">
              <w:rPr>
                <w:rFonts w:ascii="Times New Roman" w:hAnsi="Times New Roman" w:cs="Times New Roman"/>
                <w:color w:val="000000" w:themeColor="text1"/>
                <w:sz w:val="24"/>
                <w:lang w:val="en-US"/>
              </w:rPr>
              <w:fldChar w:fldCharType="separate"/>
            </w:r>
            <w:r w:rsidR="002521EA" w:rsidRPr="006C00C2">
              <w:rPr>
                <w:rFonts w:ascii="Times New Roman" w:hAnsi="Times New Roman" w:cs="Times New Roman"/>
                <w:color w:val="000000" w:themeColor="text1"/>
                <w:sz w:val="24"/>
                <w:vertAlign w:val="superscript"/>
                <w:lang w:val="en-US"/>
              </w:rPr>
              <w:t>11</w:t>
            </w:r>
            <w:r w:rsidR="002521EA" w:rsidRPr="006C00C2">
              <w:rPr>
                <w:rFonts w:ascii="Times New Roman" w:hAnsi="Times New Roman" w:cs="Times New Roman"/>
                <w:color w:val="000000" w:themeColor="text1"/>
                <w:sz w:val="24"/>
                <w:lang w:val="en-US"/>
              </w:rPr>
              <w:fldChar w:fldCharType="end"/>
            </w:r>
          </w:p>
        </w:tc>
        <w:tc>
          <w:tcPr>
            <w:tcW w:w="4352" w:type="dxa"/>
          </w:tcPr>
          <w:p w14:paraId="2C8AC7B2" w14:textId="7803C47A" w:rsidR="002521EA" w:rsidRPr="006C00C2" w:rsidRDefault="00D43C9B"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Vitamin D deficiency was determined by laboratory examination</w:t>
            </w:r>
            <w:r w:rsidRPr="006C00C2">
              <w:rPr>
                <w:rFonts w:ascii="Times New Roman" w:hAnsi="Times New Roman" w:cs="Times New Roman"/>
                <w:color w:val="000000" w:themeColor="text1"/>
                <w:sz w:val="24"/>
              </w:rPr>
              <w:t xml:space="preserve">. All eligible cases are included. Controls were taken from the </w:t>
            </w:r>
            <w:r>
              <w:rPr>
                <w:rFonts w:ascii="Times New Roman" w:hAnsi="Times New Roman" w:cs="Times New Roman"/>
                <w:color w:val="000000" w:themeColor="text1"/>
                <w:sz w:val="24"/>
              </w:rPr>
              <w:t>community</w:t>
            </w:r>
            <w:r w:rsidRPr="006C00C2">
              <w:rPr>
                <w:rFonts w:ascii="Times New Roman" w:hAnsi="Times New Roman" w:cs="Times New Roman"/>
                <w:color w:val="000000" w:themeColor="text1"/>
                <w:sz w:val="24"/>
              </w:rPr>
              <w:t xml:space="preserve"> and demonstrated that the outcome of interest was not present at start of study.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4</w:t>
            </w:r>
            <w:r w:rsidRPr="006C00C2">
              <w:rPr>
                <w:rFonts w:ascii="Times New Roman" w:hAnsi="Times New Roman" w:cs="Times New Roman"/>
                <w:b/>
                <w:bCs/>
                <w:color w:val="000000" w:themeColor="text1"/>
                <w:sz w:val="24"/>
              </w:rPr>
              <w:t>/4)</w:t>
            </w:r>
          </w:p>
        </w:tc>
        <w:tc>
          <w:tcPr>
            <w:tcW w:w="3238" w:type="dxa"/>
          </w:tcPr>
          <w:p w14:paraId="631BC0CB" w14:textId="77777777" w:rsidR="002521EA" w:rsidRPr="006C00C2" w:rsidRDefault="002521EA" w:rsidP="00736C07">
            <w:pPr>
              <w:rPr>
                <w:rFonts w:ascii="Times New Roman" w:hAnsi="Times New Roman" w:cs="Times New Roman"/>
                <w:color w:val="000000" w:themeColor="text1"/>
                <w:sz w:val="24"/>
              </w:rPr>
            </w:pPr>
            <w:r w:rsidRPr="006C00C2">
              <w:rPr>
                <w:rFonts w:ascii="Times New Roman" w:hAnsi="Times New Roman" w:cs="Times New Roman"/>
                <w:color w:val="000000" w:themeColor="text1"/>
                <w:sz w:val="24"/>
              </w:rPr>
              <w:t xml:space="preserve">This study controls for same age group between case &amp; control groups, and other factors. </w:t>
            </w:r>
            <w:r w:rsidRPr="006C00C2">
              <w:rPr>
                <w:rFonts w:ascii="Times New Roman" w:hAnsi="Times New Roman" w:cs="Times New Roman"/>
                <w:b/>
                <w:bCs/>
                <w:color w:val="000000" w:themeColor="text1"/>
                <w:sz w:val="24"/>
              </w:rPr>
              <w:t>(2/2)</w:t>
            </w:r>
          </w:p>
        </w:tc>
        <w:tc>
          <w:tcPr>
            <w:tcW w:w="3238" w:type="dxa"/>
          </w:tcPr>
          <w:p w14:paraId="3AC01060" w14:textId="7245622A" w:rsidR="002521EA" w:rsidRPr="006C00C2" w:rsidRDefault="00D43C9B" w:rsidP="00736C07">
            <w:pPr>
              <w:rPr>
                <w:rFonts w:ascii="Times New Roman" w:hAnsi="Times New Roman" w:cs="Times New Roman"/>
                <w:color w:val="000000" w:themeColor="text1"/>
                <w:sz w:val="24"/>
              </w:rPr>
            </w:pPr>
            <w:r>
              <w:rPr>
                <w:rFonts w:ascii="Times New Roman" w:hAnsi="Times New Roman" w:cs="Times New Roman"/>
                <w:color w:val="000000" w:themeColor="text1"/>
                <w:sz w:val="24"/>
              </w:rPr>
              <w:t>Cases</w:t>
            </w:r>
            <w:r w:rsidRPr="006C00C2">
              <w:rPr>
                <w:rFonts w:ascii="Times New Roman" w:hAnsi="Times New Roman" w:cs="Times New Roman"/>
                <w:color w:val="000000" w:themeColor="text1"/>
                <w:sz w:val="24"/>
              </w:rPr>
              <w:t xml:space="preserve"> were taken from medical record only. This study used a same method of ascertainment for cases and controls, and same non-response rate for both groups. </w:t>
            </w:r>
            <w:r w:rsidRPr="006C00C2">
              <w:rPr>
                <w:rFonts w:ascii="Times New Roman" w:hAnsi="Times New Roman" w:cs="Times New Roman"/>
                <w:b/>
                <w:bCs/>
                <w:color w:val="000000" w:themeColor="text1"/>
                <w:sz w:val="24"/>
              </w:rPr>
              <w:t>(</w:t>
            </w:r>
            <w:r>
              <w:rPr>
                <w:rFonts w:ascii="Times New Roman" w:hAnsi="Times New Roman" w:cs="Times New Roman"/>
                <w:b/>
                <w:bCs/>
                <w:color w:val="000000" w:themeColor="text1"/>
                <w:sz w:val="24"/>
              </w:rPr>
              <w:t>3</w:t>
            </w:r>
            <w:r w:rsidRPr="006C00C2">
              <w:rPr>
                <w:rFonts w:ascii="Times New Roman" w:hAnsi="Times New Roman" w:cs="Times New Roman"/>
                <w:b/>
                <w:bCs/>
                <w:color w:val="000000" w:themeColor="text1"/>
                <w:sz w:val="24"/>
              </w:rPr>
              <w:t>/3)</w:t>
            </w:r>
          </w:p>
        </w:tc>
      </w:tr>
    </w:tbl>
    <w:p w14:paraId="69CAA182" w14:textId="77777777" w:rsidR="002521EA" w:rsidRPr="006C00C2" w:rsidRDefault="002521EA" w:rsidP="002521EA">
      <w:pPr>
        <w:rPr>
          <w:rFonts w:ascii="Times New Roman" w:hAnsi="Times New Roman" w:cs="Times New Roman"/>
          <w:color w:val="000000" w:themeColor="text1"/>
          <w:sz w:val="24"/>
        </w:rPr>
      </w:pPr>
    </w:p>
    <w:p w14:paraId="512FA8A9" w14:textId="77777777" w:rsidR="00F27231" w:rsidRDefault="00F27231"/>
    <w:sectPr w:rsidR="00F27231" w:rsidSect="00F443E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EA"/>
    <w:rsid w:val="002521EA"/>
    <w:rsid w:val="0027025F"/>
    <w:rsid w:val="00270298"/>
    <w:rsid w:val="00420E24"/>
    <w:rsid w:val="0044454C"/>
    <w:rsid w:val="004A2B20"/>
    <w:rsid w:val="00512F4F"/>
    <w:rsid w:val="007F023D"/>
    <w:rsid w:val="00852026"/>
    <w:rsid w:val="00BD3EDE"/>
    <w:rsid w:val="00C11B51"/>
    <w:rsid w:val="00C3067C"/>
    <w:rsid w:val="00D43C9B"/>
    <w:rsid w:val="00D607EE"/>
    <w:rsid w:val="00D9269B"/>
    <w:rsid w:val="00DA5EDC"/>
    <w:rsid w:val="00DC101F"/>
    <w:rsid w:val="00EA0848"/>
    <w:rsid w:val="00EC4D4A"/>
    <w:rsid w:val="00F27231"/>
    <w:rsid w:val="00F443E7"/>
    <w:rsid w:val="00FE3A0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6E45E2D"/>
  <w15:chartTrackingRefBased/>
  <w15:docId w15:val="{3D80A389-9A8A-774D-A44B-7D863156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1EA"/>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5399</Words>
  <Characters>30775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LAZARUS 2013060125</dc:creator>
  <cp:keywords/>
  <dc:description/>
  <cp:lastModifiedBy>GLEN LAZARUS 2013060125</cp:lastModifiedBy>
  <cp:revision>2</cp:revision>
  <dcterms:created xsi:type="dcterms:W3CDTF">2022-08-31T08:12:00Z</dcterms:created>
  <dcterms:modified xsi:type="dcterms:W3CDTF">2022-09-07T13:12:00Z</dcterms:modified>
</cp:coreProperties>
</file>