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5ABB89" w14:textId="77777777" w:rsidR="00BF53C5" w:rsidRPr="00300E93" w:rsidRDefault="00BF53C5" w:rsidP="00BF53C5">
      <w:pPr>
        <w:spacing w:after="0" w:line="360" w:lineRule="auto"/>
        <w:rPr>
          <w:rFonts w:cstheme="minorHAnsi"/>
          <w:b/>
          <w:iCs/>
          <w:sz w:val="24"/>
          <w:lang w:val="en-US"/>
        </w:rPr>
      </w:pPr>
      <w:r w:rsidRPr="00300E93">
        <w:rPr>
          <w:rFonts w:cstheme="minorHAnsi"/>
          <w:b/>
          <w:iCs/>
          <w:sz w:val="24"/>
          <w:lang w:val="en-US"/>
        </w:rPr>
        <w:t>Pediatrician and parental evaluation of child neurodevelopment at 2 years of age</w:t>
      </w:r>
    </w:p>
    <w:p w14:paraId="02D94A78" w14:textId="202CDE0C" w:rsidR="00EC0C0D" w:rsidRPr="00300E93" w:rsidRDefault="00F7179B" w:rsidP="00EC0C0D">
      <w:pPr>
        <w:spacing w:after="0" w:line="480" w:lineRule="auto"/>
        <w:jc w:val="both"/>
        <w:rPr>
          <w:rFonts w:cstheme="minorHAnsi"/>
          <w:b/>
          <w:sz w:val="24"/>
          <w:lang w:val="en-US"/>
        </w:rPr>
      </w:pPr>
      <w:r w:rsidRPr="00300E93">
        <w:rPr>
          <w:rFonts w:cstheme="minorHAnsi"/>
          <w:b/>
          <w:sz w:val="24"/>
          <w:lang w:val="en-US"/>
        </w:rPr>
        <w:t>Appendix</w:t>
      </w:r>
    </w:p>
    <w:p w14:paraId="650A8CF2" w14:textId="77777777" w:rsidR="00EC0C0D" w:rsidRPr="00300E93" w:rsidRDefault="00BF53C5" w:rsidP="00EC0C0D">
      <w:pPr>
        <w:pStyle w:val="NormaleWeb"/>
        <w:spacing w:after="0" w:afterAutospacing="0" w:line="360" w:lineRule="auto"/>
        <w:rPr>
          <w:rFonts w:asciiTheme="minorHAnsi" w:hAnsiTheme="minorHAnsi" w:cstheme="minorHAnsi"/>
          <w:iCs/>
          <w:sz w:val="22"/>
          <w:szCs w:val="22"/>
          <w:vertAlign w:val="superscript"/>
        </w:rPr>
      </w:pPr>
      <w:r w:rsidRPr="00300E93">
        <w:rPr>
          <w:rFonts w:asciiTheme="minorHAnsi" w:hAnsiTheme="minorHAnsi" w:cstheme="minorHAnsi"/>
          <w:iCs/>
          <w:sz w:val="22"/>
          <w:szCs w:val="22"/>
        </w:rPr>
        <w:t xml:space="preserve">Giulia </w:t>
      </w:r>
      <w:proofErr w:type="spellStart"/>
      <w:r w:rsidRPr="00300E93">
        <w:rPr>
          <w:rFonts w:asciiTheme="minorHAnsi" w:hAnsiTheme="minorHAnsi" w:cstheme="minorHAnsi"/>
          <w:iCs/>
          <w:sz w:val="22"/>
          <w:szCs w:val="22"/>
        </w:rPr>
        <w:t>Segre</w:t>
      </w:r>
      <w:r w:rsidR="00EC0C0D" w:rsidRPr="00300E93">
        <w:rPr>
          <w:rFonts w:asciiTheme="minorHAnsi" w:hAnsiTheme="minorHAnsi" w:cstheme="minorHAnsi"/>
          <w:iCs/>
          <w:szCs w:val="22"/>
          <w:vertAlign w:val="superscript"/>
        </w:rPr>
        <w:t>a</w:t>
      </w:r>
      <w:proofErr w:type="spellEnd"/>
      <w:r w:rsidRPr="00300E93">
        <w:rPr>
          <w:rFonts w:asciiTheme="minorHAnsi" w:hAnsiTheme="minorHAnsi" w:cstheme="minorHAnsi"/>
          <w:iCs/>
          <w:sz w:val="22"/>
          <w:szCs w:val="22"/>
        </w:rPr>
        <w:t xml:space="preserve">, Antonio </w:t>
      </w:r>
      <w:proofErr w:type="spellStart"/>
      <w:r w:rsidRPr="00300E93">
        <w:rPr>
          <w:rFonts w:asciiTheme="minorHAnsi" w:hAnsiTheme="minorHAnsi" w:cstheme="minorHAnsi"/>
          <w:iCs/>
          <w:sz w:val="22"/>
          <w:szCs w:val="22"/>
        </w:rPr>
        <w:t>Clavenna</w:t>
      </w:r>
      <w:proofErr w:type="spellEnd"/>
      <w:r w:rsidR="00EC0C0D" w:rsidRPr="00300E93">
        <w:rPr>
          <w:rFonts w:asciiTheme="minorHAnsi" w:hAnsiTheme="minorHAnsi" w:cstheme="minorHAnsi"/>
          <w:iCs/>
          <w:sz w:val="22"/>
          <w:szCs w:val="22"/>
        </w:rPr>
        <w:t xml:space="preserve"> </w:t>
      </w:r>
      <w:r w:rsidR="00EC0C0D" w:rsidRPr="00300E93">
        <w:rPr>
          <w:rFonts w:asciiTheme="minorHAnsi" w:hAnsiTheme="minorHAnsi" w:cstheme="minorHAnsi"/>
          <w:iCs/>
          <w:szCs w:val="22"/>
          <w:vertAlign w:val="superscript"/>
        </w:rPr>
        <w:t>a</w:t>
      </w:r>
      <w:r w:rsidRPr="00300E93">
        <w:rPr>
          <w:rFonts w:asciiTheme="minorHAnsi" w:hAnsiTheme="minorHAnsi" w:cstheme="minorHAnsi"/>
          <w:iCs/>
          <w:sz w:val="22"/>
          <w:szCs w:val="22"/>
        </w:rPr>
        <w:t>, Elisa Roberti</w:t>
      </w:r>
      <w:r w:rsidR="00EC0C0D" w:rsidRPr="00300E93">
        <w:rPr>
          <w:rFonts w:asciiTheme="minorHAnsi" w:hAnsiTheme="minorHAnsi" w:cstheme="minorHAnsi"/>
          <w:iCs/>
          <w:sz w:val="22"/>
          <w:szCs w:val="22"/>
          <w:vertAlign w:val="superscript"/>
        </w:rPr>
        <w:t xml:space="preserve"> </w:t>
      </w:r>
      <w:r w:rsidR="00EC0C0D" w:rsidRPr="00300E93">
        <w:rPr>
          <w:rFonts w:asciiTheme="minorHAnsi" w:hAnsiTheme="minorHAnsi" w:cstheme="minorHAnsi"/>
          <w:iCs/>
          <w:szCs w:val="22"/>
          <w:vertAlign w:val="superscript"/>
        </w:rPr>
        <w:t>a</w:t>
      </w:r>
      <w:r w:rsidRPr="00300E93">
        <w:rPr>
          <w:rFonts w:asciiTheme="minorHAnsi" w:hAnsiTheme="minorHAnsi" w:cstheme="minorHAnsi"/>
          <w:iCs/>
          <w:sz w:val="22"/>
          <w:szCs w:val="22"/>
        </w:rPr>
        <w:t xml:space="preserve">, Francesca </w:t>
      </w:r>
      <w:proofErr w:type="spellStart"/>
      <w:r w:rsidRPr="00300E93">
        <w:rPr>
          <w:rFonts w:asciiTheme="minorHAnsi" w:hAnsiTheme="minorHAnsi" w:cstheme="minorHAnsi"/>
          <w:iCs/>
          <w:sz w:val="22"/>
          <w:szCs w:val="22"/>
        </w:rPr>
        <w:t>Scarpellini</w:t>
      </w:r>
      <w:proofErr w:type="spellEnd"/>
      <w:r w:rsidR="00EC0C0D" w:rsidRPr="00300E93">
        <w:rPr>
          <w:rFonts w:asciiTheme="minorHAnsi" w:eastAsiaTheme="minorHAnsi" w:hAnsiTheme="minorHAnsi" w:cstheme="minorHAnsi"/>
          <w:iCs/>
          <w:sz w:val="22"/>
          <w:szCs w:val="22"/>
          <w:vertAlign w:val="superscript"/>
          <w:lang w:eastAsia="en-US"/>
        </w:rPr>
        <w:t xml:space="preserve"> </w:t>
      </w:r>
      <w:r w:rsidR="00EC0C0D" w:rsidRPr="00300E93">
        <w:rPr>
          <w:rFonts w:asciiTheme="minorHAnsi" w:hAnsiTheme="minorHAnsi" w:cstheme="minorHAnsi"/>
          <w:iCs/>
          <w:szCs w:val="22"/>
          <w:vertAlign w:val="superscript"/>
        </w:rPr>
        <w:t>a</w:t>
      </w:r>
      <w:r w:rsidR="00EC0C0D" w:rsidRPr="00300E93">
        <w:rPr>
          <w:rFonts w:asciiTheme="minorHAnsi" w:hAnsiTheme="minorHAnsi" w:cstheme="minorHAnsi"/>
          <w:iCs/>
          <w:sz w:val="22"/>
          <w:szCs w:val="22"/>
        </w:rPr>
        <w:t xml:space="preserve">, Massimo </w:t>
      </w:r>
      <w:proofErr w:type="spellStart"/>
      <w:r w:rsidRPr="00300E93">
        <w:rPr>
          <w:rFonts w:asciiTheme="minorHAnsi" w:hAnsiTheme="minorHAnsi" w:cstheme="minorHAnsi"/>
          <w:iCs/>
          <w:sz w:val="22"/>
          <w:szCs w:val="22"/>
        </w:rPr>
        <w:t>Cartabia</w:t>
      </w:r>
      <w:r w:rsidR="00EC0C0D" w:rsidRPr="00300E93">
        <w:rPr>
          <w:rFonts w:asciiTheme="minorHAnsi" w:hAnsiTheme="minorHAnsi" w:cstheme="minorHAnsi"/>
          <w:iCs/>
          <w:szCs w:val="22"/>
          <w:vertAlign w:val="superscript"/>
        </w:rPr>
        <w:t>a</w:t>
      </w:r>
      <w:proofErr w:type="spellEnd"/>
      <w:r w:rsidRPr="00300E93">
        <w:rPr>
          <w:rFonts w:asciiTheme="minorHAnsi" w:hAnsiTheme="minorHAnsi" w:cstheme="minorHAnsi"/>
          <w:iCs/>
          <w:sz w:val="22"/>
          <w:szCs w:val="22"/>
        </w:rPr>
        <w:t xml:space="preserve">, Chiara </w:t>
      </w:r>
      <w:proofErr w:type="spellStart"/>
      <w:r w:rsidRPr="00300E93">
        <w:rPr>
          <w:rFonts w:asciiTheme="minorHAnsi" w:hAnsiTheme="minorHAnsi" w:cstheme="minorHAnsi"/>
          <w:iCs/>
          <w:sz w:val="22"/>
          <w:szCs w:val="22"/>
        </w:rPr>
        <w:t>Pandolfini</w:t>
      </w:r>
      <w:r w:rsidR="00EC0C0D" w:rsidRPr="00300E93">
        <w:rPr>
          <w:rFonts w:asciiTheme="minorHAnsi" w:hAnsiTheme="minorHAnsi" w:cstheme="minorHAnsi"/>
          <w:iCs/>
          <w:szCs w:val="22"/>
          <w:vertAlign w:val="superscript"/>
        </w:rPr>
        <w:t>a</w:t>
      </w:r>
      <w:proofErr w:type="spellEnd"/>
      <w:r w:rsidRPr="00300E93">
        <w:rPr>
          <w:rFonts w:asciiTheme="minorHAnsi" w:hAnsiTheme="minorHAnsi" w:cstheme="minorHAnsi"/>
          <w:iCs/>
          <w:sz w:val="22"/>
          <w:szCs w:val="22"/>
        </w:rPr>
        <w:t xml:space="preserve">, Valeria </w:t>
      </w:r>
      <w:proofErr w:type="spellStart"/>
      <w:r w:rsidRPr="00300E93">
        <w:rPr>
          <w:rFonts w:asciiTheme="minorHAnsi" w:hAnsiTheme="minorHAnsi" w:cstheme="minorHAnsi"/>
          <w:iCs/>
          <w:sz w:val="22"/>
          <w:szCs w:val="22"/>
        </w:rPr>
        <w:t>Tessarollo</w:t>
      </w:r>
      <w:r w:rsidR="00EC0C0D" w:rsidRPr="00300E93">
        <w:rPr>
          <w:rFonts w:asciiTheme="minorHAnsi" w:hAnsiTheme="minorHAnsi" w:cstheme="minorHAnsi"/>
          <w:iCs/>
          <w:szCs w:val="22"/>
          <w:vertAlign w:val="superscript"/>
        </w:rPr>
        <w:t>b</w:t>
      </w:r>
      <w:proofErr w:type="spellEnd"/>
      <w:r w:rsidRPr="00300E93">
        <w:rPr>
          <w:rFonts w:asciiTheme="minorHAnsi" w:hAnsiTheme="minorHAnsi" w:cstheme="minorHAnsi"/>
          <w:iCs/>
          <w:sz w:val="22"/>
          <w:szCs w:val="22"/>
        </w:rPr>
        <w:t xml:space="preserve">, Ilaria </w:t>
      </w:r>
      <w:proofErr w:type="spellStart"/>
      <w:r w:rsidRPr="00300E93">
        <w:rPr>
          <w:rFonts w:asciiTheme="minorHAnsi" w:hAnsiTheme="minorHAnsi" w:cstheme="minorHAnsi"/>
          <w:iCs/>
          <w:sz w:val="22"/>
          <w:szCs w:val="22"/>
        </w:rPr>
        <w:t>Costantino</w:t>
      </w:r>
      <w:r w:rsidR="00EC0C0D" w:rsidRPr="00300E93">
        <w:rPr>
          <w:rFonts w:asciiTheme="minorHAnsi" w:hAnsiTheme="minorHAnsi" w:cstheme="minorHAnsi"/>
          <w:iCs/>
          <w:szCs w:val="22"/>
          <w:vertAlign w:val="superscript"/>
        </w:rPr>
        <w:t>b</w:t>
      </w:r>
      <w:proofErr w:type="spellEnd"/>
      <w:r w:rsidRPr="00300E93">
        <w:rPr>
          <w:rFonts w:asciiTheme="minorHAnsi" w:hAnsiTheme="minorHAnsi" w:cstheme="minorHAnsi"/>
          <w:iCs/>
          <w:szCs w:val="22"/>
        </w:rPr>
        <w:t xml:space="preserve"> </w:t>
      </w:r>
      <w:r w:rsidRPr="00300E93">
        <w:rPr>
          <w:rFonts w:asciiTheme="minorHAnsi" w:hAnsiTheme="minorHAnsi" w:cstheme="minorHAnsi"/>
          <w:iCs/>
          <w:sz w:val="22"/>
          <w:szCs w:val="22"/>
        </w:rPr>
        <w:t xml:space="preserve">and Maurizio </w:t>
      </w:r>
      <w:proofErr w:type="spellStart"/>
      <w:r w:rsidRPr="00300E93">
        <w:rPr>
          <w:rFonts w:asciiTheme="minorHAnsi" w:hAnsiTheme="minorHAnsi" w:cstheme="minorHAnsi"/>
          <w:iCs/>
          <w:sz w:val="22"/>
          <w:szCs w:val="22"/>
        </w:rPr>
        <w:t>Bonati</w:t>
      </w:r>
      <w:r w:rsidR="00EC0C0D" w:rsidRPr="00300E93">
        <w:rPr>
          <w:rFonts w:asciiTheme="minorHAnsi" w:hAnsiTheme="minorHAnsi" w:cstheme="minorHAnsi"/>
          <w:iCs/>
          <w:szCs w:val="22"/>
          <w:vertAlign w:val="superscript"/>
        </w:rPr>
        <w:t>a</w:t>
      </w:r>
      <w:proofErr w:type="spellEnd"/>
      <w:r w:rsidRPr="00300E93">
        <w:rPr>
          <w:rFonts w:asciiTheme="minorHAnsi" w:hAnsiTheme="minorHAnsi" w:cstheme="minorHAnsi"/>
          <w:iCs/>
          <w:szCs w:val="22"/>
          <w:vertAlign w:val="superscript"/>
        </w:rPr>
        <w:t>*</w:t>
      </w:r>
    </w:p>
    <w:p w14:paraId="60CE1853" w14:textId="77777777" w:rsidR="00EC0C0D" w:rsidRPr="00300E93" w:rsidRDefault="00EC0C0D" w:rsidP="00EC0C0D">
      <w:pPr>
        <w:spacing w:after="0" w:line="360" w:lineRule="auto"/>
        <w:rPr>
          <w:rFonts w:cstheme="minorHAnsi"/>
          <w:b/>
          <w:iCs/>
        </w:rPr>
      </w:pPr>
    </w:p>
    <w:p w14:paraId="5D881506" w14:textId="77777777" w:rsidR="00EC0C0D" w:rsidRPr="00300E93" w:rsidRDefault="00EC0C0D" w:rsidP="00EC0C0D">
      <w:pPr>
        <w:spacing w:after="0" w:line="360" w:lineRule="auto"/>
        <w:rPr>
          <w:rFonts w:cstheme="minorHAnsi"/>
          <w:iCs/>
          <w:lang w:val="en-US"/>
        </w:rPr>
      </w:pPr>
      <w:r w:rsidRPr="00300E93">
        <w:rPr>
          <w:rFonts w:cstheme="minorHAnsi"/>
          <w:b/>
          <w:iCs/>
          <w:lang w:val="en-US"/>
        </w:rPr>
        <w:t>Affiliations:</w:t>
      </w:r>
      <w:r w:rsidRPr="00300E93">
        <w:rPr>
          <w:rFonts w:cstheme="minorHAnsi"/>
          <w:iCs/>
          <w:lang w:val="en-US"/>
        </w:rPr>
        <w:t xml:space="preserve"> </w:t>
      </w:r>
      <w:r w:rsidRPr="00300E93">
        <w:rPr>
          <w:rFonts w:cstheme="minorHAnsi"/>
          <w:iCs/>
          <w:sz w:val="24"/>
          <w:vertAlign w:val="superscript"/>
          <w:lang w:val="en-US"/>
        </w:rPr>
        <w:t>a</w:t>
      </w:r>
      <w:r w:rsidRPr="00300E93">
        <w:rPr>
          <w:rFonts w:cstheme="minorHAnsi"/>
          <w:iCs/>
          <w:lang w:val="en-US"/>
        </w:rPr>
        <w:t xml:space="preserve"> Laboratory of Epidemiology of Developing Age, Department of Medical Epidemiology, </w:t>
      </w:r>
      <w:proofErr w:type="spellStart"/>
      <w:r w:rsidRPr="00300E93">
        <w:rPr>
          <w:rFonts w:cstheme="minorHAnsi"/>
          <w:iCs/>
          <w:lang w:val="en-US"/>
        </w:rPr>
        <w:t>Istituto</w:t>
      </w:r>
      <w:proofErr w:type="spellEnd"/>
      <w:r w:rsidRPr="00300E93">
        <w:rPr>
          <w:rFonts w:cstheme="minorHAnsi"/>
          <w:iCs/>
          <w:lang w:val="en-US"/>
        </w:rPr>
        <w:t xml:space="preserve"> di </w:t>
      </w:r>
      <w:proofErr w:type="spellStart"/>
      <w:r w:rsidRPr="00300E93">
        <w:rPr>
          <w:rFonts w:cstheme="minorHAnsi"/>
          <w:iCs/>
          <w:lang w:val="en-US"/>
        </w:rPr>
        <w:t>Ricerche</w:t>
      </w:r>
      <w:proofErr w:type="spellEnd"/>
      <w:r w:rsidRPr="00300E93">
        <w:rPr>
          <w:rFonts w:cstheme="minorHAnsi"/>
          <w:iCs/>
          <w:lang w:val="en-US"/>
        </w:rPr>
        <w:t xml:space="preserve"> </w:t>
      </w:r>
      <w:proofErr w:type="spellStart"/>
      <w:r w:rsidRPr="00300E93">
        <w:rPr>
          <w:rFonts w:cstheme="minorHAnsi"/>
          <w:iCs/>
          <w:lang w:val="en-US"/>
        </w:rPr>
        <w:t>Farmacologiche</w:t>
      </w:r>
      <w:proofErr w:type="spellEnd"/>
      <w:r w:rsidRPr="00300E93">
        <w:rPr>
          <w:rFonts w:cstheme="minorHAnsi"/>
          <w:iCs/>
          <w:lang w:val="en-US"/>
        </w:rPr>
        <w:t xml:space="preserve"> Mario Negri IRCCS, Milan, Italy and </w:t>
      </w:r>
      <w:r w:rsidRPr="00300E93">
        <w:rPr>
          <w:rFonts w:cstheme="minorHAnsi"/>
          <w:iCs/>
          <w:sz w:val="24"/>
          <w:vertAlign w:val="superscript"/>
          <w:lang w:val="en-US"/>
        </w:rPr>
        <w:t>b</w:t>
      </w:r>
      <w:r w:rsidRPr="00300E93">
        <w:rPr>
          <w:rFonts w:cstheme="minorHAnsi"/>
          <w:iCs/>
          <w:vertAlign w:val="superscript"/>
          <w:lang w:val="en-US"/>
        </w:rPr>
        <w:t xml:space="preserve"> </w:t>
      </w:r>
      <w:r w:rsidRPr="00300E93">
        <w:rPr>
          <w:rFonts w:cstheme="minorHAnsi"/>
          <w:iCs/>
          <w:lang w:val="en-US"/>
        </w:rPr>
        <w:t xml:space="preserve">Child Neuropsychiatry Unit, Department of Health Sciences, ASST Santi Paolo e Carlo, San Paolo Hospital, </w:t>
      </w:r>
      <w:proofErr w:type="spellStart"/>
      <w:r w:rsidRPr="00300E93">
        <w:rPr>
          <w:rFonts w:cstheme="minorHAnsi"/>
          <w:iCs/>
          <w:lang w:val="en-US"/>
        </w:rPr>
        <w:t>Università</w:t>
      </w:r>
      <w:proofErr w:type="spellEnd"/>
      <w:r w:rsidRPr="00300E93">
        <w:rPr>
          <w:rFonts w:cstheme="minorHAnsi"/>
          <w:iCs/>
          <w:lang w:val="en-US"/>
        </w:rPr>
        <w:t xml:space="preserve"> </w:t>
      </w:r>
      <w:proofErr w:type="spellStart"/>
      <w:r w:rsidRPr="00300E93">
        <w:rPr>
          <w:rFonts w:cstheme="minorHAnsi"/>
          <w:iCs/>
          <w:lang w:val="en-US"/>
        </w:rPr>
        <w:t>degli</w:t>
      </w:r>
      <w:proofErr w:type="spellEnd"/>
      <w:r w:rsidRPr="00300E93">
        <w:rPr>
          <w:rFonts w:cstheme="minorHAnsi"/>
          <w:iCs/>
          <w:lang w:val="en-US"/>
        </w:rPr>
        <w:t xml:space="preserve"> </w:t>
      </w:r>
      <w:proofErr w:type="spellStart"/>
      <w:r w:rsidRPr="00300E93">
        <w:rPr>
          <w:rFonts w:cstheme="minorHAnsi"/>
          <w:iCs/>
          <w:lang w:val="en-US"/>
        </w:rPr>
        <w:t>Studi</w:t>
      </w:r>
      <w:proofErr w:type="spellEnd"/>
      <w:r w:rsidRPr="00300E93">
        <w:rPr>
          <w:rFonts w:cstheme="minorHAnsi"/>
          <w:iCs/>
          <w:lang w:val="en-US"/>
        </w:rPr>
        <w:t xml:space="preserve"> di Milano, Milan, Italy</w:t>
      </w:r>
    </w:p>
    <w:p w14:paraId="489B5E19" w14:textId="77777777" w:rsidR="00EC0C0D" w:rsidRPr="00300E93" w:rsidRDefault="00EC0C0D" w:rsidP="00EC0C0D">
      <w:pPr>
        <w:spacing w:after="0" w:line="360" w:lineRule="auto"/>
        <w:rPr>
          <w:rFonts w:cstheme="minorHAnsi"/>
          <w:iCs/>
          <w:lang w:val="en-US"/>
        </w:rPr>
      </w:pPr>
    </w:p>
    <w:p w14:paraId="0B75B389" w14:textId="77777777" w:rsidR="00EC0C0D" w:rsidRPr="00300E93" w:rsidRDefault="00BF53C5" w:rsidP="00EC0C0D">
      <w:pPr>
        <w:spacing w:after="0" w:line="360" w:lineRule="auto"/>
        <w:rPr>
          <w:rFonts w:cstheme="minorHAnsi"/>
          <w:bCs/>
          <w:iCs/>
        </w:rPr>
      </w:pPr>
      <w:r w:rsidRPr="00300E93">
        <w:rPr>
          <w:rFonts w:cstheme="minorHAnsi"/>
          <w:b/>
          <w:bCs/>
          <w:color w:val="000000"/>
          <w:sz w:val="24"/>
          <w:vertAlign w:val="superscript"/>
          <w:lang w:val="en-US"/>
        </w:rPr>
        <w:t>*</w:t>
      </w:r>
      <w:r w:rsidR="00EC0C0D" w:rsidRPr="00300E93">
        <w:rPr>
          <w:rFonts w:cstheme="minorHAnsi"/>
          <w:b/>
          <w:bCs/>
          <w:color w:val="000000"/>
          <w:lang w:val="en-US"/>
        </w:rPr>
        <w:t>Address correspondence to</w:t>
      </w:r>
      <w:r w:rsidR="00EC0C0D" w:rsidRPr="00300E93">
        <w:rPr>
          <w:rFonts w:cstheme="minorHAnsi"/>
          <w:b/>
          <w:bCs/>
          <w:iCs/>
          <w:lang w:val="en-US"/>
        </w:rPr>
        <w:t xml:space="preserve">: </w:t>
      </w:r>
      <w:r w:rsidR="00EC0C0D" w:rsidRPr="00300E93">
        <w:rPr>
          <w:rFonts w:cstheme="minorHAnsi"/>
          <w:bCs/>
          <w:iCs/>
          <w:lang w:val="en-US"/>
        </w:rPr>
        <w:t xml:space="preserve">Maurizio </w:t>
      </w:r>
      <w:proofErr w:type="spellStart"/>
      <w:r w:rsidR="00EC0C0D" w:rsidRPr="00300E93">
        <w:rPr>
          <w:rFonts w:cstheme="minorHAnsi"/>
          <w:bCs/>
          <w:iCs/>
          <w:lang w:val="en-US"/>
        </w:rPr>
        <w:t>Bonati</w:t>
      </w:r>
      <w:proofErr w:type="spellEnd"/>
      <w:r w:rsidR="00EC0C0D" w:rsidRPr="00300E93">
        <w:rPr>
          <w:rFonts w:cstheme="minorHAnsi"/>
          <w:bCs/>
          <w:iCs/>
          <w:lang w:val="en-US"/>
        </w:rPr>
        <w:t xml:space="preserve">, </w:t>
      </w:r>
      <w:r w:rsidRPr="00300E93">
        <w:rPr>
          <w:rFonts w:cstheme="minorHAnsi"/>
          <w:iCs/>
          <w:lang w:val="en-US"/>
        </w:rPr>
        <w:t>Laboratory of Epidemiology of Developing Age, Department of Medical Epidemiology</w:t>
      </w:r>
      <w:r w:rsidR="00EC0C0D" w:rsidRPr="00300E93">
        <w:rPr>
          <w:rFonts w:cstheme="minorHAnsi"/>
          <w:bCs/>
          <w:iCs/>
          <w:lang w:val="en-US"/>
        </w:rPr>
        <w:t xml:space="preserve">, </w:t>
      </w:r>
      <w:proofErr w:type="spellStart"/>
      <w:r w:rsidR="00EC0C0D" w:rsidRPr="00300E93">
        <w:rPr>
          <w:rFonts w:cstheme="minorHAnsi"/>
          <w:bCs/>
          <w:iCs/>
          <w:lang w:val="en-US"/>
        </w:rPr>
        <w:t>Istituto</w:t>
      </w:r>
      <w:proofErr w:type="spellEnd"/>
      <w:r w:rsidR="00EC0C0D" w:rsidRPr="00300E93">
        <w:rPr>
          <w:rFonts w:cstheme="minorHAnsi"/>
          <w:bCs/>
          <w:iCs/>
          <w:lang w:val="en-US"/>
        </w:rPr>
        <w:t xml:space="preserve"> di </w:t>
      </w:r>
      <w:proofErr w:type="spellStart"/>
      <w:r w:rsidR="00EC0C0D" w:rsidRPr="00300E93">
        <w:rPr>
          <w:rFonts w:cstheme="minorHAnsi"/>
          <w:bCs/>
          <w:iCs/>
          <w:lang w:val="en-US"/>
        </w:rPr>
        <w:t>Ricerche</w:t>
      </w:r>
      <w:proofErr w:type="spellEnd"/>
      <w:r w:rsidR="00EC0C0D" w:rsidRPr="00300E93">
        <w:rPr>
          <w:rFonts w:cstheme="minorHAnsi"/>
          <w:bCs/>
          <w:iCs/>
          <w:lang w:val="en-US"/>
        </w:rPr>
        <w:t xml:space="preserve"> </w:t>
      </w:r>
      <w:proofErr w:type="spellStart"/>
      <w:r w:rsidR="00EC0C0D" w:rsidRPr="00300E93">
        <w:rPr>
          <w:rFonts w:cstheme="minorHAnsi"/>
          <w:bCs/>
          <w:iCs/>
          <w:lang w:val="en-US"/>
        </w:rPr>
        <w:t>Farmacologiche</w:t>
      </w:r>
      <w:proofErr w:type="spellEnd"/>
      <w:r w:rsidR="00EC0C0D" w:rsidRPr="00300E93">
        <w:rPr>
          <w:rFonts w:cstheme="minorHAnsi"/>
          <w:bCs/>
          <w:iCs/>
          <w:lang w:val="en-US"/>
        </w:rPr>
        <w:t xml:space="preserve"> Mario Negri IRCCS. </w:t>
      </w:r>
      <w:r w:rsidR="00EC0C0D" w:rsidRPr="00300E93">
        <w:rPr>
          <w:rFonts w:cstheme="minorHAnsi"/>
          <w:bCs/>
          <w:iCs/>
        </w:rPr>
        <w:t>Via Mario Negri 2, 20156, Milan (</w:t>
      </w:r>
      <w:proofErr w:type="spellStart"/>
      <w:r w:rsidR="00EC0C0D" w:rsidRPr="00300E93">
        <w:rPr>
          <w:rFonts w:cstheme="minorHAnsi"/>
          <w:bCs/>
          <w:iCs/>
        </w:rPr>
        <w:t>Italy</w:t>
      </w:r>
      <w:proofErr w:type="spellEnd"/>
      <w:r w:rsidR="00EC0C0D" w:rsidRPr="00300E93">
        <w:rPr>
          <w:rFonts w:cstheme="minorHAnsi"/>
          <w:bCs/>
          <w:iCs/>
        </w:rPr>
        <w:t xml:space="preserve">). </w:t>
      </w:r>
      <w:hyperlink r:id="rId7" w:history="1">
        <w:r w:rsidR="00EC0C0D" w:rsidRPr="00300E93">
          <w:rPr>
            <w:rFonts w:cstheme="minorHAnsi"/>
            <w:bCs/>
            <w:iCs/>
          </w:rPr>
          <w:t>maurizio.bonati@marionegri.it</w:t>
        </w:r>
      </w:hyperlink>
      <w:r w:rsidR="00EC0C0D" w:rsidRPr="00300E93">
        <w:rPr>
          <w:rFonts w:cstheme="minorHAnsi"/>
          <w:bCs/>
          <w:iCs/>
        </w:rPr>
        <w:t>. Phone: 0039 02 390141.</w:t>
      </w:r>
    </w:p>
    <w:p w14:paraId="3D754910" w14:textId="77777777" w:rsidR="00EC0C0D" w:rsidRPr="00300E93" w:rsidRDefault="00EC0C0D" w:rsidP="00EC0C0D">
      <w:pPr>
        <w:spacing w:after="0" w:line="480" w:lineRule="auto"/>
        <w:jc w:val="both"/>
        <w:rPr>
          <w:rFonts w:cstheme="minorHAnsi"/>
          <w:i/>
          <w:u w:val="single"/>
        </w:rPr>
      </w:pPr>
    </w:p>
    <w:p w14:paraId="5780D0CA" w14:textId="77777777" w:rsidR="00EC0C0D" w:rsidRPr="00300E93" w:rsidRDefault="00EC0C0D" w:rsidP="00EC0C0D">
      <w:pPr>
        <w:spacing w:after="0" w:line="480" w:lineRule="auto"/>
        <w:jc w:val="both"/>
        <w:rPr>
          <w:rFonts w:cstheme="minorHAnsi"/>
          <w:b/>
          <w:i/>
          <w:u w:val="single"/>
          <w:lang w:val="en-US"/>
        </w:rPr>
      </w:pPr>
      <w:r w:rsidRPr="00300E93">
        <w:rPr>
          <w:rFonts w:cstheme="minorHAnsi"/>
          <w:b/>
          <w:i/>
          <w:u w:val="single"/>
          <w:lang w:val="en-US"/>
        </w:rPr>
        <w:t>APPENDIX 1</w:t>
      </w:r>
    </w:p>
    <w:p w14:paraId="03D6B765" w14:textId="77777777" w:rsidR="00EC0C0D" w:rsidRPr="00300E93" w:rsidRDefault="00EC0C0D" w:rsidP="00EC0C0D">
      <w:pPr>
        <w:spacing w:after="0" w:line="480" w:lineRule="auto"/>
        <w:jc w:val="both"/>
        <w:rPr>
          <w:rFonts w:cstheme="minorHAnsi"/>
          <w:i/>
          <w:iCs/>
          <w:u w:val="single"/>
          <w:lang w:val="en-US"/>
        </w:rPr>
      </w:pPr>
      <w:r w:rsidRPr="00300E93">
        <w:rPr>
          <w:rFonts w:cstheme="minorHAnsi"/>
          <w:i/>
          <w:iCs/>
          <w:u w:val="single"/>
          <w:lang w:val="en-US"/>
        </w:rPr>
        <w:t>FPs assessment:</w:t>
      </w:r>
    </w:p>
    <w:p w14:paraId="5F464148" w14:textId="08375E93" w:rsidR="00EC0C0D" w:rsidRPr="00300E93" w:rsidRDefault="00EC0C0D" w:rsidP="00EC0C0D">
      <w:pPr>
        <w:spacing w:after="0" w:line="480" w:lineRule="auto"/>
        <w:jc w:val="both"/>
        <w:rPr>
          <w:rFonts w:cstheme="minorHAnsi"/>
          <w:iCs/>
          <w:u w:val="single"/>
          <w:lang w:val="en-US"/>
        </w:rPr>
      </w:pPr>
      <w:r w:rsidRPr="00300E93">
        <w:rPr>
          <w:rFonts w:cstheme="minorHAnsi"/>
          <w:iCs/>
          <w:lang w:val="en-US"/>
        </w:rPr>
        <w:t>The CDC assesses the child's language, cognitive/adaptive, motor, and social-emotional skills development (CDC- Developmental Milestones 2019, Bright Future 2020)</w:t>
      </w:r>
      <w:proofErr w:type="gramStart"/>
      <w:r w:rsidRPr="00300E93">
        <w:rPr>
          <w:rFonts w:cstheme="minorHAnsi"/>
          <w:iCs/>
          <w:lang w:val="en-US"/>
        </w:rPr>
        <w:t>.</w:t>
      </w:r>
      <w:r w:rsidRPr="00300E93">
        <w:rPr>
          <w:rFonts w:ascii="Calibri" w:hAnsi="Calibri" w:cs="Calibri"/>
          <w:lang w:val="en-US"/>
        </w:rPr>
        <w:t>[</w:t>
      </w:r>
      <w:proofErr w:type="gramEnd"/>
      <w:r w:rsidRPr="00300E93">
        <w:rPr>
          <w:rFonts w:ascii="Calibri" w:hAnsi="Calibri" w:cs="Calibri"/>
          <w:lang w:val="en-US"/>
        </w:rPr>
        <w:t>1]</w:t>
      </w:r>
      <w:r w:rsidRPr="00300E93">
        <w:rPr>
          <w:rFonts w:cstheme="minorHAnsi"/>
          <w:iCs/>
          <w:lang w:val="en-US"/>
        </w:rPr>
        <w:t xml:space="preserve"> This checklist is an evidence-informed developmental surveillance tool to identify early children with developmental delays and disabilities. The original CDC was translated from English into Italian. A back-translation was then performed by bilingual specialists who had never seen the original CDC. Three developmental and behavioral pediatricians then </w:t>
      </w:r>
      <w:proofErr w:type="gramStart"/>
      <w:r w:rsidRPr="00300E93">
        <w:rPr>
          <w:rFonts w:cstheme="minorHAnsi"/>
          <w:iCs/>
          <w:lang w:val="en-US"/>
        </w:rPr>
        <w:t>examined</w:t>
      </w:r>
      <w:proofErr w:type="gramEnd"/>
      <w:r w:rsidRPr="00300E93">
        <w:rPr>
          <w:rFonts w:cstheme="minorHAnsi"/>
          <w:iCs/>
          <w:lang w:val="en-US"/>
        </w:rPr>
        <w:t xml:space="preserve"> the Italian version. The back-translated versions were then compared with the original English version to assess the accuracy and resolve any discrepancies, as recommended by Jones, Lee, and Phillips (2001).</w:t>
      </w:r>
      <w:r w:rsidRPr="00300E93" w:rsidDel="00914F91">
        <w:rPr>
          <w:rFonts w:cstheme="minorHAnsi"/>
          <w:iCs/>
          <w:lang w:val="en-US"/>
        </w:rPr>
        <w:t xml:space="preserve"> </w:t>
      </w:r>
      <w:r w:rsidRPr="00300E93">
        <w:rPr>
          <w:rFonts w:ascii="Calibri" w:hAnsi="Calibri" w:cs="Calibri"/>
          <w:lang w:val="en-US"/>
        </w:rPr>
        <w:t>[2]</w:t>
      </w:r>
    </w:p>
    <w:p w14:paraId="25434BB6" w14:textId="77777777" w:rsidR="00EC0C0D" w:rsidRPr="00300E93" w:rsidRDefault="00EC0C0D" w:rsidP="00EC0C0D">
      <w:pPr>
        <w:spacing w:after="0" w:line="480" w:lineRule="auto"/>
        <w:jc w:val="both"/>
        <w:rPr>
          <w:rFonts w:cstheme="minorHAnsi"/>
          <w:iCs/>
          <w:lang w:val="en-US"/>
        </w:rPr>
      </w:pPr>
      <w:r w:rsidRPr="00300E93">
        <w:rPr>
          <w:rFonts w:cstheme="minorHAnsi"/>
          <w:iCs/>
          <w:lang w:val="en-US"/>
        </w:rPr>
        <w:t xml:space="preserve">To follow the </w:t>
      </w:r>
      <w:proofErr w:type="spellStart"/>
      <w:r w:rsidRPr="00300E93">
        <w:rPr>
          <w:rFonts w:cstheme="minorHAnsi"/>
          <w:iCs/>
          <w:lang w:val="en-US"/>
        </w:rPr>
        <w:t>Istituto</w:t>
      </w:r>
      <w:proofErr w:type="spellEnd"/>
      <w:r w:rsidRPr="00300E93">
        <w:rPr>
          <w:rFonts w:cstheme="minorHAnsi"/>
          <w:iCs/>
          <w:lang w:val="en-US"/>
        </w:rPr>
        <w:t xml:space="preserve"> </w:t>
      </w:r>
      <w:proofErr w:type="spellStart"/>
      <w:r w:rsidRPr="00300E93">
        <w:rPr>
          <w:rFonts w:cstheme="minorHAnsi"/>
          <w:iCs/>
          <w:lang w:val="en-US"/>
        </w:rPr>
        <w:t>Superiore</w:t>
      </w:r>
      <w:proofErr w:type="spellEnd"/>
      <w:r w:rsidRPr="00300E93">
        <w:rPr>
          <w:rFonts w:cstheme="minorHAnsi"/>
          <w:iCs/>
          <w:lang w:val="en-US"/>
        </w:rPr>
        <w:t xml:space="preserve"> di </w:t>
      </w:r>
      <w:proofErr w:type="spellStart"/>
      <w:r w:rsidRPr="00300E93">
        <w:rPr>
          <w:rFonts w:cstheme="minorHAnsi"/>
          <w:iCs/>
          <w:lang w:val="en-US"/>
        </w:rPr>
        <w:t>Sanità</w:t>
      </w:r>
      <w:proofErr w:type="spellEnd"/>
      <w:r w:rsidRPr="00300E93">
        <w:rPr>
          <w:rFonts w:cstheme="minorHAnsi"/>
          <w:iCs/>
          <w:lang w:val="en-US"/>
        </w:rPr>
        <w:t xml:space="preserve"> (Italian National Institute of Health – ISS) recommendations, four questions (included in the 18-24 months checklist) were added to the CDC checklist:  1) the child walks alone, kicks the ball or other object; 2) the child gets off the ground without support; 3) the child holds a pencil or a stick and scribbles on paper or the ground/floor; 4)  when the child is denied something and/or has reactions of frustration, he can usually be calmed down quickly.</w:t>
      </w:r>
      <w:r w:rsidRPr="00300E93">
        <w:rPr>
          <w:rFonts w:cstheme="minorHAnsi"/>
          <w:bCs/>
          <w:iCs/>
          <w:lang w:val="en-US"/>
        </w:rPr>
        <w:t xml:space="preserve"> Moreover, two additional questions on the </w:t>
      </w:r>
      <w:r w:rsidRPr="00300E93">
        <w:rPr>
          <w:rFonts w:cstheme="minorHAnsi"/>
          <w:bCs/>
          <w:iCs/>
          <w:lang w:val="en-US"/>
        </w:rPr>
        <w:lastRenderedPageBreak/>
        <w:t>child's development were included: the first one investigated the loss of competencies compared to the previous assessment, while the second one was related to the detection of hyperactivity signs by the FP.</w:t>
      </w:r>
    </w:p>
    <w:p w14:paraId="21BC55D1" w14:textId="77777777" w:rsidR="00EC0C0D" w:rsidRPr="00300E93" w:rsidRDefault="00EC0C0D" w:rsidP="00EC0C0D">
      <w:pPr>
        <w:spacing w:after="0" w:line="480" w:lineRule="auto"/>
        <w:jc w:val="both"/>
        <w:rPr>
          <w:rFonts w:cstheme="minorHAnsi"/>
          <w:bCs/>
          <w:i/>
          <w:iCs/>
          <w:u w:val="single"/>
          <w:lang w:val="en-US"/>
        </w:rPr>
      </w:pPr>
      <w:r w:rsidRPr="00300E93">
        <w:rPr>
          <w:rFonts w:cstheme="minorHAnsi"/>
          <w:bCs/>
          <w:i/>
          <w:iCs/>
          <w:u w:val="single"/>
          <w:lang w:val="en-US"/>
        </w:rPr>
        <w:t>Parental assessment:</w:t>
      </w:r>
    </w:p>
    <w:p w14:paraId="5134FE74" w14:textId="17DED833" w:rsidR="00EC0C0D" w:rsidRPr="00300E93" w:rsidRDefault="00EC0C0D" w:rsidP="00EC0C0D">
      <w:pPr>
        <w:spacing w:after="0" w:line="480" w:lineRule="auto"/>
        <w:jc w:val="both"/>
        <w:rPr>
          <w:rFonts w:cstheme="minorHAnsi"/>
          <w:bCs/>
          <w:iCs/>
          <w:lang w:val="en-US"/>
        </w:rPr>
      </w:pPr>
      <w:r w:rsidRPr="00300E93">
        <w:rPr>
          <w:rFonts w:cstheme="minorHAnsi"/>
          <w:bCs/>
          <w:iCs/>
          <w:lang w:val="en-US"/>
        </w:rPr>
        <w:t xml:space="preserve">The “Modified Checklist for Autism in Toddlers, Revised” (M-CHAT-R) is a measure developed to assess the risk for ASD in children ages 16-30 months. The M-CHAT-R is a simple screening tool considered valid for the early detection of </w:t>
      </w:r>
      <w:r w:rsidRPr="00300E93">
        <w:rPr>
          <w:rFonts w:cstheme="minorHAnsi"/>
          <w:lang w:val="en-US"/>
        </w:rPr>
        <w:t>warning</w:t>
      </w:r>
      <w:r w:rsidRPr="00300E93">
        <w:rPr>
          <w:rFonts w:cstheme="minorHAnsi"/>
          <w:bCs/>
          <w:iCs/>
          <w:lang w:val="en-US"/>
        </w:rPr>
        <w:t xml:space="preserve"> signs in children compared to the conventional method (Italian translation: </w:t>
      </w:r>
      <w:proofErr w:type="spellStart"/>
      <w:r w:rsidRPr="00300E93">
        <w:rPr>
          <w:rFonts w:cstheme="minorHAnsi"/>
          <w:bCs/>
          <w:iCs/>
          <w:lang w:val="en-US"/>
        </w:rPr>
        <w:t>Salomone</w:t>
      </w:r>
      <w:proofErr w:type="spellEnd"/>
      <w:r w:rsidRPr="00300E93">
        <w:rPr>
          <w:rFonts w:cstheme="minorHAnsi"/>
          <w:bCs/>
          <w:iCs/>
          <w:lang w:val="en-US"/>
        </w:rPr>
        <w:t xml:space="preserve">, Cecil, and </w:t>
      </w:r>
      <w:proofErr w:type="spellStart"/>
      <w:r w:rsidRPr="00300E93">
        <w:rPr>
          <w:rFonts w:cstheme="minorHAnsi"/>
          <w:bCs/>
          <w:iCs/>
          <w:lang w:val="en-US"/>
        </w:rPr>
        <w:t>Muratori</w:t>
      </w:r>
      <w:proofErr w:type="spellEnd"/>
      <w:r w:rsidRPr="00300E93">
        <w:rPr>
          <w:rFonts w:cstheme="minorHAnsi"/>
          <w:bCs/>
          <w:iCs/>
          <w:lang w:val="en-US"/>
        </w:rPr>
        <w:t>, 2014).</w:t>
      </w:r>
      <w:r w:rsidRPr="00300E93">
        <w:rPr>
          <w:rFonts w:ascii="Calibri" w:hAnsi="Calibri" w:cs="Calibri"/>
          <w:lang w:val="en-US"/>
        </w:rPr>
        <w:t>[3]</w:t>
      </w:r>
      <w:r w:rsidRPr="00300E93">
        <w:rPr>
          <w:rFonts w:cstheme="minorHAnsi"/>
          <w:bCs/>
          <w:iCs/>
          <w:lang w:val="en-US"/>
        </w:rPr>
        <w:t xml:space="preserve"> It is a checklist of 20 commonly observed child behaviors that requires the parent to report the presence of each specific behavior with a yes/no response. There are no culturally biased items. For all items except questions 2, 5, and 12, the response "NO" indicates a warning sign. The presence of abnormal behavior is assigned a score of 1, and the total score (obtained through the sum of all items where the response is identified as a warning sign) is interpreted. A total score of ≤2 indicates a low risk for ASD, and no further follow-up is recommended. When a total score between 3 and 7 is obtained, second-stage follow-up questions should be administered to decrease false-positive results: they were reassessed using M-CHAT-R Follow up questionnaire only on those items that originally failed. Children who were found to be in the low to medium-risk category were advised to have regular follow-ups. When a score of ≥8 is obtained, bypassing follow-up and immediately referring for diagnostic evaluation is allowed. </w:t>
      </w:r>
    </w:p>
    <w:p w14:paraId="79128593" w14:textId="77777777" w:rsidR="00EC0C0D" w:rsidRPr="00300E93" w:rsidRDefault="00EC0C0D" w:rsidP="00EC0C0D">
      <w:pPr>
        <w:spacing w:after="0" w:line="480" w:lineRule="auto"/>
        <w:jc w:val="both"/>
        <w:rPr>
          <w:rFonts w:cstheme="minorHAnsi"/>
          <w:i/>
          <w:iCs/>
          <w:u w:val="single"/>
          <w:lang w:val="en-US"/>
        </w:rPr>
      </w:pPr>
      <w:r w:rsidRPr="00300E93">
        <w:rPr>
          <w:rFonts w:cstheme="minorHAnsi"/>
          <w:i/>
          <w:iCs/>
          <w:u w:val="single"/>
          <w:lang w:val="en-US"/>
        </w:rPr>
        <w:t>Parental distress:</w:t>
      </w:r>
    </w:p>
    <w:p w14:paraId="569B45A6" w14:textId="5D1D9166" w:rsidR="00EC0C0D" w:rsidRPr="00300E93" w:rsidRDefault="00EC0C0D" w:rsidP="00EC0C0D">
      <w:pPr>
        <w:spacing w:after="0" w:line="480" w:lineRule="auto"/>
        <w:jc w:val="both"/>
        <w:rPr>
          <w:rFonts w:cstheme="minorHAnsi"/>
          <w:lang w:val="en-US"/>
        </w:rPr>
      </w:pPr>
      <w:r w:rsidRPr="00300E93">
        <w:rPr>
          <w:rFonts w:cstheme="minorHAnsi"/>
          <w:iCs/>
          <w:lang w:val="en-US"/>
        </w:rPr>
        <w:t xml:space="preserve">Data on parental distress were collected with the </w:t>
      </w:r>
      <w:r w:rsidRPr="00300E93">
        <w:rPr>
          <w:rFonts w:cstheme="minorHAnsi"/>
          <w:lang w:val="en-US"/>
        </w:rPr>
        <w:t xml:space="preserve">Parenting Stress Index - short form (PSI-SF). </w:t>
      </w:r>
      <w:r w:rsidRPr="00300E93">
        <w:rPr>
          <w:rFonts w:ascii="Calibri" w:hAnsi="Calibri" w:cs="Calibri"/>
          <w:lang w:val="en-US"/>
        </w:rPr>
        <w:t>[4</w:t>
      </w:r>
      <w:proofErr w:type="gramStart"/>
      <w:r w:rsidRPr="00300E93">
        <w:rPr>
          <w:rFonts w:ascii="Calibri" w:hAnsi="Calibri" w:cs="Calibri"/>
          <w:lang w:val="en-US"/>
        </w:rPr>
        <w:t>,5</w:t>
      </w:r>
      <w:proofErr w:type="gramEnd"/>
      <w:r w:rsidRPr="00300E93">
        <w:rPr>
          <w:rFonts w:ascii="Calibri" w:hAnsi="Calibri" w:cs="Calibri"/>
          <w:lang w:val="en-US"/>
        </w:rPr>
        <w:t>]</w:t>
      </w:r>
      <w:r w:rsidRPr="00300E93">
        <w:rPr>
          <w:rFonts w:cstheme="minorHAnsi"/>
          <w:lang w:val="en-US"/>
        </w:rPr>
        <w:t xml:space="preserve"> The PSI-SF consists of 36 items measuring stress levels within the parent-child relationship. The respondent is asked to answer each item on a five-point Likert scale, ranging from 1 (strongly agree) to 5 (strongly disagree). The questionnaire yields a Total Stress score from three subscales. The Parental Distress subscale (PD; e.g., "I feel trapped by my responsibilities as a parent") taps the parent's perception of their behavior, including, for instance, perceived competence and sacrifices because of their parenting role. The Parent-Child Dysfunctional Interaction subscale (P-CDI; e.g., "My child rarely does things for me that make me feel good") refers to the parent's judgments on the interaction with their child. Finally, the Difficult Child subscale (DC; e.g., "My child makes more demands on me than most children") measures the parent's perception of his/her </w:t>
      </w:r>
      <w:r w:rsidRPr="00300E93">
        <w:rPr>
          <w:rFonts w:cstheme="minorHAnsi"/>
          <w:lang w:val="en-US"/>
        </w:rPr>
        <w:lastRenderedPageBreak/>
        <w:t>child's personality, demandingness, hostility, and obedience. The Italian version of the PSI-</w:t>
      </w:r>
      <w:proofErr w:type="gramStart"/>
      <w:r w:rsidRPr="00300E93">
        <w:rPr>
          <w:rFonts w:cstheme="minorHAnsi"/>
          <w:lang w:val="en-US"/>
        </w:rPr>
        <w:t>SF</w:t>
      </w:r>
      <w:r w:rsidRPr="00300E93">
        <w:rPr>
          <w:rFonts w:ascii="Calibri" w:hAnsi="Calibri" w:cs="Calibri"/>
          <w:lang w:val="en-US"/>
        </w:rPr>
        <w:t>[</w:t>
      </w:r>
      <w:proofErr w:type="gramEnd"/>
      <w:r w:rsidRPr="00300E93">
        <w:rPr>
          <w:rFonts w:ascii="Calibri" w:hAnsi="Calibri" w:cs="Calibri"/>
          <w:lang w:val="en-US"/>
        </w:rPr>
        <w:t>5]</w:t>
      </w:r>
      <w:r w:rsidRPr="00300E93">
        <w:rPr>
          <w:rFonts w:cstheme="minorHAnsi"/>
          <w:lang w:val="en-US"/>
        </w:rPr>
        <w:t xml:space="preserve"> has shown good internal consistencies ranging from α=.95 for the P-CDI subscale to α=.90 for the DC subscale. In the present study, for mothers, the internal consistency of the PSI-SF corresponds to α=.91 for the total stress scale. For fathers, the internal consistency of the PSI-SF corresponds to α=.92 for the total stress scale. A higher score suggests a higher stress level. Parenting stress percentile scores that fall between 15 and 84 are considered typical; scores above 85 indicate (at the 90th percentile) clinically significant parental stress. The total stress score (TS) is obtained by adding the scores of the three subscales PD, PCD-I, and DC. The test also includes a defensive response scale (DF) to check the validity of the protocol as it indicates whether the parent tends, for example, to give a better self-image or to minimize problems and perceived stress in the relationship with the child.</w:t>
      </w:r>
    </w:p>
    <w:p w14:paraId="1DCBC4DA" w14:textId="77777777" w:rsidR="00EC0C0D" w:rsidRPr="00300E93" w:rsidRDefault="00EC0C0D" w:rsidP="00EC0C0D">
      <w:pPr>
        <w:spacing w:after="0" w:line="480" w:lineRule="auto"/>
        <w:jc w:val="both"/>
        <w:rPr>
          <w:rFonts w:cstheme="minorHAnsi"/>
          <w:i/>
          <w:u w:val="single"/>
          <w:lang w:val="en-US"/>
        </w:rPr>
      </w:pPr>
    </w:p>
    <w:p w14:paraId="2D4BA6FA" w14:textId="152E513E" w:rsidR="00EC0C0D" w:rsidRPr="00300E93" w:rsidRDefault="00EC0C0D" w:rsidP="00EC0C0D">
      <w:pPr>
        <w:spacing w:after="0" w:line="480" w:lineRule="auto"/>
        <w:jc w:val="both"/>
        <w:rPr>
          <w:rFonts w:cstheme="minorHAnsi"/>
          <w:b/>
          <w:i/>
          <w:u w:val="single"/>
          <w:lang w:val="en-US"/>
        </w:rPr>
      </w:pPr>
      <w:r w:rsidRPr="00300E93">
        <w:rPr>
          <w:rFonts w:cstheme="minorHAnsi"/>
          <w:b/>
          <w:i/>
          <w:u w:val="single"/>
          <w:lang w:val="en-US"/>
        </w:rPr>
        <w:t>APPENDIX 2</w:t>
      </w:r>
    </w:p>
    <w:p w14:paraId="692E507E" w14:textId="3D364DCD" w:rsidR="009B52F7" w:rsidRPr="00300E93" w:rsidRDefault="009B52F7" w:rsidP="009B52F7">
      <w:pPr>
        <w:spacing w:after="0" w:line="480" w:lineRule="auto"/>
        <w:jc w:val="both"/>
        <w:rPr>
          <w:rFonts w:cstheme="minorHAnsi"/>
          <w:bCs/>
          <w:iCs/>
          <w:lang w:val="en-US"/>
        </w:rPr>
      </w:pPr>
      <w:r w:rsidRPr="00300E93">
        <w:rPr>
          <w:rFonts w:cstheme="minorHAnsi"/>
          <w:bCs/>
          <w:iCs/>
          <w:lang w:val="en-US"/>
        </w:rPr>
        <w:t>Variables that in previous studies have been associated with the presence of child warning signs (at parental or FP assessment) were selected as covariates. The complete list of covariates is reported in Table 1.</w:t>
      </w:r>
    </w:p>
    <w:p w14:paraId="30D2E2B1" w14:textId="77777777" w:rsidR="009B52F7" w:rsidRPr="00300E93" w:rsidRDefault="009B52F7" w:rsidP="009B52F7">
      <w:pPr>
        <w:spacing w:after="0" w:line="480" w:lineRule="auto"/>
        <w:jc w:val="both"/>
        <w:rPr>
          <w:rFonts w:cstheme="minorHAnsi"/>
          <w:bCs/>
          <w:iCs/>
          <w:u w:val="single"/>
          <w:lang w:val="en-US"/>
        </w:rPr>
      </w:pPr>
      <w:r w:rsidRPr="00300E93">
        <w:rPr>
          <w:rFonts w:cstheme="minorHAnsi"/>
          <w:bCs/>
          <w:iCs/>
          <w:u w:val="single"/>
          <w:lang w:val="en-US"/>
        </w:rPr>
        <w:t>Sociodemographic variables:</w:t>
      </w:r>
    </w:p>
    <w:p w14:paraId="254F6FE0" w14:textId="70D26C35" w:rsidR="009B52F7" w:rsidRPr="00300E93" w:rsidRDefault="009B52F7" w:rsidP="009B52F7">
      <w:pPr>
        <w:numPr>
          <w:ilvl w:val="0"/>
          <w:numId w:val="3"/>
        </w:numPr>
        <w:spacing w:after="0" w:line="480" w:lineRule="auto"/>
        <w:jc w:val="both"/>
        <w:rPr>
          <w:rFonts w:cstheme="minorHAnsi"/>
          <w:bCs/>
          <w:iCs/>
          <w:lang w:val="en-US"/>
        </w:rPr>
      </w:pPr>
      <w:r w:rsidRPr="00300E93">
        <w:rPr>
          <w:rFonts w:cstheme="minorHAnsi"/>
          <w:bCs/>
          <w:iCs/>
          <w:lang w:val="en-US"/>
        </w:rPr>
        <w:t xml:space="preserve"> geographical area of residence: North, Centre and South of Italy</w:t>
      </w:r>
      <w:r w:rsidR="00300E93">
        <w:rPr>
          <w:rFonts w:cstheme="minorHAnsi"/>
          <w:bCs/>
          <w:iCs/>
          <w:lang w:val="en-US"/>
        </w:rPr>
        <w:t>;</w:t>
      </w:r>
    </w:p>
    <w:p w14:paraId="43D6EF7F" w14:textId="77777777" w:rsidR="009B52F7" w:rsidRPr="00300E93" w:rsidRDefault="009B52F7" w:rsidP="009B52F7">
      <w:pPr>
        <w:numPr>
          <w:ilvl w:val="0"/>
          <w:numId w:val="3"/>
        </w:numPr>
        <w:spacing w:after="0" w:line="480" w:lineRule="auto"/>
        <w:jc w:val="both"/>
        <w:rPr>
          <w:rFonts w:cstheme="minorHAnsi"/>
          <w:bCs/>
          <w:iCs/>
          <w:lang w:val="en-US"/>
        </w:rPr>
      </w:pPr>
      <w:r w:rsidRPr="00300E93">
        <w:rPr>
          <w:rFonts w:cstheme="minorHAnsi"/>
          <w:bCs/>
          <w:iCs/>
          <w:lang w:val="en-US"/>
        </w:rPr>
        <w:t>having parents who are both Italian;</w:t>
      </w:r>
    </w:p>
    <w:p w14:paraId="50107A49" w14:textId="77777777" w:rsidR="009B52F7" w:rsidRPr="00300E93" w:rsidRDefault="009B52F7" w:rsidP="009B52F7">
      <w:pPr>
        <w:numPr>
          <w:ilvl w:val="0"/>
          <w:numId w:val="3"/>
        </w:numPr>
        <w:spacing w:after="0" w:line="480" w:lineRule="auto"/>
        <w:jc w:val="both"/>
        <w:rPr>
          <w:rFonts w:cstheme="minorHAnsi"/>
          <w:bCs/>
          <w:iCs/>
          <w:lang w:val="en-US"/>
        </w:rPr>
      </w:pPr>
      <w:r w:rsidRPr="00300E93">
        <w:rPr>
          <w:rFonts w:cstheme="minorHAnsi"/>
          <w:bCs/>
          <w:iCs/>
          <w:lang w:val="en-US"/>
        </w:rPr>
        <w:t>parents' age at delivery;</w:t>
      </w:r>
    </w:p>
    <w:p w14:paraId="1E20EABD" w14:textId="77777777" w:rsidR="009B52F7" w:rsidRPr="00300E93" w:rsidRDefault="009B52F7" w:rsidP="009B52F7">
      <w:pPr>
        <w:numPr>
          <w:ilvl w:val="0"/>
          <w:numId w:val="3"/>
        </w:numPr>
        <w:spacing w:after="0" w:line="480" w:lineRule="auto"/>
        <w:jc w:val="both"/>
        <w:rPr>
          <w:rFonts w:cstheme="minorHAnsi"/>
          <w:bCs/>
          <w:iCs/>
          <w:lang w:val="en-US"/>
        </w:rPr>
      </w:pPr>
      <w:r w:rsidRPr="00300E93">
        <w:rPr>
          <w:rFonts w:cstheme="minorHAnsi"/>
          <w:bCs/>
          <w:iCs/>
          <w:lang w:val="en-US"/>
        </w:rPr>
        <w:t>parental educational level;</w:t>
      </w:r>
    </w:p>
    <w:p w14:paraId="6C44DED2" w14:textId="6B8240B3" w:rsidR="009B52F7" w:rsidRPr="00300E93" w:rsidRDefault="00300E93" w:rsidP="009B52F7">
      <w:pPr>
        <w:numPr>
          <w:ilvl w:val="0"/>
          <w:numId w:val="3"/>
        </w:numPr>
        <w:spacing w:after="0" w:line="480" w:lineRule="auto"/>
        <w:jc w:val="both"/>
        <w:rPr>
          <w:rFonts w:cstheme="minorHAnsi"/>
          <w:bCs/>
          <w:iCs/>
          <w:lang w:val="en-US"/>
        </w:rPr>
      </w:pPr>
      <w:r>
        <w:rPr>
          <w:rFonts w:cstheme="minorHAnsi"/>
          <w:bCs/>
          <w:iCs/>
          <w:lang w:val="en-US"/>
        </w:rPr>
        <w:t>maternal employment status;</w:t>
      </w:r>
    </w:p>
    <w:p w14:paraId="32B7EC27" w14:textId="3AC2AEF8" w:rsidR="009B52F7" w:rsidRPr="00300E93" w:rsidRDefault="00300E93" w:rsidP="009B52F7">
      <w:pPr>
        <w:numPr>
          <w:ilvl w:val="0"/>
          <w:numId w:val="3"/>
        </w:numPr>
        <w:spacing w:after="0" w:line="480" w:lineRule="auto"/>
        <w:jc w:val="both"/>
        <w:rPr>
          <w:rFonts w:cstheme="minorHAnsi"/>
          <w:bCs/>
          <w:iCs/>
          <w:lang w:val="en-US"/>
        </w:rPr>
      </w:pPr>
      <w:proofErr w:type="gramStart"/>
      <w:r>
        <w:rPr>
          <w:rFonts w:cstheme="minorHAnsi"/>
          <w:bCs/>
          <w:iCs/>
          <w:lang w:val="en-US"/>
        </w:rPr>
        <w:t>maternal</w:t>
      </w:r>
      <w:proofErr w:type="gramEnd"/>
      <w:r>
        <w:rPr>
          <w:rFonts w:cstheme="minorHAnsi"/>
          <w:bCs/>
          <w:iCs/>
          <w:lang w:val="en-US"/>
        </w:rPr>
        <w:t xml:space="preserve"> marital status.</w:t>
      </w:r>
    </w:p>
    <w:p w14:paraId="2CD19C7F" w14:textId="77777777" w:rsidR="001400F1" w:rsidRPr="00300E93" w:rsidRDefault="001400F1" w:rsidP="009B52F7">
      <w:pPr>
        <w:spacing w:after="0" w:line="480" w:lineRule="auto"/>
        <w:jc w:val="both"/>
        <w:rPr>
          <w:rFonts w:cstheme="minorHAnsi"/>
          <w:bCs/>
          <w:iCs/>
          <w:u w:val="single"/>
          <w:lang w:val="en-US"/>
        </w:rPr>
      </w:pPr>
      <w:r w:rsidRPr="00300E93">
        <w:rPr>
          <w:rFonts w:cstheme="minorHAnsi"/>
          <w:bCs/>
          <w:iCs/>
          <w:u w:val="single"/>
          <w:lang w:val="en-US"/>
        </w:rPr>
        <w:t>Parental risk factors</w:t>
      </w:r>
      <w:r w:rsidR="009B52F7" w:rsidRPr="00300E93">
        <w:rPr>
          <w:rFonts w:cstheme="minorHAnsi"/>
          <w:bCs/>
          <w:iCs/>
          <w:u w:val="single"/>
          <w:lang w:val="en-US"/>
        </w:rPr>
        <w:t>:</w:t>
      </w:r>
    </w:p>
    <w:p w14:paraId="1AC2C3E5" w14:textId="11D2A8CC" w:rsidR="009B52F7" w:rsidRPr="00300E93" w:rsidRDefault="001400F1" w:rsidP="001400F1">
      <w:pPr>
        <w:pStyle w:val="Paragrafoelenco"/>
        <w:numPr>
          <w:ilvl w:val="0"/>
          <w:numId w:val="3"/>
        </w:numPr>
        <w:spacing w:after="0" w:line="480" w:lineRule="auto"/>
        <w:jc w:val="both"/>
        <w:rPr>
          <w:rFonts w:cstheme="minorHAnsi"/>
          <w:bCs/>
          <w:iCs/>
          <w:lang w:val="en-US"/>
        </w:rPr>
      </w:pPr>
      <w:r w:rsidRPr="00300E93">
        <w:rPr>
          <w:rFonts w:cstheme="minorHAnsi"/>
          <w:bCs/>
          <w:iCs/>
          <w:lang w:val="en-US"/>
        </w:rPr>
        <w:t>parental chronic conditions</w:t>
      </w:r>
      <w:r w:rsidR="00300E93">
        <w:rPr>
          <w:rFonts w:cstheme="minorHAnsi"/>
          <w:bCs/>
          <w:iCs/>
          <w:lang w:val="en-US"/>
        </w:rPr>
        <w:t>;</w:t>
      </w:r>
    </w:p>
    <w:p w14:paraId="494502F0" w14:textId="48263830" w:rsidR="001400F1" w:rsidRPr="00300E93" w:rsidRDefault="001400F1" w:rsidP="001400F1">
      <w:pPr>
        <w:pStyle w:val="Paragrafoelenco"/>
        <w:numPr>
          <w:ilvl w:val="0"/>
          <w:numId w:val="3"/>
        </w:numPr>
        <w:spacing w:after="0" w:line="480" w:lineRule="auto"/>
        <w:jc w:val="both"/>
        <w:rPr>
          <w:rFonts w:cstheme="minorHAnsi"/>
          <w:bCs/>
          <w:iCs/>
          <w:lang w:val="en-US"/>
        </w:rPr>
      </w:pPr>
      <w:r w:rsidRPr="00300E93">
        <w:rPr>
          <w:rFonts w:cstheme="minorHAnsi"/>
          <w:bCs/>
          <w:iCs/>
          <w:lang w:val="en-US"/>
        </w:rPr>
        <w:t>maternal pre-pregnancy BMI</w:t>
      </w:r>
      <w:r w:rsidR="00300E93">
        <w:rPr>
          <w:rFonts w:cstheme="minorHAnsi"/>
          <w:bCs/>
          <w:iCs/>
          <w:lang w:val="en-US"/>
        </w:rPr>
        <w:t>;</w:t>
      </w:r>
    </w:p>
    <w:p w14:paraId="4709F313" w14:textId="7E2FE8D6" w:rsidR="001400F1" w:rsidRPr="00300E93" w:rsidRDefault="001400F1" w:rsidP="001400F1">
      <w:pPr>
        <w:pStyle w:val="Paragrafoelenco"/>
        <w:numPr>
          <w:ilvl w:val="0"/>
          <w:numId w:val="3"/>
        </w:numPr>
        <w:spacing w:after="0" w:line="480" w:lineRule="auto"/>
        <w:jc w:val="both"/>
        <w:rPr>
          <w:rFonts w:cstheme="minorHAnsi"/>
          <w:bCs/>
          <w:iCs/>
          <w:lang w:val="en-US"/>
        </w:rPr>
      </w:pPr>
      <w:r w:rsidRPr="00300E93">
        <w:rPr>
          <w:rFonts w:cstheme="minorHAnsi"/>
          <w:bCs/>
          <w:iCs/>
          <w:lang w:val="en-US"/>
        </w:rPr>
        <w:t>maternal gestational weight gain</w:t>
      </w:r>
      <w:r w:rsidR="00300E93">
        <w:rPr>
          <w:rFonts w:cstheme="minorHAnsi"/>
          <w:bCs/>
          <w:iCs/>
          <w:lang w:val="en-US"/>
        </w:rPr>
        <w:t>;</w:t>
      </w:r>
    </w:p>
    <w:p w14:paraId="16FBC7A3" w14:textId="50873979" w:rsidR="001400F1" w:rsidRPr="00300E93" w:rsidRDefault="001400F1" w:rsidP="001400F1">
      <w:pPr>
        <w:pStyle w:val="Paragrafoelenco"/>
        <w:numPr>
          <w:ilvl w:val="0"/>
          <w:numId w:val="3"/>
        </w:numPr>
        <w:spacing w:after="0" w:line="480" w:lineRule="auto"/>
        <w:jc w:val="both"/>
        <w:rPr>
          <w:rFonts w:cstheme="minorHAnsi"/>
          <w:bCs/>
          <w:iCs/>
          <w:lang w:val="en-US"/>
        </w:rPr>
      </w:pPr>
      <w:r w:rsidRPr="00300E93">
        <w:rPr>
          <w:rFonts w:cstheme="minorHAnsi"/>
          <w:bCs/>
          <w:iCs/>
          <w:lang w:val="en-US"/>
        </w:rPr>
        <w:t>physiological pregnancy</w:t>
      </w:r>
      <w:r w:rsidR="00300E93">
        <w:rPr>
          <w:rFonts w:cstheme="minorHAnsi"/>
          <w:bCs/>
          <w:iCs/>
          <w:lang w:val="en-US"/>
        </w:rPr>
        <w:t>;</w:t>
      </w:r>
    </w:p>
    <w:p w14:paraId="34B74A7B" w14:textId="69C68585" w:rsidR="001400F1" w:rsidRPr="00300E93" w:rsidRDefault="001400F1" w:rsidP="001400F1">
      <w:pPr>
        <w:pStyle w:val="Paragrafoelenco"/>
        <w:numPr>
          <w:ilvl w:val="0"/>
          <w:numId w:val="3"/>
        </w:numPr>
        <w:spacing w:after="0" w:line="480" w:lineRule="auto"/>
        <w:jc w:val="both"/>
        <w:rPr>
          <w:rFonts w:cstheme="minorHAnsi"/>
          <w:bCs/>
          <w:iCs/>
          <w:lang w:val="en-US"/>
        </w:rPr>
      </w:pPr>
      <w:proofErr w:type="gramStart"/>
      <w:r w:rsidRPr="00300E93">
        <w:rPr>
          <w:rFonts w:cstheme="minorHAnsi"/>
          <w:bCs/>
          <w:iCs/>
          <w:lang w:val="en-US"/>
        </w:rPr>
        <w:t>delivery</w:t>
      </w:r>
      <w:proofErr w:type="gramEnd"/>
      <w:r w:rsidRPr="00300E93">
        <w:rPr>
          <w:rFonts w:cstheme="minorHAnsi"/>
          <w:bCs/>
          <w:iCs/>
          <w:lang w:val="en-US"/>
        </w:rPr>
        <w:t xml:space="preserve"> during first pandemic wave (24/02/2020- 31/07/2020) vs pre-pandemic wave (01/04/2019-23/02/2020)</w:t>
      </w:r>
      <w:r w:rsidR="00300E93">
        <w:rPr>
          <w:rFonts w:cstheme="minorHAnsi"/>
          <w:bCs/>
          <w:iCs/>
          <w:lang w:val="en-US"/>
        </w:rPr>
        <w:t>.</w:t>
      </w:r>
    </w:p>
    <w:p w14:paraId="369F108F" w14:textId="634AA1DC" w:rsidR="001400F1" w:rsidRPr="00300E93" w:rsidRDefault="001400F1" w:rsidP="001400F1">
      <w:pPr>
        <w:spacing w:after="0" w:line="480" w:lineRule="auto"/>
        <w:jc w:val="both"/>
        <w:rPr>
          <w:rFonts w:cstheme="minorHAnsi"/>
          <w:bCs/>
          <w:iCs/>
          <w:u w:val="single"/>
          <w:lang w:val="en-US"/>
        </w:rPr>
      </w:pPr>
      <w:r w:rsidRPr="00300E93">
        <w:rPr>
          <w:rFonts w:cstheme="minorHAnsi"/>
          <w:bCs/>
          <w:iCs/>
          <w:u w:val="single"/>
          <w:lang w:val="en-US"/>
        </w:rPr>
        <w:t>Child variables</w:t>
      </w:r>
      <w:r w:rsidR="00300E93">
        <w:rPr>
          <w:rFonts w:cstheme="minorHAnsi"/>
          <w:bCs/>
          <w:iCs/>
          <w:u w:val="single"/>
          <w:lang w:val="en-US"/>
        </w:rPr>
        <w:t>:</w:t>
      </w:r>
    </w:p>
    <w:p w14:paraId="3325C6A5" w14:textId="77777777" w:rsidR="001400F1" w:rsidRPr="00300E93" w:rsidRDefault="001400F1" w:rsidP="001400F1">
      <w:pPr>
        <w:numPr>
          <w:ilvl w:val="0"/>
          <w:numId w:val="3"/>
        </w:numPr>
        <w:spacing w:after="0" w:line="480" w:lineRule="auto"/>
        <w:jc w:val="both"/>
        <w:rPr>
          <w:rFonts w:cstheme="minorHAnsi"/>
          <w:bCs/>
          <w:iCs/>
          <w:lang w:val="en-US"/>
        </w:rPr>
      </w:pPr>
      <w:r w:rsidRPr="00300E93">
        <w:rPr>
          <w:rFonts w:cstheme="minorHAnsi"/>
          <w:bCs/>
          <w:iCs/>
          <w:lang w:val="en-US"/>
        </w:rPr>
        <w:t xml:space="preserve">first-born child; </w:t>
      </w:r>
    </w:p>
    <w:p w14:paraId="007CE233" w14:textId="114B6757" w:rsidR="001400F1" w:rsidRPr="00300E93" w:rsidRDefault="001400F1" w:rsidP="001400F1">
      <w:pPr>
        <w:numPr>
          <w:ilvl w:val="0"/>
          <w:numId w:val="3"/>
        </w:numPr>
        <w:spacing w:after="0" w:line="480" w:lineRule="auto"/>
        <w:jc w:val="both"/>
        <w:rPr>
          <w:rFonts w:cstheme="minorHAnsi"/>
          <w:bCs/>
          <w:iCs/>
          <w:lang w:val="en-US"/>
        </w:rPr>
      </w:pPr>
      <w:r w:rsidRPr="00300E93">
        <w:rPr>
          <w:rFonts w:cstheme="minorHAnsi"/>
          <w:bCs/>
          <w:iCs/>
          <w:lang w:val="en-US"/>
        </w:rPr>
        <w:t xml:space="preserve">C-section delivery (yes = instrumental vs no = spontaneous); </w:t>
      </w:r>
    </w:p>
    <w:p w14:paraId="14C830ED" w14:textId="4AC27E5C" w:rsidR="001400F1" w:rsidRPr="00300E93" w:rsidRDefault="00300E93" w:rsidP="001400F1">
      <w:pPr>
        <w:numPr>
          <w:ilvl w:val="0"/>
          <w:numId w:val="3"/>
        </w:numPr>
        <w:spacing w:after="0" w:line="480" w:lineRule="auto"/>
        <w:jc w:val="both"/>
        <w:rPr>
          <w:rFonts w:cstheme="minorHAnsi"/>
          <w:bCs/>
          <w:iCs/>
          <w:lang w:val="en-US"/>
        </w:rPr>
      </w:pPr>
      <w:r>
        <w:rPr>
          <w:rFonts w:cstheme="minorHAnsi"/>
          <w:bCs/>
          <w:iCs/>
          <w:lang w:val="en-US"/>
        </w:rPr>
        <w:t>h</w:t>
      </w:r>
      <w:r w:rsidR="001400F1" w:rsidRPr="00300E93">
        <w:rPr>
          <w:rFonts w:cstheme="minorHAnsi"/>
          <w:bCs/>
          <w:iCs/>
          <w:lang w:val="en-US"/>
        </w:rPr>
        <w:t>ealthy newborn</w:t>
      </w:r>
      <w:r w:rsidR="005A634A" w:rsidRPr="00300E93">
        <w:rPr>
          <w:rFonts w:cstheme="minorHAnsi"/>
          <w:bCs/>
          <w:iCs/>
          <w:lang w:val="en-US"/>
        </w:rPr>
        <w:t xml:space="preserve">: </w:t>
      </w:r>
      <w:r w:rsidR="00BA07D0" w:rsidRPr="00300E93">
        <w:rPr>
          <w:rFonts w:cstheme="minorHAnsi"/>
          <w:bCs/>
          <w:iCs/>
          <w:lang w:val="en-US"/>
        </w:rPr>
        <w:t xml:space="preserve">children in this </w:t>
      </w:r>
      <w:proofErr w:type="spellStart"/>
      <w:r w:rsidR="00BA07D0" w:rsidRPr="00300E93">
        <w:rPr>
          <w:rFonts w:cstheme="minorHAnsi"/>
          <w:bCs/>
          <w:iCs/>
          <w:lang w:val="en-US"/>
        </w:rPr>
        <w:t>cathegory</w:t>
      </w:r>
      <w:proofErr w:type="spellEnd"/>
      <w:r w:rsidR="00BA07D0" w:rsidRPr="00300E93">
        <w:rPr>
          <w:rFonts w:cstheme="minorHAnsi"/>
          <w:bCs/>
          <w:iCs/>
          <w:lang w:val="en-US"/>
        </w:rPr>
        <w:t xml:space="preserve"> were</w:t>
      </w:r>
      <w:r w:rsidR="005A634A" w:rsidRPr="00300E93">
        <w:rPr>
          <w:rFonts w:cstheme="minorHAnsi"/>
          <w:bCs/>
          <w:iCs/>
          <w:lang w:val="en-US"/>
        </w:rPr>
        <w:t xml:space="preserve"> born at term, without malformations and </w:t>
      </w:r>
      <w:r w:rsidR="00BA07D0" w:rsidRPr="00300E93">
        <w:rPr>
          <w:rFonts w:cstheme="minorHAnsi"/>
          <w:bCs/>
          <w:iCs/>
          <w:lang w:val="en-US"/>
        </w:rPr>
        <w:t xml:space="preserve">were </w:t>
      </w:r>
      <w:r w:rsidR="005A634A" w:rsidRPr="00300E93">
        <w:rPr>
          <w:rFonts w:cstheme="minorHAnsi"/>
          <w:bCs/>
          <w:iCs/>
          <w:lang w:val="en-US"/>
        </w:rPr>
        <w:t>not admitted to NICU at</w:t>
      </w:r>
      <w:r>
        <w:rPr>
          <w:rFonts w:cstheme="minorHAnsi"/>
          <w:bCs/>
          <w:iCs/>
          <w:lang w:val="en-US"/>
        </w:rPr>
        <w:t xml:space="preserve"> birth;</w:t>
      </w:r>
    </w:p>
    <w:p w14:paraId="3CE1FAC3" w14:textId="77777777" w:rsidR="009B52F7" w:rsidRPr="00300E93" w:rsidRDefault="009B52F7" w:rsidP="009B52F7">
      <w:pPr>
        <w:numPr>
          <w:ilvl w:val="0"/>
          <w:numId w:val="3"/>
        </w:numPr>
        <w:spacing w:after="0" w:line="480" w:lineRule="auto"/>
        <w:jc w:val="both"/>
        <w:rPr>
          <w:rFonts w:cstheme="minorHAnsi"/>
          <w:bCs/>
          <w:iCs/>
          <w:lang w:val="en-US"/>
        </w:rPr>
      </w:pPr>
      <w:r w:rsidRPr="00300E93">
        <w:rPr>
          <w:rFonts w:cstheme="minorHAnsi"/>
          <w:bCs/>
          <w:iCs/>
          <w:lang w:val="en-US"/>
        </w:rPr>
        <w:t>gender of the neonate;</w:t>
      </w:r>
    </w:p>
    <w:p w14:paraId="6211EDC2" w14:textId="77777777" w:rsidR="009B52F7" w:rsidRPr="00300E93" w:rsidRDefault="009B52F7" w:rsidP="009B52F7">
      <w:pPr>
        <w:numPr>
          <w:ilvl w:val="0"/>
          <w:numId w:val="3"/>
        </w:numPr>
        <w:spacing w:after="0" w:line="480" w:lineRule="auto"/>
        <w:jc w:val="both"/>
        <w:rPr>
          <w:rFonts w:cstheme="minorHAnsi"/>
          <w:bCs/>
          <w:iCs/>
          <w:lang w:val="en-US"/>
        </w:rPr>
      </w:pPr>
      <w:r w:rsidRPr="00300E93">
        <w:rPr>
          <w:rFonts w:cstheme="minorHAnsi"/>
          <w:bCs/>
          <w:iCs/>
          <w:lang w:val="en-US"/>
        </w:rPr>
        <w:t>skin-to-skin contact at birth;</w:t>
      </w:r>
    </w:p>
    <w:p w14:paraId="3AF74A70" w14:textId="1B3FE075" w:rsidR="001400F1" w:rsidRPr="00300E93" w:rsidRDefault="001400F1" w:rsidP="001400F1">
      <w:pPr>
        <w:numPr>
          <w:ilvl w:val="0"/>
          <w:numId w:val="3"/>
        </w:numPr>
        <w:spacing w:after="0" w:line="480" w:lineRule="auto"/>
        <w:jc w:val="both"/>
        <w:rPr>
          <w:rFonts w:cstheme="minorHAnsi"/>
          <w:bCs/>
          <w:iCs/>
          <w:lang w:val="en-US"/>
        </w:rPr>
      </w:pPr>
      <w:proofErr w:type="gramStart"/>
      <w:r w:rsidRPr="00300E93">
        <w:rPr>
          <w:rFonts w:cstheme="minorHAnsi"/>
          <w:bCs/>
          <w:iCs/>
          <w:lang w:val="en-US"/>
        </w:rPr>
        <w:t>child</w:t>
      </w:r>
      <w:proofErr w:type="gramEnd"/>
      <w:r w:rsidRPr="00300E93">
        <w:rPr>
          <w:rFonts w:cstheme="minorHAnsi"/>
          <w:bCs/>
          <w:iCs/>
          <w:lang w:val="en-US"/>
        </w:rPr>
        <w:t xml:space="preserve"> sleeping disorders from 6 months to 24 months</w:t>
      </w:r>
      <w:r w:rsidR="00300E93">
        <w:rPr>
          <w:rFonts w:cstheme="minorHAnsi"/>
          <w:bCs/>
          <w:iCs/>
          <w:lang w:val="en-US"/>
        </w:rPr>
        <w:t>.</w:t>
      </w:r>
      <w:r w:rsidRPr="00300E93">
        <w:rPr>
          <w:rFonts w:cstheme="minorHAnsi"/>
          <w:bCs/>
          <w:iCs/>
          <w:lang w:val="en-US"/>
        </w:rPr>
        <w:t xml:space="preserve"> </w:t>
      </w:r>
    </w:p>
    <w:p w14:paraId="4A519F1C" w14:textId="04603328" w:rsidR="00EC0C0D" w:rsidRPr="00300E93" w:rsidRDefault="00EC0C0D" w:rsidP="00EC0C0D">
      <w:pPr>
        <w:spacing w:after="0" w:line="480" w:lineRule="auto"/>
        <w:jc w:val="both"/>
        <w:rPr>
          <w:rFonts w:cstheme="minorHAnsi"/>
          <w:iCs/>
          <w:u w:val="single"/>
          <w:lang w:val="en-US"/>
        </w:rPr>
      </w:pPr>
      <w:r w:rsidRPr="00300E93">
        <w:rPr>
          <w:rFonts w:cstheme="minorHAnsi"/>
          <w:iCs/>
          <w:u w:val="single"/>
          <w:lang w:val="en-US"/>
        </w:rPr>
        <w:t>Parental actions embedded in the nurturing care concept</w:t>
      </w:r>
      <w:r w:rsidR="001400F1" w:rsidRPr="00300E93">
        <w:rPr>
          <w:rFonts w:cstheme="minorHAnsi"/>
          <w:iCs/>
          <w:u w:val="single"/>
          <w:lang w:val="en-US"/>
        </w:rPr>
        <w:t xml:space="preserve"> in pregnancy: </w:t>
      </w:r>
    </w:p>
    <w:p w14:paraId="79972838" w14:textId="60B2128A" w:rsidR="001400F1" w:rsidRPr="00300E93" w:rsidRDefault="001400F1" w:rsidP="00300E93">
      <w:pPr>
        <w:pStyle w:val="Paragrafoelenco"/>
        <w:numPr>
          <w:ilvl w:val="0"/>
          <w:numId w:val="5"/>
        </w:numPr>
        <w:spacing w:after="0" w:line="480" w:lineRule="auto"/>
        <w:jc w:val="both"/>
        <w:rPr>
          <w:rFonts w:cstheme="minorHAnsi"/>
          <w:iCs/>
          <w:lang w:val="en-US"/>
        </w:rPr>
      </w:pPr>
      <w:r w:rsidRPr="00300E93">
        <w:rPr>
          <w:rFonts w:cstheme="minorHAnsi"/>
          <w:iCs/>
          <w:lang w:val="en-US"/>
        </w:rPr>
        <w:t>mother smoker in pregnancy</w:t>
      </w:r>
      <w:r w:rsidR="00300E93">
        <w:rPr>
          <w:rFonts w:cstheme="minorHAnsi"/>
          <w:iCs/>
          <w:lang w:val="en-US"/>
        </w:rPr>
        <w:t>;</w:t>
      </w:r>
    </w:p>
    <w:p w14:paraId="1CB61B4F" w14:textId="351CE546" w:rsidR="001400F1" w:rsidRPr="00300E93" w:rsidRDefault="001400F1" w:rsidP="00300E93">
      <w:pPr>
        <w:pStyle w:val="Paragrafoelenco"/>
        <w:numPr>
          <w:ilvl w:val="0"/>
          <w:numId w:val="5"/>
        </w:numPr>
        <w:spacing w:after="0" w:line="480" w:lineRule="auto"/>
        <w:jc w:val="both"/>
        <w:rPr>
          <w:rFonts w:cstheme="minorHAnsi"/>
          <w:iCs/>
          <w:lang w:val="en-US"/>
        </w:rPr>
      </w:pPr>
      <w:proofErr w:type="gramStart"/>
      <w:r w:rsidRPr="00300E93">
        <w:rPr>
          <w:rFonts w:cstheme="minorHAnsi"/>
          <w:iCs/>
          <w:lang w:val="en-US"/>
        </w:rPr>
        <w:t>mother</w:t>
      </w:r>
      <w:proofErr w:type="gramEnd"/>
      <w:r w:rsidRPr="00300E93">
        <w:rPr>
          <w:rFonts w:cstheme="minorHAnsi"/>
          <w:iCs/>
          <w:lang w:val="en-US"/>
        </w:rPr>
        <w:t xml:space="preserve"> consuming alcohol in pregnancy</w:t>
      </w:r>
      <w:r w:rsidR="00300E93">
        <w:rPr>
          <w:rFonts w:cstheme="minorHAnsi"/>
          <w:iCs/>
          <w:lang w:val="en-US"/>
        </w:rPr>
        <w:t>.</w:t>
      </w:r>
    </w:p>
    <w:p w14:paraId="5A83E6CA" w14:textId="42B210D1" w:rsidR="001400F1" w:rsidRPr="00300E93" w:rsidRDefault="001400F1" w:rsidP="001400F1">
      <w:pPr>
        <w:spacing w:after="0" w:line="480" w:lineRule="auto"/>
        <w:jc w:val="both"/>
        <w:rPr>
          <w:rFonts w:cstheme="minorHAnsi"/>
          <w:iCs/>
          <w:u w:val="single"/>
          <w:lang w:val="en-US"/>
        </w:rPr>
      </w:pPr>
      <w:r w:rsidRPr="00300E93">
        <w:rPr>
          <w:rFonts w:cstheme="minorHAnsi"/>
          <w:iCs/>
          <w:u w:val="single"/>
          <w:lang w:val="en-US"/>
        </w:rPr>
        <w:t xml:space="preserve">Parental actions embedded in the nurturing care concept after birth: </w:t>
      </w:r>
    </w:p>
    <w:p w14:paraId="435DA68B" w14:textId="739C046B" w:rsidR="001400F1" w:rsidRPr="00300E93" w:rsidRDefault="001400F1" w:rsidP="00300E93">
      <w:pPr>
        <w:pStyle w:val="Paragrafoelenco"/>
        <w:numPr>
          <w:ilvl w:val="0"/>
          <w:numId w:val="6"/>
        </w:numPr>
        <w:spacing w:after="0" w:line="480" w:lineRule="auto"/>
        <w:jc w:val="both"/>
        <w:rPr>
          <w:rFonts w:cstheme="minorHAnsi"/>
          <w:iCs/>
          <w:lang w:val="en-US"/>
        </w:rPr>
      </w:pPr>
      <w:r w:rsidRPr="00300E93">
        <w:rPr>
          <w:rFonts w:cstheme="minorHAnsi"/>
          <w:bCs/>
          <w:iCs/>
          <w:lang w:val="en-US"/>
        </w:rPr>
        <w:t xml:space="preserve"> </w:t>
      </w:r>
      <w:proofErr w:type="gramStart"/>
      <w:r w:rsidRPr="00300E93">
        <w:rPr>
          <w:rFonts w:cstheme="minorHAnsi"/>
          <w:bCs/>
          <w:iCs/>
          <w:lang w:val="en-US"/>
        </w:rPr>
        <w:t>exclusive</w:t>
      </w:r>
      <w:proofErr w:type="gramEnd"/>
      <w:r w:rsidRPr="00300E93">
        <w:rPr>
          <w:rFonts w:cstheme="minorHAnsi"/>
          <w:bCs/>
          <w:iCs/>
          <w:lang w:val="en-US"/>
        </w:rPr>
        <w:t xml:space="preserve"> breastfeeding at six months</w:t>
      </w:r>
      <w:r w:rsidR="00300E93">
        <w:rPr>
          <w:rFonts w:cstheme="minorHAnsi"/>
          <w:bCs/>
          <w:iCs/>
          <w:lang w:val="en-US"/>
        </w:rPr>
        <w:t>.</w:t>
      </w:r>
    </w:p>
    <w:p w14:paraId="12FE75D3" w14:textId="35AF7B37" w:rsidR="001400F1" w:rsidRPr="00300E93" w:rsidRDefault="001400F1" w:rsidP="001400F1">
      <w:pPr>
        <w:spacing w:after="0" w:line="480" w:lineRule="auto"/>
        <w:jc w:val="both"/>
        <w:rPr>
          <w:rFonts w:cstheme="minorHAnsi"/>
          <w:i/>
          <w:iCs/>
          <w:u w:val="single"/>
          <w:lang w:val="en-US"/>
        </w:rPr>
      </w:pPr>
      <w:r w:rsidRPr="00300E93">
        <w:rPr>
          <w:rFonts w:cstheme="minorHAnsi"/>
          <w:i/>
          <w:iCs/>
          <w:u w:val="single"/>
          <w:lang w:val="en-US"/>
        </w:rPr>
        <w:t>Parental actions embedded in the nurturing care concept: approaches</w:t>
      </w:r>
      <w:r w:rsidR="00300E93">
        <w:rPr>
          <w:rFonts w:cstheme="minorHAnsi"/>
          <w:i/>
          <w:iCs/>
          <w:u w:val="single"/>
          <w:lang w:val="en-US"/>
        </w:rPr>
        <w:t>:</w:t>
      </w:r>
    </w:p>
    <w:p w14:paraId="3851CA4B" w14:textId="1A3165EF" w:rsidR="00EC0C0D" w:rsidRPr="00300E93" w:rsidRDefault="00300E93" w:rsidP="00300E93">
      <w:pPr>
        <w:pStyle w:val="Paragrafoelenco"/>
        <w:numPr>
          <w:ilvl w:val="0"/>
          <w:numId w:val="7"/>
        </w:numPr>
        <w:spacing w:after="0" w:line="480" w:lineRule="auto"/>
        <w:jc w:val="both"/>
        <w:rPr>
          <w:rFonts w:cstheme="minorHAnsi"/>
          <w:iCs/>
          <w:lang w:val="en-US"/>
        </w:rPr>
      </w:pPr>
      <w:r>
        <w:rPr>
          <w:rFonts w:cstheme="minorHAnsi"/>
          <w:iCs/>
          <w:lang w:val="en-US"/>
        </w:rPr>
        <w:t>r</w:t>
      </w:r>
      <w:r w:rsidR="00EC0C0D" w:rsidRPr="00300E93">
        <w:rPr>
          <w:rFonts w:cstheme="minorHAnsi"/>
          <w:iCs/>
          <w:lang w:val="en-US"/>
        </w:rPr>
        <w:t>eading aloud to children: considered positive if a book had been read to the child in the two weeks prior to each of the three visit</w:t>
      </w:r>
      <w:r>
        <w:rPr>
          <w:rFonts w:cstheme="minorHAnsi"/>
          <w:iCs/>
          <w:lang w:val="en-US"/>
        </w:rPr>
        <w:t>s (6 months, 1 year and 2 year);</w:t>
      </w:r>
    </w:p>
    <w:p w14:paraId="56560C51" w14:textId="692F5DA9" w:rsidR="001400F1" w:rsidRPr="00300E93" w:rsidRDefault="00300E93" w:rsidP="00300E93">
      <w:pPr>
        <w:pStyle w:val="Paragrafoelenco"/>
        <w:numPr>
          <w:ilvl w:val="0"/>
          <w:numId w:val="7"/>
        </w:numPr>
        <w:spacing w:after="0" w:line="480" w:lineRule="auto"/>
        <w:jc w:val="both"/>
        <w:rPr>
          <w:rFonts w:cstheme="minorHAnsi"/>
          <w:iCs/>
          <w:lang w:val="en-US"/>
        </w:rPr>
      </w:pPr>
      <w:proofErr w:type="gramStart"/>
      <w:r>
        <w:rPr>
          <w:rFonts w:cstheme="minorHAnsi"/>
          <w:iCs/>
          <w:lang w:val="en-US"/>
        </w:rPr>
        <w:t>t</w:t>
      </w:r>
      <w:r w:rsidR="00EC0C0D" w:rsidRPr="00300E93">
        <w:rPr>
          <w:rFonts w:cstheme="minorHAnsi"/>
          <w:iCs/>
          <w:lang w:val="en-US"/>
        </w:rPr>
        <w:t>ummy</w:t>
      </w:r>
      <w:proofErr w:type="gramEnd"/>
      <w:r w:rsidR="00EC0C0D" w:rsidRPr="00300E93">
        <w:rPr>
          <w:rFonts w:cstheme="minorHAnsi"/>
          <w:iCs/>
          <w:lang w:val="en-US"/>
        </w:rPr>
        <w:t xml:space="preserve"> time: considered adequate if the child was placed belly down for any amount of time each day at 6 months. The American Academy of Pediatrics does not specify a precise amount of time a day, indicating a general 3-5 minutes, two to three times a day, increasing the time if the child enjoys it, for infants.</w:t>
      </w:r>
      <w:r w:rsidR="00EC0C0D" w:rsidRPr="00300E93">
        <w:rPr>
          <w:rFonts w:ascii="Calibri" w:hAnsi="Calibri" w:cs="Calibri"/>
          <w:lang w:val="en-US"/>
        </w:rPr>
        <w:t>[6]</w:t>
      </w:r>
      <w:r w:rsidR="00EC0C0D" w:rsidRPr="00300E93">
        <w:rPr>
          <w:rFonts w:cstheme="minorHAnsi"/>
          <w:iCs/>
          <w:lang w:val="en-US"/>
        </w:rPr>
        <w:t xml:space="preserve"> The WHO guidelines recommend at least 30 minutes each day in a prone position while awake for 0-1 year-olds;</w:t>
      </w:r>
      <w:r w:rsidR="00EC0C0D" w:rsidRPr="00300E93">
        <w:rPr>
          <w:rFonts w:ascii="Calibri" w:hAnsi="Calibri" w:cs="Calibri"/>
          <w:lang w:val="en-US"/>
        </w:rPr>
        <w:t>[7]</w:t>
      </w:r>
      <w:r>
        <w:rPr>
          <w:rFonts w:cstheme="minorHAnsi"/>
          <w:iCs/>
          <w:lang w:val="en-US"/>
        </w:rPr>
        <w:t>);</w:t>
      </w:r>
    </w:p>
    <w:p w14:paraId="3424A53F" w14:textId="117AD74B" w:rsidR="001400F1" w:rsidRPr="00300E93" w:rsidRDefault="00300E93" w:rsidP="00300E93">
      <w:pPr>
        <w:pStyle w:val="Paragrafoelenco"/>
        <w:numPr>
          <w:ilvl w:val="0"/>
          <w:numId w:val="7"/>
        </w:numPr>
        <w:spacing w:after="0" w:line="480" w:lineRule="auto"/>
        <w:jc w:val="both"/>
        <w:rPr>
          <w:rFonts w:cstheme="minorHAnsi"/>
          <w:iCs/>
          <w:lang w:val="en-US"/>
        </w:rPr>
      </w:pPr>
      <w:r>
        <w:rPr>
          <w:rFonts w:cstheme="minorHAnsi"/>
          <w:iCs/>
          <w:lang w:val="en-US"/>
        </w:rPr>
        <w:t>b</w:t>
      </w:r>
      <w:r w:rsidR="00EC0C0D" w:rsidRPr="00300E93">
        <w:rPr>
          <w:rFonts w:cstheme="minorHAnsi"/>
          <w:iCs/>
          <w:lang w:val="en-US"/>
        </w:rPr>
        <w:t xml:space="preserve">edtime routine: this was considered positive if there was a routine and it included a book or a song, and negative if it included </w:t>
      </w:r>
      <w:proofErr w:type="spellStart"/>
      <w:r w:rsidR="00EC0C0D" w:rsidRPr="00300E93">
        <w:rPr>
          <w:rFonts w:cstheme="minorHAnsi"/>
          <w:iCs/>
          <w:lang w:val="en-US"/>
        </w:rPr>
        <w:t>tv</w:t>
      </w:r>
      <w:proofErr w:type="spellEnd"/>
      <w:r w:rsidR="00EC0C0D" w:rsidRPr="00300E93">
        <w:rPr>
          <w:rFonts w:cstheme="minorHAnsi"/>
          <w:iCs/>
          <w:lang w:val="en-US"/>
        </w:rPr>
        <w:t>/screen or "other", at 1 and 2 year visit</w:t>
      </w:r>
      <w:proofErr w:type="gramStart"/>
      <w:r w:rsidR="00EC0C0D" w:rsidRPr="00300E93">
        <w:rPr>
          <w:rFonts w:cstheme="minorHAnsi"/>
          <w:iCs/>
          <w:lang w:val="en-US"/>
        </w:rPr>
        <w:t>.</w:t>
      </w:r>
      <w:r w:rsidR="00EC0C0D" w:rsidRPr="00300E93">
        <w:rPr>
          <w:rFonts w:ascii="Calibri" w:hAnsi="Calibri" w:cs="Calibri"/>
          <w:lang w:val="en-US"/>
        </w:rPr>
        <w:t>[</w:t>
      </w:r>
      <w:proofErr w:type="gramEnd"/>
      <w:r w:rsidR="00EC0C0D" w:rsidRPr="00300E93">
        <w:rPr>
          <w:rFonts w:ascii="Calibri" w:hAnsi="Calibri" w:cs="Calibri"/>
          <w:lang w:val="en-US"/>
        </w:rPr>
        <w:t>8,9]</w:t>
      </w:r>
      <w:r w:rsidR="00EC0C0D" w:rsidRPr="00300E93">
        <w:rPr>
          <w:rFonts w:cstheme="minorHAnsi"/>
          <w:iCs/>
          <w:lang w:val="en-US"/>
        </w:rPr>
        <w:t xml:space="preserve"> We realize that classifying "other" as negative is probably a bit stringent, but we considered the American Academy of Pediatrics' suggestions for healthy sleep habits for children.</w:t>
      </w:r>
      <w:r w:rsidR="00EC0C0D" w:rsidRPr="00300E93" w:rsidDel="00914F91">
        <w:rPr>
          <w:rFonts w:cstheme="minorHAnsi"/>
          <w:iCs/>
          <w:lang w:val="en-US"/>
        </w:rPr>
        <w:t xml:space="preserve"> </w:t>
      </w:r>
      <w:r w:rsidR="00EC0C0D" w:rsidRPr="00300E93">
        <w:rPr>
          <w:rFonts w:ascii="Calibri" w:hAnsi="Calibri" w:cs="Calibri"/>
          <w:lang w:val="en-US"/>
        </w:rPr>
        <w:t>[8,10]</w:t>
      </w:r>
    </w:p>
    <w:p w14:paraId="157224AD" w14:textId="4570524D" w:rsidR="001400F1" w:rsidRPr="00300E93" w:rsidRDefault="001400F1" w:rsidP="001400F1">
      <w:pPr>
        <w:spacing w:after="0" w:line="480" w:lineRule="auto"/>
        <w:jc w:val="both"/>
        <w:rPr>
          <w:rFonts w:cstheme="minorHAnsi"/>
          <w:iCs/>
          <w:u w:val="single"/>
          <w:lang w:val="en-US"/>
        </w:rPr>
      </w:pPr>
      <w:r w:rsidRPr="00300E93">
        <w:rPr>
          <w:rFonts w:cstheme="minorHAnsi"/>
          <w:iCs/>
          <w:u w:val="single"/>
          <w:lang w:val="en-US"/>
        </w:rPr>
        <w:t>Parental actions embedded in the nurturing care concept: lifestyle</w:t>
      </w:r>
      <w:r w:rsidR="00300E93">
        <w:rPr>
          <w:rFonts w:cstheme="minorHAnsi"/>
          <w:iCs/>
          <w:u w:val="single"/>
          <w:lang w:val="en-US"/>
        </w:rPr>
        <w:t>:</w:t>
      </w:r>
    </w:p>
    <w:p w14:paraId="0546878B" w14:textId="60BFBAFA" w:rsidR="001400F1" w:rsidRPr="00300E93" w:rsidRDefault="00300E93" w:rsidP="00EC0C0D">
      <w:pPr>
        <w:pStyle w:val="Paragrafoelenco"/>
        <w:numPr>
          <w:ilvl w:val="0"/>
          <w:numId w:val="4"/>
        </w:numPr>
        <w:spacing w:after="0" w:line="480" w:lineRule="auto"/>
        <w:jc w:val="both"/>
        <w:rPr>
          <w:rFonts w:cstheme="minorHAnsi"/>
          <w:iCs/>
          <w:lang w:val="en-US"/>
        </w:rPr>
      </w:pPr>
      <w:r>
        <w:rPr>
          <w:rFonts w:cstheme="minorHAnsi"/>
          <w:iCs/>
          <w:lang w:val="en-US"/>
        </w:rPr>
        <w:t>o</w:t>
      </w:r>
      <w:r w:rsidR="001400F1" w:rsidRPr="00300E93">
        <w:rPr>
          <w:rFonts w:cstheme="minorHAnsi"/>
          <w:iCs/>
          <w:lang w:val="en-US"/>
        </w:rPr>
        <w:t>utdoor activities: At the 6 month, and 1 and 2 year visits, the parent was asked to quantify time spent by the child outdoors (1 = rarely, 2 = less than 1 hour per day, 3 = 1-3 hours per day, 4 = &gt; 3 hours per day). If the sum of the scores was &gt;8 it was considered adequate, if ≤ 8 it was considered insufficient. Although no precise minimum amount of time outdoors to achieve health benefits in young children has been found, at least an hour a day at one year</w:t>
      </w:r>
      <w:r>
        <w:rPr>
          <w:rFonts w:cstheme="minorHAnsi"/>
          <w:iCs/>
          <w:lang w:val="en-US"/>
        </w:rPr>
        <w:t xml:space="preserve"> of age was considered adequate;</w:t>
      </w:r>
      <w:r w:rsidR="001400F1" w:rsidRPr="00300E93" w:rsidDel="006C7C43">
        <w:rPr>
          <w:rFonts w:cstheme="minorHAnsi"/>
          <w:iCs/>
          <w:lang w:val="en-US"/>
        </w:rPr>
        <w:t xml:space="preserve"> </w:t>
      </w:r>
      <w:r w:rsidR="001400F1" w:rsidRPr="00300E93">
        <w:rPr>
          <w:rFonts w:cstheme="minorHAnsi"/>
          <w:iCs/>
          <w:lang w:val="en-US"/>
        </w:rPr>
        <w:t>[14–16]</w:t>
      </w:r>
    </w:p>
    <w:p w14:paraId="7060D71C" w14:textId="030C1DEC" w:rsidR="001400F1" w:rsidRPr="00300E93" w:rsidRDefault="00300E93" w:rsidP="001400F1">
      <w:pPr>
        <w:pStyle w:val="Paragrafoelenco"/>
        <w:numPr>
          <w:ilvl w:val="0"/>
          <w:numId w:val="4"/>
        </w:numPr>
        <w:spacing w:after="0" w:line="480" w:lineRule="auto"/>
        <w:jc w:val="both"/>
        <w:rPr>
          <w:rFonts w:cstheme="minorHAnsi"/>
          <w:i/>
          <w:iCs/>
          <w:lang w:val="en-US"/>
        </w:rPr>
      </w:pPr>
      <w:r>
        <w:rPr>
          <w:rFonts w:cstheme="minorHAnsi"/>
          <w:iCs/>
          <w:lang w:val="en-US"/>
        </w:rPr>
        <w:t>s</w:t>
      </w:r>
      <w:r w:rsidR="00EC0C0D" w:rsidRPr="00300E93">
        <w:rPr>
          <w:rFonts w:cstheme="minorHAnsi"/>
          <w:iCs/>
          <w:lang w:val="en-US"/>
        </w:rPr>
        <w:t xml:space="preserve">creen exposure is considered positive </w:t>
      </w:r>
      <w:r w:rsidR="009A7892" w:rsidRPr="00300E93">
        <w:rPr>
          <w:rFonts w:cstheme="minorHAnsi"/>
          <w:iCs/>
          <w:lang w:val="en-US"/>
        </w:rPr>
        <w:t xml:space="preserve">(=yes) </w:t>
      </w:r>
      <w:r w:rsidR="00EC0C0D" w:rsidRPr="00300E93">
        <w:rPr>
          <w:rFonts w:cstheme="minorHAnsi"/>
          <w:iCs/>
          <w:lang w:val="en-US"/>
        </w:rPr>
        <w:t xml:space="preserve">if parents </w:t>
      </w:r>
      <w:r w:rsidR="009A7892" w:rsidRPr="00300E93">
        <w:rPr>
          <w:rFonts w:cstheme="minorHAnsi"/>
          <w:iCs/>
          <w:lang w:val="en-US"/>
        </w:rPr>
        <w:t xml:space="preserve">do not </w:t>
      </w:r>
      <w:r w:rsidR="00EC0C0D" w:rsidRPr="00300E93">
        <w:rPr>
          <w:rFonts w:cstheme="minorHAnsi"/>
          <w:iCs/>
          <w:lang w:val="en-US"/>
        </w:rPr>
        <w:t>allow children to watch videos on screens (TVs, tablets, an</w:t>
      </w:r>
      <w:r>
        <w:rPr>
          <w:rFonts w:cstheme="minorHAnsi"/>
          <w:iCs/>
          <w:lang w:val="en-US"/>
        </w:rPr>
        <w:t>d smartphones) at 1 and 2 years;</w:t>
      </w:r>
    </w:p>
    <w:p w14:paraId="290DB700" w14:textId="1D3FB082" w:rsidR="001400F1" w:rsidRPr="00300E93" w:rsidRDefault="00300E93" w:rsidP="001400F1">
      <w:pPr>
        <w:pStyle w:val="Paragrafoelenco"/>
        <w:numPr>
          <w:ilvl w:val="0"/>
          <w:numId w:val="4"/>
        </w:numPr>
        <w:spacing w:after="0" w:line="480" w:lineRule="auto"/>
        <w:jc w:val="both"/>
        <w:rPr>
          <w:rFonts w:cstheme="minorHAnsi"/>
          <w:i/>
          <w:iCs/>
          <w:lang w:val="en-US"/>
        </w:rPr>
      </w:pPr>
      <w:proofErr w:type="gramStart"/>
      <w:r>
        <w:rPr>
          <w:rFonts w:cstheme="minorHAnsi"/>
          <w:lang w:val="en-US"/>
        </w:rPr>
        <w:t>i</w:t>
      </w:r>
      <w:r w:rsidR="001400F1" w:rsidRPr="00300E93">
        <w:rPr>
          <w:rFonts w:cstheme="minorHAnsi"/>
          <w:lang w:val="en-US"/>
        </w:rPr>
        <w:t>nteracting</w:t>
      </w:r>
      <w:proofErr w:type="gramEnd"/>
      <w:r w:rsidR="001400F1" w:rsidRPr="00300E93">
        <w:rPr>
          <w:rFonts w:cstheme="minorHAnsi"/>
          <w:lang w:val="en-US"/>
        </w:rPr>
        <w:t xml:space="preserve"> with devices:  At both the 1 and 2 year visits, the parent was asked to indicate whether the child interacts with smartphone/tablet: (1 = never, 2 = sometimes, 3 = often). If the total score was 2 (never at both visits) the use was considered appropriate, if &gt; 2 it was considered excessive</w:t>
      </w:r>
      <w:r>
        <w:rPr>
          <w:rFonts w:cstheme="minorHAnsi"/>
          <w:lang w:val="en-US"/>
        </w:rPr>
        <w:t>;</w:t>
      </w:r>
    </w:p>
    <w:p w14:paraId="0DB384E7" w14:textId="6B758A91" w:rsidR="00EC0C0D" w:rsidRPr="00300E93" w:rsidRDefault="00EC0C0D" w:rsidP="00EC0C0D">
      <w:pPr>
        <w:pStyle w:val="Paragrafoelenco"/>
        <w:numPr>
          <w:ilvl w:val="0"/>
          <w:numId w:val="4"/>
        </w:numPr>
        <w:spacing w:after="0" w:line="480" w:lineRule="auto"/>
        <w:jc w:val="both"/>
        <w:rPr>
          <w:rFonts w:cstheme="minorHAnsi"/>
          <w:i/>
          <w:iCs/>
          <w:lang w:val="en-US"/>
        </w:rPr>
      </w:pPr>
      <w:r w:rsidRPr="00300E93">
        <w:rPr>
          <w:rFonts w:cstheme="minorHAnsi"/>
          <w:iCs/>
          <w:lang w:val="en-US"/>
        </w:rPr>
        <w:t>TV-on time in the home: consid</w:t>
      </w:r>
      <w:bookmarkStart w:id="0" w:name="_GoBack"/>
      <w:bookmarkEnd w:id="0"/>
      <w:r w:rsidRPr="00300E93">
        <w:rPr>
          <w:rFonts w:cstheme="minorHAnsi"/>
          <w:iCs/>
          <w:lang w:val="en-US"/>
        </w:rPr>
        <w:t>ered adequate if ≤4 hours per day at 1 and 2 year of age (Note: the reasoning behind this factor, and the cutoff time, was that, although a TV being on in the home will likely expose the child to a certain extent, the 4-hour cutoff allowed additional time for the parents' watching of the news and of the TV when the children were in bed);</w:t>
      </w:r>
      <w:r w:rsidRPr="00300E93">
        <w:rPr>
          <w:rFonts w:ascii="Calibri" w:hAnsi="Calibri" w:cs="Calibri"/>
          <w:lang w:val="en-US"/>
        </w:rPr>
        <w:t>[11]</w:t>
      </w:r>
      <w:r w:rsidRPr="00300E93">
        <w:rPr>
          <w:rFonts w:cstheme="minorHAnsi"/>
          <w:iCs/>
          <w:lang w:val="en-US"/>
        </w:rPr>
        <w:t xml:space="preserve">  the child was never given a smartphone or tablet to hold, and was never or almost never allowed to watch videos on any screen at 1 year of age.</w:t>
      </w:r>
      <w:r w:rsidRPr="00300E93" w:rsidDel="00914F91">
        <w:rPr>
          <w:rFonts w:cstheme="minorHAnsi"/>
          <w:iCs/>
          <w:lang w:val="en-US"/>
        </w:rPr>
        <w:t xml:space="preserve"> </w:t>
      </w:r>
      <w:r w:rsidRPr="00300E93">
        <w:rPr>
          <w:rFonts w:ascii="Calibri" w:hAnsi="Calibri" w:cs="Calibri"/>
          <w:lang w:val="en-US"/>
        </w:rPr>
        <w:t>[12,13]</w:t>
      </w:r>
    </w:p>
    <w:p w14:paraId="3B2C877F" w14:textId="77777777" w:rsidR="00EC0C0D" w:rsidRPr="00300E93" w:rsidRDefault="00EC0C0D">
      <w:pPr>
        <w:rPr>
          <w:rFonts w:cstheme="minorHAnsi"/>
          <w:b/>
          <w:iCs/>
          <w:lang w:val="en-US"/>
        </w:rPr>
      </w:pPr>
      <w:r w:rsidRPr="00300E93">
        <w:rPr>
          <w:rFonts w:cstheme="minorHAnsi"/>
          <w:b/>
          <w:iCs/>
          <w:lang w:val="en-US"/>
        </w:rPr>
        <w:br w:type="page"/>
      </w:r>
    </w:p>
    <w:p w14:paraId="3656F00C" w14:textId="77777777" w:rsidR="00F948F1" w:rsidRPr="00300E93" w:rsidRDefault="00EC0C0D">
      <w:pPr>
        <w:rPr>
          <w:lang w:val="en-US"/>
        </w:rPr>
      </w:pPr>
      <w:r w:rsidRPr="00300E93">
        <w:rPr>
          <w:rFonts w:cstheme="minorHAnsi"/>
          <w:b/>
          <w:iCs/>
          <w:lang w:val="en-US"/>
        </w:rPr>
        <w:t>References</w:t>
      </w:r>
    </w:p>
    <w:p w14:paraId="4043DF31" w14:textId="6980B4F1" w:rsidR="00EC0C0D" w:rsidRPr="00300E93" w:rsidRDefault="00EC0C0D" w:rsidP="001B0BFF">
      <w:pPr>
        <w:pStyle w:val="Bibliografia"/>
        <w:rPr>
          <w:rFonts w:cstheme="minorHAnsi"/>
          <w:szCs w:val="24"/>
          <w:lang w:val="en-US"/>
        </w:rPr>
      </w:pPr>
      <w:r w:rsidRPr="00300E93">
        <w:rPr>
          <w:rFonts w:cstheme="minorHAnsi"/>
          <w:szCs w:val="24"/>
          <w:lang w:val="en-US"/>
        </w:rPr>
        <w:t>[1]</w:t>
      </w:r>
      <w:r w:rsidRPr="00300E93">
        <w:rPr>
          <w:rFonts w:cstheme="minorHAnsi"/>
          <w:szCs w:val="24"/>
          <w:lang w:val="en-US"/>
        </w:rPr>
        <w:tab/>
        <w:t>CDC’s Developmental Milestones 2019.</w:t>
      </w:r>
    </w:p>
    <w:p w14:paraId="06D624AF" w14:textId="77777777" w:rsidR="00EC0C0D" w:rsidRPr="00300E93" w:rsidRDefault="00EC0C0D" w:rsidP="001B0BFF">
      <w:pPr>
        <w:pStyle w:val="Bibliografia"/>
        <w:rPr>
          <w:rFonts w:cstheme="minorHAnsi"/>
          <w:szCs w:val="24"/>
          <w:lang w:val="en-US"/>
        </w:rPr>
      </w:pPr>
      <w:r w:rsidRPr="00300E93">
        <w:rPr>
          <w:rFonts w:cstheme="minorHAnsi"/>
          <w:szCs w:val="24"/>
          <w:lang w:val="en-US"/>
        </w:rPr>
        <w:t>[2]</w:t>
      </w:r>
      <w:r w:rsidRPr="00300E93">
        <w:rPr>
          <w:rFonts w:cstheme="minorHAnsi"/>
          <w:szCs w:val="24"/>
          <w:lang w:val="en-US"/>
        </w:rPr>
        <w:tab/>
        <w:t>Jones PS, Lee JW, Phillips LR, Zhang XE, Jaceldo KB. An Adaptation of Brislin???s Translation Model for Cross-cultural Research: Nursing Research 2001;50:300–4. https://doi.org/10.1097/00006199-200109000-00008.</w:t>
      </w:r>
    </w:p>
    <w:p w14:paraId="604A04CB" w14:textId="77777777" w:rsidR="00EC0C0D" w:rsidRPr="00300E93" w:rsidRDefault="00EC0C0D" w:rsidP="001B0BFF">
      <w:pPr>
        <w:pStyle w:val="Bibliografia"/>
        <w:rPr>
          <w:rFonts w:cstheme="minorHAnsi"/>
          <w:szCs w:val="24"/>
          <w:lang w:val="en-US"/>
        </w:rPr>
      </w:pPr>
      <w:r w:rsidRPr="00300E93">
        <w:rPr>
          <w:rFonts w:cstheme="minorHAnsi"/>
          <w:szCs w:val="24"/>
          <w:lang w:val="en-US"/>
        </w:rPr>
        <w:t>[3]</w:t>
      </w:r>
      <w:r w:rsidRPr="00300E93">
        <w:rPr>
          <w:rFonts w:cstheme="minorHAnsi"/>
          <w:szCs w:val="24"/>
          <w:lang w:val="en-US"/>
        </w:rPr>
        <w:tab/>
        <w:t>Robins DL, Barton M, Fein D. Modified Checklist for Autism in Toddlers, Revised with Follow-up 2018. https://doi.org/10.1037/t67574-000.</w:t>
      </w:r>
    </w:p>
    <w:p w14:paraId="12A6DAEE" w14:textId="77777777" w:rsidR="00EC0C0D" w:rsidRPr="00300E93" w:rsidRDefault="00EC0C0D" w:rsidP="001B0BFF">
      <w:pPr>
        <w:pStyle w:val="Bibliografia"/>
        <w:rPr>
          <w:rFonts w:cstheme="minorHAnsi"/>
          <w:szCs w:val="24"/>
        </w:rPr>
      </w:pPr>
      <w:r w:rsidRPr="00300E93">
        <w:rPr>
          <w:rFonts w:cstheme="minorHAnsi"/>
          <w:szCs w:val="24"/>
          <w:lang w:val="en-US"/>
        </w:rPr>
        <w:t>[4]</w:t>
      </w:r>
      <w:r w:rsidRPr="00300E93">
        <w:rPr>
          <w:rFonts w:cstheme="minorHAnsi"/>
          <w:szCs w:val="24"/>
          <w:lang w:val="en-US"/>
        </w:rPr>
        <w:tab/>
        <w:t xml:space="preserve">Abidin RR. Parenting stress index. Psychological Assessment Resources, Inc. (3rd ed.). </w:t>
      </w:r>
      <w:r w:rsidRPr="00300E93">
        <w:rPr>
          <w:rFonts w:cstheme="minorHAnsi"/>
          <w:szCs w:val="24"/>
        </w:rPr>
        <w:t>Florida: Odessa.: 1995.</w:t>
      </w:r>
    </w:p>
    <w:p w14:paraId="2629A79E" w14:textId="77777777" w:rsidR="00EC0C0D" w:rsidRPr="00300E93" w:rsidRDefault="00EC0C0D" w:rsidP="001B0BFF">
      <w:pPr>
        <w:pStyle w:val="Bibliografia"/>
        <w:rPr>
          <w:rFonts w:cstheme="minorHAnsi"/>
          <w:szCs w:val="24"/>
          <w:lang w:val="en-US"/>
        </w:rPr>
      </w:pPr>
      <w:r w:rsidRPr="00300E93">
        <w:rPr>
          <w:rFonts w:cstheme="minorHAnsi"/>
          <w:szCs w:val="24"/>
        </w:rPr>
        <w:t>[5]</w:t>
      </w:r>
      <w:r w:rsidRPr="00300E93">
        <w:rPr>
          <w:rFonts w:cstheme="minorHAnsi"/>
          <w:szCs w:val="24"/>
        </w:rPr>
        <w:tab/>
        <w:t xml:space="preserve">Guarino A, Di Blasio P, D’Alessio M, Camisasca E, Serantoni M. Parenting Stress Index Short Form. </w:t>
      </w:r>
      <w:r w:rsidRPr="00300E93">
        <w:rPr>
          <w:rFonts w:cstheme="minorHAnsi"/>
          <w:szCs w:val="24"/>
          <w:lang w:val="en-US"/>
        </w:rPr>
        <w:t>Italian Validation. Florence: Giunti O.S. Organizzazioni Speciali.; 2008.</w:t>
      </w:r>
    </w:p>
    <w:p w14:paraId="271012FF" w14:textId="77777777" w:rsidR="00EC0C0D" w:rsidRPr="00300E93" w:rsidRDefault="00EC0C0D" w:rsidP="001B0BFF">
      <w:pPr>
        <w:pStyle w:val="Bibliografia"/>
        <w:rPr>
          <w:rFonts w:cstheme="minorHAnsi"/>
          <w:szCs w:val="24"/>
          <w:lang w:val="en-US"/>
        </w:rPr>
      </w:pPr>
      <w:r w:rsidRPr="00300E93">
        <w:rPr>
          <w:rFonts w:cstheme="minorHAnsi"/>
          <w:szCs w:val="24"/>
          <w:lang w:val="en-US"/>
        </w:rPr>
        <w:t>[6]</w:t>
      </w:r>
      <w:r w:rsidRPr="00300E93">
        <w:rPr>
          <w:rFonts w:cstheme="minorHAnsi"/>
          <w:szCs w:val="24"/>
          <w:lang w:val="en-US"/>
        </w:rPr>
        <w:tab/>
        <w:t>Back to Sleep, Tummy to Play. HealthyChildrenOrg n.d. https://www.healthychildren.org/English/ages-stages/baby/sleep/Pages/Back-to-Sleep-Tummy-to-Play.aspx (accessed June 8, 2022).</w:t>
      </w:r>
    </w:p>
    <w:p w14:paraId="2EB575C3" w14:textId="77777777" w:rsidR="00EC0C0D" w:rsidRPr="00300E93" w:rsidRDefault="00EC0C0D" w:rsidP="001B0BFF">
      <w:pPr>
        <w:pStyle w:val="Bibliografia"/>
        <w:rPr>
          <w:rFonts w:cstheme="minorHAnsi"/>
          <w:szCs w:val="24"/>
          <w:lang w:val="en-US"/>
        </w:rPr>
      </w:pPr>
      <w:r w:rsidRPr="00300E93">
        <w:rPr>
          <w:rFonts w:cstheme="minorHAnsi"/>
          <w:szCs w:val="24"/>
          <w:lang w:val="en-US"/>
        </w:rPr>
        <w:t>[7]</w:t>
      </w:r>
      <w:r w:rsidRPr="00300E93">
        <w:rPr>
          <w:rFonts w:cstheme="minorHAnsi"/>
          <w:szCs w:val="24"/>
          <w:lang w:val="en-US"/>
        </w:rPr>
        <w:tab/>
        <w:t>World Health Organization. Guidelines on physical activity, sedentary behaviour and sleep for children under 5 years of age. Geneva: World Health Organization; 2019.</w:t>
      </w:r>
    </w:p>
    <w:p w14:paraId="02738B5E" w14:textId="77777777" w:rsidR="00EC0C0D" w:rsidRPr="00300E93" w:rsidRDefault="00EC0C0D" w:rsidP="001B0BFF">
      <w:pPr>
        <w:pStyle w:val="Bibliografia"/>
        <w:rPr>
          <w:rFonts w:cstheme="minorHAnsi"/>
          <w:szCs w:val="24"/>
          <w:lang w:val="en-US"/>
        </w:rPr>
      </w:pPr>
      <w:r w:rsidRPr="00300E93">
        <w:rPr>
          <w:rFonts w:cstheme="minorHAnsi"/>
          <w:szCs w:val="24"/>
          <w:lang w:val="en-US"/>
        </w:rPr>
        <w:t>[8]</w:t>
      </w:r>
      <w:r w:rsidRPr="00300E93">
        <w:rPr>
          <w:rFonts w:cstheme="minorHAnsi"/>
          <w:szCs w:val="24"/>
          <w:lang w:val="en-US"/>
        </w:rPr>
        <w:tab/>
        <w:t>Toddler Bedtime Trouble: Tips for Parents. HealthyChildrenOrg n.d. https://www.healthychildren.org/English/healthy-living/sleep/Pages/Bedtime-Trouble.aspx (accessed June 8, 2022).</w:t>
      </w:r>
    </w:p>
    <w:p w14:paraId="25B63A3D" w14:textId="77777777" w:rsidR="00EC0C0D" w:rsidRPr="00300E93" w:rsidRDefault="00EC0C0D" w:rsidP="001B0BFF">
      <w:pPr>
        <w:pStyle w:val="Bibliografia"/>
        <w:rPr>
          <w:rFonts w:cstheme="minorHAnsi"/>
          <w:szCs w:val="24"/>
          <w:lang w:val="en-US"/>
        </w:rPr>
      </w:pPr>
      <w:r w:rsidRPr="00300E93">
        <w:rPr>
          <w:rFonts w:cstheme="minorHAnsi"/>
          <w:szCs w:val="24"/>
          <w:lang w:val="en-US"/>
        </w:rPr>
        <w:t>[9]</w:t>
      </w:r>
      <w:r w:rsidRPr="00300E93">
        <w:rPr>
          <w:rFonts w:cstheme="minorHAnsi"/>
          <w:szCs w:val="24"/>
          <w:lang w:val="en-US"/>
        </w:rPr>
        <w:tab/>
        <w:t>Janssen X, Martin A, Hughes AR, Hill CM, Kotronoulas G, Hesketh KR. Associations of screen time, sedentary time and physical activity with sleep in under 5s: A systematic review and meta-analysis. Sleep Med Rev 2020;49:101226. https://doi.org/10.1016/j.smrv.2019.101226.</w:t>
      </w:r>
    </w:p>
    <w:p w14:paraId="5AE50CA1" w14:textId="77777777" w:rsidR="00EC0C0D" w:rsidRPr="00300E93" w:rsidRDefault="00EC0C0D" w:rsidP="001B0BFF">
      <w:pPr>
        <w:pStyle w:val="Bibliografia"/>
        <w:rPr>
          <w:rFonts w:cstheme="minorHAnsi"/>
          <w:szCs w:val="24"/>
          <w:lang w:val="en-US"/>
        </w:rPr>
      </w:pPr>
      <w:r w:rsidRPr="00300E93">
        <w:rPr>
          <w:rFonts w:cstheme="minorHAnsi"/>
          <w:szCs w:val="24"/>
          <w:lang w:val="en-US"/>
        </w:rPr>
        <w:t>[10]</w:t>
      </w:r>
      <w:r w:rsidRPr="00300E93">
        <w:rPr>
          <w:rFonts w:cstheme="minorHAnsi"/>
          <w:szCs w:val="24"/>
          <w:lang w:val="en-US"/>
        </w:rPr>
        <w:tab/>
        <w:t>Brush, Book, Bed: How to Structure Your Child’s Nighttime Routine. HealthyChildrenOrg n.d. https://www.healthychildren.org/English/healthy-living/oral-health/Pages/Brush-Book-Bed.aspx (accessed June 14, 2022).</w:t>
      </w:r>
    </w:p>
    <w:p w14:paraId="20225E7F" w14:textId="77777777" w:rsidR="00EC0C0D" w:rsidRPr="00300E93" w:rsidRDefault="00EC0C0D" w:rsidP="001B0BFF">
      <w:pPr>
        <w:pStyle w:val="Bibliografia"/>
        <w:rPr>
          <w:rFonts w:cstheme="minorHAnsi"/>
          <w:szCs w:val="24"/>
          <w:lang w:val="en-US"/>
        </w:rPr>
      </w:pPr>
      <w:r w:rsidRPr="00300E93">
        <w:rPr>
          <w:rFonts w:cstheme="minorHAnsi"/>
          <w:szCs w:val="24"/>
          <w:lang w:val="en-US"/>
        </w:rPr>
        <w:t>[11]</w:t>
      </w:r>
      <w:r w:rsidRPr="00300E93">
        <w:rPr>
          <w:rFonts w:cstheme="minorHAnsi"/>
          <w:szCs w:val="24"/>
          <w:lang w:val="en-US"/>
        </w:rPr>
        <w:tab/>
        <w:t>Why to Avoid TV for Infants &amp; Toddlers. HealthyChildrenOrg n.d. https://www.healthychildren.org/English/family-life/Media/Pages/Why-to-Avoid-TV-Before-Age-2.aspx (accessed June 8, 2022).</w:t>
      </w:r>
    </w:p>
    <w:p w14:paraId="618FF817" w14:textId="77777777" w:rsidR="00EC0C0D" w:rsidRPr="00300E93" w:rsidRDefault="00EC0C0D" w:rsidP="001B0BFF">
      <w:pPr>
        <w:pStyle w:val="Bibliografia"/>
        <w:rPr>
          <w:rFonts w:cstheme="minorHAnsi"/>
          <w:szCs w:val="24"/>
          <w:lang w:val="en-US"/>
        </w:rPr>
      </w:pPr>
      <w:r w:rsidRPr="00300E93">
        <w:rPr>
          <w:rFonts w:cstheme="minorHAnsi"/>
          <w:szCs w:val="24"/>
          <w:lang w:val="en-US"/>
        </w:rPr>
        <w:t>[12]</w:t>
      </w:r>
      <w:r w:rsidRPr="00300E93">
        <w:rPr>
          <w:rFonts w:cstheme="minorHAnsi"/>
          <w:szCs w:val="24"/>
          <w:lang w:val="en-US"/>
        </w:rPr>
        <w:tab/>
        <w:t>Madigan S, Browne D, Racine N, Mori C, Tough S. Association Between Screen Time and Children’s Performance on a Developmental Screening Test. JAMA Pediatr 2019;173:244. https://doi.org/10.1001/jamapediatrics.2018.5056.</w:t>
      </w:r>
    </w:p>
    <w:p w14:paraId="6B2D6EE8" w14:textId="77777777" w:rsidR="00EC0C0D" w:rsidRPr="00300E93" w:rsidRDefault="00EC0C0D" w:rsidP="001B0BFF">
      <w:pPr>
        <w:pStyle w:val="Bibliografia"/>
        <w:rPr>
          <w:rFonts w:cstheme="minorHAnsi"/>
          <w:szCs w:val="24"/>
          <w:lang w:val="en-US"/>
        </w:rPr>
      </w:pPr>
      <w:r w:rsidRPr="00300E93">
        <w:rPr>
          <w:rFonts w:cstheme="minorHAnsi"/>
          <w:szCs w:val="24"/>
          <w:lang w:val="en-US"/>
        </w:rPr>
        <w:t>[13]</w:t>
      </w:r>
      <w:r w:rsidRPr="00300E93">
        <w:rPr>
          <w:rFonts w:cstheme="minorHAnsi"/>
          <w:szCs w:val="24"/>
          <w:lang w:val="en-US"/>
        </w:rPr>
        <w:tab/>
        <w:t>Zhao J, Yu Z, Sun X, Wu S, Zhang J, Zhang D, et al. Association Between Screen Time Trajectory and Early Childhood Development in Children in China. JAMA Pediatr 2022. https://doi.org/10.1001/jamapediatrics.2022.1630.</w:t>
      </w:r>
    </w:p>
    <w:p w14:paraId="4904B158" w14:textId="77777777" w:rsidR="00EC0C0D" w:rsidRPr="00300E93" w:rsidRDefault="00EC0C0D" w:rsidP="001B0BFF">
      <w:pPr>
        <w:pStyle w:val="Bibliografia"/>
        <w:rPr>
          <w:rFonts w:cstheme="minorHAnsi"/>
          <w:szCs w:val="24"/>
          <w:lang w:val="en-US"/>
        </w:rPr>
      </w:pPr>
      <w:r w:rsidRPr="00300E93">
        <w:rPr>
          <w:rFonts w:cstheme="minorHAnsi"/>
          <w:szCs w:val="24"/>
          <w:lang w:val="en-US"/>
        </w:rPr>
        <w:t>[14]</w:t>
      </w:r>
      <w:r w:rsidRPr="00300E93">
        <w:rPr>
          <w:rFonts w:cstheme="minorHAnsi"/>
          <w:szCs w:val="24"/>
          <w:lang w:val="en-US"/>
        </w:rPr>
        <w:tab/>
        <w:t>Playing Outside: Why It’s Important for Kids. HealthyChildrenOrg n.d. https://www.healthychildren.org/English/family-life/power-of-play/Pages/playing-outside-why-its-important-for-kids.aspx (accessed June 8, 2022).</w:t>
      </w:r>
    </w:p>
    <w:p w14:paraId="54144892" w14:textId="77777777" w:rsidR="00EC0C0D" w:rsidRPr="00300E93" w:rsidRDefault="00EC0C0D" w:rsidP="001B0BFF">
      <w:pPr>
        <w:pStyle w:val="Bibliografia"/>
        <w:rPr>
          <w:rFonts w:cstheme="minorHAnsi"/>
          <w:szCs w:val="24"/>
          <w:lang w:val="en-US"/>
        </w:rPr>
      </w:pPr>
      <w:r w:rsidRPr="00300E93">
        <w:rPr>
          <w:rFonts w:cstheme="minorHAnsi"/>
          <w:szCs w:val="24"/>
          <w:lang w:val="en-US"/>
        </w:rPr>
        <w:t>[15]</w:t>
      </w:r>
      <w:r w:rsidRPr="00300E93">
        <w:rPr>
          <w:rFonts w:cstheme="minorHAnsi"/>
          <w:szCs w:val="24"/>
          <w:lang w:val="en-US"/>
        </w:rPr>
        <w:tab/>
        <w:t>CFOC Standards Database | National Resource Center n.d. https://nrckids.org/CFOC/Database/3.1.3.1 (accessed June 8, 2022).</w:t>
      </w:r>
    </w:p>
    <w:p w14:paraId="2930ED72" w14:textId="77777777" w:rsidR="00EC0C0D" w:rsidRPr="00EC0C0D" w:rsidRDefault="00EC0C0D" w:rsidP="001B0BFF">
      <w:pPr>
        <w:pStyle w:val="Bibliografia"/>
        <w:rPr>
          <w:rFonts w:cstheme="minorHAnsi"/>
          <w:szCs w:val="24"/>
        </w:rPr>
      </w:pPr>
      <w:r w:rsidRPr="00300E93">
        <w:rPr>
          <w:rFonts w:cstheme="minorHAnsi"/>
          <w:szCs w:val="24"/>
        </w:rPr>
        <w:t>[16]</w:t>
      </w:r>
      <w:r w:rsidRPr="00300E93">
        <w:rPr>
          <w:rFonts w:cstheme="minorHAnsi"/>
          <w:szCs w:val="24"/>
        </w:rPr>
        <w:tab/>
        <w:t>Toffol G, Reali L. Il benessere psico-fisico dei bambini migliora se frequentano spazi verdi. Quaderni ACP 2018;25:1–3.</w:t>
      </w:r>
    </w:p>
    <w:p w14:paraId="5511F12D" w14:textId="566E88BE" w:rsidR="00EC0C0D" w:rsidRDefault="00EC0C0D" w:rsidP="00EC0C0D">
      <w:pPr>
        <w:spacing w:line="276" w:lineRule="auto"/>
        <w:jc w:val="both"/>
      </w:pPr>
    </w:p>
    <w:sectPr w:rsidR="00EC0C0D" w:rsidSect="00DD40E0">
      <w:footerReference w:type="default" r:id="rId8"/>
      <w:pgSz w:w="11906" w:h="16838"/>
      <w:pgMar w:top="1417"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42D612" w14:textId="77777777" w:rsidR="00BE3A0C" w:rsidRDefault="001B0BFF">
      <w:pPr>
        <w:spacing w:after="0" w:line="240" w:lineRule="auto"/>
      </w:pPr>
      <w:r>
        <w:separator/>
      </w:r>
    </w:p>
  </w:endnote>
  <w:endnote w:type="continuationSeparator" w:id="0">
    <w:p w14:paraId="0DE14751" w14:textId="77777777" w:rsidR="00BE3A0C" w:rsidRDefault="001B0B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1103962566"/>
      <w:docPartObj>
        <w:docPartGallery w:val="Page Numbers (Bottom of Page)"/>
        <w:docPartUnique/>
      </w:docPartObj>
    </w:sdtPr>
    <w:sdtEndPr>
      <w:rPr>
        <w:rFonts w:ascii="Arial" w:hAnsi="Arial" w:cs="Arial"/>
      </w:rPr>
    </w:sdtEndPr>
    <w:sdtContent>
      <w:p w14:paraId="538CC95B" w14:textId="3AA26C3A" w:rsidR="00DD40E0" w:rsidRPr="00D54AFB" w:rsidRDefault="00EC0C0D">
        <w:pPr>
          <w:pStyle w:val="Pidipagina"/>
          <w:jc w:val="right"/>
          <w:rPr>
            <w:sz w:val="20"/>
            <w:szCs w:val="20"/>
          </w:rPr>
        </w:pPr>
        <w:r w:rsidRPr="00D54AFB">
          <w:rPr>
            <w:sz w:val="20"/>
            <w:szCs w:val="20"/>
          </w:rPr>
          <w:fldChar w:fldCharType="begin"/>
        </w:r>
        <w:r w:rsidRPr="00D54AFB">
          <w:rPr>
            <w:sz w:val="20"/>
            <w:szCs w:val="20"/>
          </w:rPr>
          <w:instrText>PAGE   \* MERGEFORMAT</w:instrText>
        </w:r>
        <w:r w:rsidRPr="00D54AFB">
          <w:rPr>
            <w:sz w:val="20"/>
            <w:szCs w:val="20"/>
          </w:rPr>
          <w:fldChar w:fldCharType="separate"/>
        </w:r>
        <w:r w:rsidR="00300E93">
          <w:rPr>
            <w:noProof/>
            <w:sz w:val="20"/>
            <w:szCs w:val="20"/>
          </w:rPr>
          <w:t>6</w:t>
        </w:r>
        <w:r w:rsidRPr="00D54AFB">
          <w:rPr>
            <w:sz w:val="20"/>
            <w:szCs w:val="20"/>
          </w:rPr>
          <w:fldChar w:fldCharType="end"/>
        </w:r>
      </w:p>
    </w:sdtContent>
  </w:sdt>
  <w:p w14:paraId="5B158D83" w14:textId="77777777" w:rsidR="00DD40E0" w:rsidRDefault="00300E9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5E1F1E" w14:textId="77777777" w:rsidR="00BE3A0C" w:rsidRDefault="001B0BFF">
      <w:pPr>
        <w:spacing w:after="0" w:line="240" w:lineRule="auto"/>
      </w:pPr>
      <w:r>
        <w:separator/>
      </w:r>
    </w:p>
  </w:footnote>
  <w:footnote w:type="continuationSeparator" w:id="0">
    <w:p w14:paraId="77BCAE6A" w14:textId="77777777" w:rsidR="00BE3A0C" w:rsidRDefault="001B0B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D0E1A"/>
    <w:multiLevelType w:val="hybridMultilevel"/>
    <w:tmpl w:val="3D4863A4"/>
    <w:lvl w:ilvl="0" w:tplc="9202C1BA">
      <w:start w:val="66"/>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DC96AB2"/>
    <w:multiLevelType w:val="hybridMultilevel"/>
    <w:tmpl w:val="07D6ED5A"/>
    <w:lvl w:ilvl="0" w:tplc="9202C1BA">
      <w:start w:val="66"/>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C625C03"/>
    <w:multiLevelType w:val="hybridMultilevel"/>
    <w:tmpl w:val="498015FA"/>
    <w:lvl w:ilvl="0" w:tplc="9202C1BA">
      <w:start w:val="66"/>
      <w:numFmt w:val="bullet"/>
      <w:lvlText w:val="-"/>
      <w:lvlJc w:val="left"/>
      <w:pPr>
        <w:ind w:left="1440" w:hanging="360"/>
      </w:pPr>
      <w:rPr>
        <w:rFonts w:ascii="Calibri" w:eastAsiaTheme="minorHAnsi" w:hAnsi="Calibri" w:cs="Calibri"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 w15:restartNumberingAfterBreak="0">
    <w:nsid w:val="4CC274D1"/>
    <w:multiLevelType w:val="hybridMultilevel"/>
    <w:tmpl w:val="9F004194"/>
    <w:lvl w:ilvl="0" w:tplc="9202C1BA">
      <w:start w:val="66"/>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FE546BF"/>
    <w:multiLevelType w:val="hybridMultilevel"/>
    <w:tmpl w:val="97BA3F90"/>
    <w:lvl w:ilvl="0" w:tplc="9202C1BA">
      <w:start w:val="66"/>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640E37C6"/>
    <w:multiLevelType w:val="hybridMultilevel"/>
    <w:tmpl w:val="471ED5E0"/>
    <w:lvl w:ilvl="0" w:tplc="AB904B1C">
      <w:numFmt w:val="bullet"/>
      <w:lvlText w:val="-"/>
      <w:lvlJc w:val="left"/>
      <w:pPr>
        <w:ind w:left="720" w:hanging="360"/>
      </w:pPr>
      <w:rPr>
        <w:rFonts w:ascii="Calibri" w:eastAsiaTheme="minorHAnsi" w:hAnsi="Calibri" w:cs="Calibri" w:hint="default"/>
        <w:u w:val="no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6A99467B"/>
    <w:multiLevelType w:val="hybridMultilevel"/>
    <w:tmpl w:val="9E84CB6C"/>
    <w:lvl w:ilvl="0" w:tplc="9202C1BA">
      <w:start w:val="66"/>
      <w:numFmt w:val="bullet"/>
      <w:lvlText w:val="-"/>
      <w:lvlJc w:val="left"/>
      <w:pPr>
        <w:ind w:left="644" w:hanging="360"/>
      </w:pPr>
      <w:rPr>
        <w:rFonts w:ascii="Calibri" w:eastAsiaTheme="minorHAnsi" w:hAnsi="Calibri" w:cs="Calibri"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num w:numId="1">
    <w:abstractNumId w:val="6"/>
  </w:num>
  <w:num w:numId="2">
    <w:abstractNumId w:val="2"/>
  </w:num>
  <w:num w:numId="3">
    <w:abstractNumId w:val="5"/>
  </w:num>
  <w:num w:numId="4">
    <w:abstractNumId w:val="1"/>
  </w:num>
  <w:num w:numId="5">
    <w:abstractNumId w:val="3"/>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it-IT" w:vendorID="64" w:dllVersion="131078" w:nlCheck="1" w:checkStyle="0"/>
  <w:activeWritingStyle w:appName="MSWord" w:lang="en-US" w:vendorID="64" w:dllVersion="131078" w:nlCheck="1" w:checkStyle="1"/>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jUwNzMztDQztrA0NLVU0lEKTi0uzszPAykwqwUA8fCLjywAAAA="/>
  </w:docVars>
  <w:rsids>
    <w:rsidRoot w:val="00EC0C0D"/>
    <w:rsid w:val="001400F1"/>
    <w:rsid w:val="001B0BFF"/>
    <w:rsid w:val="00284152"/>
    <w:rsid w:val="00300E93"/>
    <w:rsid w:val="005A634A"/>
    <w:rsid w:val="009A7892"/>
    <w:rsid w:val="009B52F7"/>
    <w:rsid w:val="00BA07D0"/>
    <w:rsid w:val="00BE3A0C"/>
    <w:rsid w:val="00BF53C5"/>
    <w:rsid w:val="00CA40DC"/>
    <w:rsid w:val="00D70A7C"/>
    <w:rsid w:val="00EC0C0D"/>
    <w:rsid w:val="00F7179B"/>
    <w:rsid w:val="00F948F1"/>
    <w:rsid w:val="00FB2F8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94BAA"/>
  <w15:chartTrackingRefBased/>
  <w15:docId w15:val="{03AB134F-E766-4692-AE98-907539529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C0C0D"/>
  </w:style>
  <w:style w:type="paragraph" w:styleId="Titolo1">
    <w:name w:val="heading 1"/>
    <w:basedOn w:val="Normale"/>
    <w:next w:val="Normale"/>
    <w:link w:val="Titolo1Carattere"/>
    <w:uiPriority w:val="9"/>
    <w:qFormat/>
    <w:rsid w:val="00284152"/>
    <w:pPr>
      <w:keepNext/>
      <w:keepLines/>
      <w:spacing w:before="240" w:after="0"/>
      <w:outlineLvl w:val="0"/>
    </w:pPr>
    <w:rPr>
      <w:rFonts w:eastAsiaTheme="majorEastAsia" w:cstheme="majorBidi"/>
      <w:b/>
      <w:szCs w:val="32"/>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84152"/>
    <w:rPr>
      <w:rFonts w:eastAsiaTheme="majorEastAsia" w:cstheme="majorBidi"/>
      <w:b/>
      <w:szCs w:val="32"/>
      <w:lang w:val="en-US"/>
    </w:rPr>
  </w:style>
  <w:style w:type="paragraph" w:styleId="Pidipagina">
    <w:name w:val="footer"/>
    <w:basedOn w:val="Normale"/>
    <w:link w:val="PidipaginaCarattere"/>
    <w:uiPriority w:val="99"/>
    <w:unhideWhenUsed/>
    <w:rsid w:val="00EC0C0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C0C0D"/>
  </w:style>
  <w:style w:type="paragraph" w:styleId="NormaleWeb">
    <w:name w:val="Normal (Web)"/>
    <w:basedOn w:val="Normale"/>
    <w:uiPriority w:val="99"/>
    <w:unhideWhenUsed/>
    <w:rsid w:val="00EC0C0D"/>
    <w:pPr>
      <w:spacing w:before="100" w:beforeAutospacing="1" w:after="100" w:afterAutospacing="1" w:line="240" w:lineRule="auto"/>
    </w:pPr>
    <w:rPr>
      <w:rFonts w:ascii="Times New Roman" w:eastAsiaTheme="minorEastAsia" w:hAnsi="Times New Roman" w:cs="Times New Roman"/>
      <w:sz w:val="24"/>
      <w:szCs w:val="24"/>
      <w:lang w:eastAsia="it-IT"/>
    </w:rPr>
  </w:style>
  <w:style w:type="paragraph" w:styleId="Bibliografia">
    <w:name w:val="Bibliography"/>
    <w:basedOn w:val="Normale"/>
    <w:next w:val="Normale"/>
    <w:uiPriority w:val="37"/>
    <w:unhideWhenUsed/>
    <w:rsid w:val="00EC0C0D"/>
    <w:pPr>
      <w:tabs>
        <w:tab w:val="left" w:pos="504"/>
      </w:tabs>
      <w:spacing w:after="0" w:line="240" w:lineRule="auto"/>
      <w:ind w:left="504" w:hanging="504"/>
    </w:pPr>
  </w:style>
  <w:style w:type="character" w:styleId="Rimandocommento">
    <w:name w:val="annotation reference"/>
    <w:basedOn w:val="Carpredefinitoparagrafo"/>
    <w:uiPriority w:val="99"/>
    <w:semiHidden/>
    <w:unhideWhenUsed/>
    <w:rsid w:val="009B52F7"/>
    <w:rPr>
      <w:sz w:val="16"/>
      <w:szCs w:val="16"/>
    </w:rPr>
  </w:style>
  <w:style w:type="paragraph" w:styleId="Testocommento">
    <w:name w:val="annotation text"/>
    <w:basedOn w:val="Normale"/>
    <w:link w:val="TestocommentoCarattere"/>
    <w:uiPriority w:val="99"/>
    <w:unhideWhenUsed/>
    <w:rsid w:val="009B52F7"/>
    <w:pPr>
      <w:spacing w:line="240" w:lineRule="auto"/>
    </w:pPr>
    <w:rPr>
      <w:sz w:val="20"/>
      <w:szCs w:val="20"/>
    </w:rPr>
  </w:style>
  <w:style w:type="character" w:customStyle="1" w:styleId="TestocommentoCarattere">
    <w:name w:val="Testo commento Carattere"/>
    <w:basedOn w:val="Carpredefinitoparagrafo"/>
    <w:link w:val="Testocommento"/>
    <w:uiPriority w:val="99"/>
    <w:rsid w:val="009B52F7"/>
    <w:rPr>
      <w:sz w:val="20"/>
      <w:szCs w:val="20"/>
    </w:rPr>
  </w:style>
  <w:style w:type="paragraph" w:styleId="Paragrafoelenco">
    <w:name w:val="List Paragraph"/>
    <w:basedOn w:val="Normale"/>
    <w:uiPriority w:val="34"/>
    <w:qFormat/>
    <w:rsid w:val="001400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maurizio.bonati@marionegri.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6</Pages>
  <Words>1879</Words>
  <Characters>10715</Characters>
  <Application>Microsoft Office Word</Application>
  <DocSecurity>0</DocSecurity>
  <Lines>89</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 Roberti</dc:creator>
  <cp:keywords/>
  <dc:description/>
  <cp:lastModifiedBy>Elisa Roberti</cp:lastModifiedBy>
  <cp:revision>4</cp:revision>
  <dcterms:created xsi:type="dcterms:W3CDTF">2023-10-17T16:56:00Z</dcterms:created>
  <dcterms:modified xsi:type="dcterms:W3CDTF">2024-01-08T12:42:00Z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zotero-version="6.0.23"&gt;&lt;session id="uB3QH3da"/&gt;&lt;style id="http://www.zotero.org/styles/elsevier-vancouver" hasBibliography="1" bibliographyStyleHasBeenSet="1"/&gt;&lt;prefs&gt;&lt;pref name="fieldType" value="Field"/&gt;&lt;/prefs&gt;&lt;/data&gt;</vt:lpwstr>
  </property>
</Properties>
</file>