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061B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EAAEDF5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2E77BA07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42287948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25C197B9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0EE66283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375DE7F3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28981D23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EA2829B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B796BAB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2C246699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0B80CF95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7A82BFE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39AC9733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2D3156E5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58DF6116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0C9C774A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99913BE" w14:textId="77777777" w:rsidR="00DE2822" w:rsidRPr="003B1718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30975344" w14:textId="76C5063E" w:rsidR="00DE2822" w:rsidRPr="00744E5E" w:rsidRDefault="00DE2822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right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Additional File </w:t>
      </w:r>
      <w:r w:rsidR="004B163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5</w:t>
      </w:r>
    </w:p>
    <w:p w14:paraId="3862191E" w14:textId="09354C76" w:rsidR="00DE2822" w:rsidRPr="00744E5E" w:rsidRDefault="004B1635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right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Synthesis of results under </w:t>
      </w:r>
      <w:r w:rsidRPr="004B1635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Pager Framework</w:t>
      </w:r>
    </w:p>
    <w:p w14:paraId="2E5C188C" w14:textId="77777777" w:rsidR="004B1635" w:rsidRDefault="004B1635" w:rsidP="00DE282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Arial" w:hAnsi="Arial" w:cs="Arial"/>
          <w:color w:val="000000"/>
          <w:sz w:val="24"/>
          <w:szCs w:val="24"/>
          <w:lang w:val="en-US"/>
        </w:rPr>
        <w:sectPr w:rsidR="004B1635" w:rsidSect="0079559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98B39A7" w14:textId="79EEF075" w:rsidR="00DE2822" w:rsidRPr="00744E5E" w:rsidRDefault="00DE2822" w:rsidP="00DE28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u w:val="single"/>
          <w:lang w:val="en-US"/>
        </w:rPr>
        <w:lastRenderedPageBreak/>
        <w:t xml:space="preserve">Additional File </w:t>
      </w:r>
      <w:r w:rsidR="004B1635">
        <w:rPr>
          <w:rFonts w:ascii="Arial" w:eastAsia="Times New Roman" w:hAnsi="Arial" w:cs="Arial"/>
          <w:b/>
          <w:bCs/>
          <w:color w:val="000000"/>
          <w:u w:val="single"/>
          <w:lang w:val="en-US"/>
        </w:rPr>
        <w:t>5</w:t>
      </w:r>
    </w:p>
    <w:p w14:paraId="7441B669" w14:textId="77777777" w:rsidR="004B1635" w:rsidRDefault="004B1635" w:rsidP="004B163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n-US"/>
        </w:rPr>
      </w:pPr>
      <w:r w:rsidRPr="004B1635">
        <w:rPr>
          <w:rFonts w:ascii="Arial" w:eastAsia="Times New Roman" w:hAnsi="Arial" w:cs="Arial"/>
          <w:b/>
          <w:bCs/>
          <w:color w:val="000000"/>
          <w:lang w:val="en-US"/>
        </w:rPr>
        <w:t xml:space="preserve">Synthesis of results under </w:t>
      </w:r>
      <w:r w:rsidRPr="004B1635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Pager Framework</w:t>
      </w:r>
    </w:p>
    <w:p w14:paraId="4EA48BDA" w14:textId="77777777" w:rsidR="004B1635" w:rsidRDefault="004B1635" w:rsidP="004B163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n-US"/>
        </w:rPr>
      </w:pPr>
    </w:p>
    <w:p w14:paraId="4B0AD21B" w14:textId="7000254E" w:rsidR="004B1635" w:rsidRPr="004B1635" w:rsidRDefault="004B1635" w:rsidP="004B163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tbl>
      <w:tblPr>
        <w:tblStyle w:val="TabelacomGrelha"/>
        <w:tblpPr w:leftFromText="141" w:rightFromText="141" w:vertAnchor="text" w:horzAnchor="margin" w:tblpY="175"/>
        <w:tblW w:w="5000" w:type="pct"/>
        <w:tblLook w:val="04A0" w:firstRow="1" w:lastRow="0" w:firstColumn="1" w:lastColumn="0" w:noHBand="0" w:noVBand="1"/>
      </w:tblPr>
      <w:tblGrid>
        <w:gridCol w:w="1669"/>
        <w:gridCol w:w="3082"/>
        <w:gridCol w:w="3081"/>
        <w:gridCol w:w="3081"/>
        <w:gridCol w:w="3081"/>
      </w:tblGrid>
      <w:tr w:rsidR="004B1635" w:rsidRPr="004B1635" w14:paraId="73869E94" w14:textId="77777777" w:rsidTr="0041326C">
        <w:trPr>
          <w:trHeight w:val="340"/>
        </w:trPr>
        <w:tc>
          <w:tcPr>
            <w:tcW w:w="596" w:type="pct"/>
            <w:shd w:val="clear" w:color="auto" w:fill="FFE599" w:themeFill="accent4" w:themeFillTint="66"/>
            <w:vAlign w:val="center"/>
          </w:tcPr>
          <w:p w14:paraId="792B2647" w14:textId="77777777" w:rsidR="004B1635" w:rsidRPr="004B1635" w:rsidRDefault="004B1635" w:rsidP="004132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Patterns</w:t>
            </w:r>
          </w:p>
        </w:tc>
        <w:tc>
          <w:tcPr>
            <w:tcW w:w="1101" w:type="pct"/>
            <w:shd w:val="clear" w:color="auto" w:fill="FFE599" w:themeFill="accent4" w:themeFillTint="66"/>
            <w:vAlign w:val="center"/>
          </w:tcPr>
          <w:p w14:paraId="07687525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Advances</w:t>
            </w:r>
          </w:p>
        </w:tc>
        <w:tc>
          <w:tcPr>
            <w:tcW w:w="1101" w:type="pct"/>
            <w:shd w:val="clear" w:color="auto" w:fill="FFE599" w:themeFill="accent4" w:themeFillTint="66"/>
            <w:vAlign w:val="center"/>
          </w:tcPr>
          <w:p w14:paraId="4D62CFF4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Gaps</w:t>
            </w:r>
          </w:p>
        </w:tc>
        <w:tc>
          <w:tcPr>
            <w:tcW w:w="1101" w:type="pct"/>
            <w:shd w:val="clear" w:color="auto" w:fill="FFE599" w:themeFill="accent4" w:themeFillTint="66"/>
            <w:vAlign w:val="center"/>
          </w:tcPr>
          <w:p w14:paraId="62D0905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Evidence for practice</w:t>
            </w:r>
          </w:p>
        </w:tc>
        <w:tc>
          <w:tcPr>
            <w:tcW w:w="1101" w:type="pct"/>
            <w:shd w:val="clear" w:color="auto" w:fill="FFE599" w:themeFill="accent4" w:themeFillTint="66"/>
            <w:vAlign w:val="center"/>
          </w:tcPr>
          <w:p w14:paraId="763F3FFC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Recommendations for research</w:t>
            </w:r>
          </w:p>
        </w:tc>
      </w:tr>
      <w:tr w:rsidR="004B1635" w:rsidRPr="004B1635" w14:paraId="3BF23FEB" w14:textId="77777777" w:rsidTr="0041326C">
        <w:trPr>
          <w:trHeight w:val="20"/>
        </w:trPr>
        <w:tc>
          <w:tcPr>
            <w:tcW w:w="596" w:type="pct"/>
            <w:shd w:val="clear" w:color="auto" w:fill="FFF2CC" w:themeFill="accent4" w:themeFillTint="33"/>
            <w:vAlign w:val="center"/>
          </w:tcPr>
          <w:p w14:paraId="0E7E9386" w14:textId="77777777" w:rsidR="004B1635" w:rsidRPr="004B1635" w:rsidRDefault="004B1635" w:rsidP="004132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Nature of the transitions</w:t>
            </w:r>
          </w:p>
        </w:tc>
        <w:tc>
          <w:tcPr>
            <w:tcW w:w="1101" w:type="pct"/>
            <w:vAlign w:val="center"/>
          </w:tcPr>
          <w:p w14:paraId="28EE239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Understanding how to manage the multidimensionality of care and the psychosocial needs of children with CCC and their parents in hospital and community settings</w:t>
            </w:r>
          </w:p>
        </w:tc>
        <w:tc>
          <w:tcPr>
            <w:tcW w:w="1101" w:type="pct"/>
            <w:vAlign w:val="center"/>
          </w:tcPr>
          <w:p w14:paraId="52D9371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Lack of studies on developmental transitions in children with CCC</w:t>
            </w:r>
          </w:p>
          <w:p w14:paraId="7224681D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79BB2827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Defining the profile and prevalence of needs of children with CCC and their families</w:t>
            </w:r>
          </w:p>
        </w:tc>
        <w:tc>
          <w:tcPr>
            <w:tcW w:w="1101" w:type="pct"/>
            <w:vAlign w:val="center"/>
          </w:tcPr>
          <w:p w14:paraId="1C005788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Development of a care process focused beyond the health-disease situation, with interventions related to the psychosocial aspect</w:t>
            </w:r>
          </w:p>
        </w:tc>
        <w:tc>
          <w:tcPr>
            <w:tcW w:w="1101" w:type="pct"/>
            <w:vAlign w:val="center"/>
          </w:tcPr>
          <w:p w14:paraId="542ABD85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National and international prevalence studies on children with CCC</w:t>
            </w:r>
          </w:p>
          <w:p w14:paraId="06B56B3D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78DFC76B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Studies focusing on the development of children with CCC</w:t>
            </w:r>
          </w:p>
        </w:tc>
      </w:tr>
      <w:tr w:rsidR="004B1635" w:rsidRPr="004B1635" w14:paraId="74A59EA5" w14:textId="77777777" w:rsidTr="0041326C">
        <w:trPr>
          <w:trHeight w:val="20"/>
        </w:trPr>
        <w:tc>
          <w:tcPr>
            <w:tcW w:w="596" w:type="pct"/>
            <w:shd w:val="clear" w:color="auto" w:fill="FFF2CC" w:themeFill="accent4" w:themeFillTint="33"/>
            <w:vAlign w:val="center"/>
          </w:tcPr>
          <w:p w14:paraId="578AF15D" w14:textId="77777777" w:rsidR="004B1635" w:rsidRPr="004B1635" w:rsidRDefault="004B1635" w:rsidP="004132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Facilitating conditionalisms</w:t>
            </w:r>
          </w:p>
        </w:tc>
        <w:tc>
          <w:tcPr>
            <w:tcW w:w="1101" w:type="pct"/>
            <w:vAlign w:val="center"/>
          </w:tcPr>
          <w:p w14:paraId="085A5235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Valuing positive communication, empowering relationships, and family support as the main facilitating factors</w:t>
            </w:r>
          </w:p>
        </w:tc>
        <w:tc>
          <w:tcPr>
            <w:tcW w:w="1101" w:type="pct"/>
            <w:vAlign w:val="center"/>
          </w:tcPr>
          <w:p w14:paraId="0C10716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Few studies on the role of therapeutic play and spirituality</w:t>
            </w:r>
          </w:p>
          <w:p w14:paraId="6DDC48F2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36E770C3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Communication challenges based on multiculturalism</w:t>
            </w:r>
          </w:p>
        </w:tc>
        <w:tc>
          <w:tcPr>
            <w:tcW w:w="1101" w:type="pct"/>
            <w:vAlign w:val="center"/>
          </w:tcPr>
          <w:p w14:paraId="67DDC4A0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Focus on the communication approach and socio-family assessment as important elements of the care plan, valuing the importance of partnership with parents</w:t>
            </w:r>
          </w:p>
        </w:tc>
        <w:tc>
          <w:tcPr>
            <w:tcW w:w="1101" w:type="pct"/>
            <w:vAlign w:val="center"/>
          </w:tcPr>
          <w:p w14:paraId="41CD1B85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Studies on the impact of programs related to therapeutic play and spirituality in mediating the transitional process</w:t>
            </w:r>
          </w:p>
        </w:tc>
      </w:tr>
      <w:tr w:rsidR="004B1635" w:rsidRPr="004B1635" w14:paraId="3E4AB6C4" w14:textId="77777777" w:rsidTr="0041326C">
        <w:trPr>
          <w:trHeight w:val="1077"/>
        </w:trPr>
        <w:tc>
          <w:tcPr>
            <w:tcW w:w="596" w:type="pct"/>
            <w:shd w:val="clear" w:color="auto" w:fill="FFF2CC" w:themeFill="accent4" w:themeFillTint="33"/>
            <w:vAlign w:val="center"/>
          </w:tcPr>
          <w:p w14:paraId="10C41E46" w14:textId="77777777" w:rsidR="004B1635" w:rsidRPr="004B1635" w:rsidRDefault="004B1635" w:rsidP="004132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Inhibiting conditionalisms</w:t>
            </w:r>
          </w:p>
        </w:tc>
        <w:tc>
          <w:tcPr>
            <w:tcW w:w="1101" w:type="pct"/>
            <w:vAlign w:val="center"/>
          </w:tcPr>
          <w:p w14:paraId="4ECA2059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Clinical complexity, ineffective coordination between teams, prejudices about children with CCC and economic difficulties as the main barriers</w:t>
            </w:r>
          </w:p>
        </w:tc>
        <w:tc>
          <w:tcPr>
            <w:tcW w:w="1101" w:type="pct"/>
            <w:vAlign w:val="center"/>
          </w:tcPr>
          <w:p w14:paraId="3B47C3A9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Few studies on children's adaptation to CCC</w:t>
            </w:r>
          </w:p>
          <w:p w14:paraId="4B29EF41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22CC67AF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Particularization of policies that hinder the management of CCC</w:t>
            </w:r>
          </w:p>
        </w:tc>
        <w:tc>
          <w:tcPr>
            <w:tcW w:w="1101" w:type="pct"/>
            <w:vAlign w:val="center"/>
          </w:tcPr>
          <w:p w14:paraId="16B25A9A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Operationalization of the professionals' approach focused on their inter-collaboration and articulation</w:t>
            </w:r>
          </w:p>
          <w:p w14:paraId="534A77FF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6AEA585C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Social intervention to minimize economic difficulties</w:t>
            </w:r>
          </w:p>
        </w:tc>
        <w:tc>
          <w:tcPr>
            <w:tcW w:w="1101" w:type="pct"/>
            <w:vAlign w:val="center"/>
          </w:tcPr>
          <w:p w14:paraId="3B4CC2C0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Qualitative studies on the child's perception of adaptation to CCC and social difficulties</w:t>
            </w:r>
          </w:p>
          <w:p w14:paraId="0AD806DC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1C8BE7DC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Publications on the importance of adjusting policies to the needs of these children and parents</w:t>
            </w:r>
          </w:p>
        </w:tc>
      </w:tr>
      <w:tr w:rsidR="004B1635" w:rsidRPr="004B1635" w14:paraId="6E6DE580" w14:textId="77777777" w:rsidTr="0041326C">
        <w:trPr>
          <w:trHeight w:val="20"/>
        </w:trPr>
        <w:tc>
          <w:tcPr>
            <w:tcW w:w="596" w:type="pct"/>
            <w:shd w:val="clear" w:color="auto" w:fill="FFF2CC" w:themeFill="accent4" w:themeFillTint="33"/>
            <w:vAlign w:val="center"/>
          </w:tcPr>
          <w:p w14:paraId="535260DB" w14:textId="77777777" w:rsidR="004B1635" w:rsidRPr="004B1635" w:rsidRDefault="004B1635" w:rsidP="004132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Health interventions</w:t>
            </w:r>
          </w:p>
        </w:tc>
        <w:tc>
          <w:tcPr>
            <w:tcW w:w="1101" w:type="pct"/>
            <w:vAlign w:val="center"/>
          </w:tcPr>
          <w:p w14:paraId="1A5AA1BB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Implementation of PPC, together with empowerment, articulation with the community and advanced care planning considered to be the main interventions</w:t>
            </w:r>
          </w:p>
        </w:tc>
        <w:tc>
          <w:tcPr>
            <w:tcW w:w="1101" w:type="pct"/>
            <w:vAlign w:val="center"/>
          </w:tcPr>
          <w:p w14:paraId="21FB3331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Few studies on interventions aimed at children with CCC, although they are mentioned as facilitators</w:t>
            </w:r>
          </w:p>
          <w:p w14:paraId="3CE79161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1AC10105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Technology's contribution to CCC intervention</w:t>
            </w:r>
          </w:p>
        </w:tc>
        <w:tc>
          <w:tcPr>
            <w:tcW w:w="1101" w:type="pct"/>
            <w:vAlign w:val="center"/>
          </w:tcPr>
          <w:p w14:paraId="7950DAE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Implementing PPC from diagnosis onwards</w:t>
            </w:r>
          </w:p>
          <w:p w14:paraId="2DEBCC8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4A13333C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Integrative approach to advanced care planning</w:t>
            </w:r>
          </w:p>
        </w:tc>
        <w:tc>
          <w:tcPr>
            <w:tcW w:w="1101" w:type="pct"/>
            <w:vAlign w:val="center"/>
          </w:tcPr>
          <w:p w14:paraId="5DA161DB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Studies on the contribution of digital health to intervention for children with CCC</w:t>
            </w:r>
          </w:p>
          <w:p w14:paraId="1333FF54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4CD6FB27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Descriptive studies / experience reports on the implementation of PPC in this context</w:t>
            </w:r>
          </w:p>
        </w:tc>
      </w:tr>
      <w:tr w:rsidR="004B1635" w:rsidRPr="004B1635" w14:paraId="48E96049" w14:textId="77777777" w:rsidTr="0041326C">
        <w:trPr>
          <w:trHeight w:val="20"/>
        </w:trPr>
        <w:tc>
          <w:tcPr>
            <w:tcW w:w="596" w:type="pct"/>
            <w:shd w:val="clear" w:color="auto" w:fill="FFF2CC" w:themeFill="accent4" w:themeFillTint="33"/>
            <w:vAlign w:val="center"/>
          </w:tcPr>
          <w:p w14:paraId="090A53A4" w14:textId="77777777" w:rsidR="004B1635" w:rsidRPr="004B1635" w:rsidRDefault="004B1635" w:rsidP="004132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B163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Patterns of response</w:t>
            </w:r>
          </w:p>
        </w:tc>
        <w:tc>
          <w:tcPr>
            <w:tcW w:w="1101" w:type="pct"/>
            <w:vAlign w:val="center"/>
          </w:tcPr>
          <w:p w14:paraId="6C3782E2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Effective self-management, </w:t>
            </w:r>
            <w:proofErr w:type="gramStart"/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well-being</w:t>
            </w:r>
            <w:proofErr w:type="gramEnd"/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 and quality of life as the main positive response patterns</w:t>
            </w:r>
          </w:p>
          <w:p w14:paraId="28A4FCCF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5C834978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Social isolation and decreased quality of life as the main negative response patterns, especially in the diagnostic phase</w:t>
            </w:r>
          </w:p>
        </w:tc>
        <w:tc>
          <w:tcPr>
            <w:tcW w:w="1101" w:type="pct"/>
            <w:vAlign w:val="center"/>
          </w:tcPr>
          <w:p w14:paraId="33A66A3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Few studies on the relationship between the personal and professional lives of parents who take on the role of caregiver</w:t>
            </w:r>
          </w:p>
          <w:p w14:paraId="1246AAB6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3C0FC7F5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The child's reported perspective on the CCC situation</w:t>
            </w:r>
          </w:p>
        </w:tc>
        <w:tc>
          <w:tcPr>
            <w:tcW w:w="1101" w:type="pct"/>
            <w:vAlign w:val="center"/>
          </w:tcPr>
          <w:p w14:paraId="4476D28D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Encourage positive response patterns early on, while monitoring quality of life and any negative effects (stress, overload, etc.)</w:t>
            </w:r>
          </w:p>
        </w:tc>
        <w:tc>
          <w:tcPr>
            <w:tcW w:w="1101" w:type="pct"/>
            <w:vAlign w:val="center"/>
          </w:tcPr>
          <w:p w14:paraId="1D784F2E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Studies focused on the impact of CCC on parents' professional lives</w:t>
            </w:r>
          </w:p>
          <w:p w14:paraId="2B825707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42516DAD" w14:textId="77777777" w:rsidR="004B1635" w:rsidRPr="004B1635" w:rsidRDefault="004B1635" w:rsidP="0041326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635">
              <w:rPr>
                <w:rFonts w:ascii="Arial" w:hAnsi="Arial" w:cs="Arial"/>
                <w:sz w:val="18"/>
                <w:szCs w:val="18"/>
                <w:lang w:val="en-US"/>
              </w:rPr>
              <w:t>Studies aimed at understanding children's perspectives on CCC in their daily lives</w:t>
            </w:r>
          </w:p>
        </w:tc>
      </w:tr>
    </w:tbl>
    <w:p w14:paraId="433398F6" w14:textId="03D9281B" w:rsidR="00DE2822" w:rsidRPr="00744E5E" w:rsidRDefault="00DE2822" w:rsidP="00DE2822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sectPr w:rsidR="00DE2822" w:rsidRPr="00744E5E" w:rsidSect="0079559F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1D13" w14:textId="77777777" w:rsidR="0079559F" w:rsidRDefault="0079559F" w:rsidP="004B1635">
      <w:pPr>
        <w:spacing w:after="0" w:line="240" w:lineRule="auto"/>
      </w:pPr>
      <w:r>
        <w:separator/>
      </w:r>
    </w:p>
  </w:endnote>
  <w:endnote w:type="continuationSeparator" w:id="0">
    <w:p w14:paraId="14821821" w14:textId="77777777" w:rsidR="0079559F" w:rsidRDefault="0079559F" w:rsidP="004B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5C1D" w14:textId="77777777" w:rsidR="0079559F" w:rsidRDefault="0079559F" w:rsidP="004B1635">
      <w:pPr>
        <w:spacing w:after="0" w:line="240" w:lineRule="auto"/>
      </w:pPr>
      <w:r>
        <w:separator/>
      </w:r>
    </w:p>
  </w:footnote>
  <w:footnote w:type="continuationSeparator" w:id="0">
    <w:p w14:paraId="6EABFBDB" w14:textId="77777777" w:rsidR="0079559F" w:rsidRDefault="0079559F" w:rsidP="004B1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B0BE" w14:textId="77777777" w:rsidR="004B1635" w:rsidRDefault="004B16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178D"/>
    <w:multiLevelType w:val="hybridMultilevel"/>
    <w:tmpl w:val="7220A6B4"/>
    <w:lvl w:ilvl="0" w:tplc="E156629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CC880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88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D85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425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9C7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45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211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5C95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4464B"/>
    <w:multiLevelType w:val="multilevel"/>
    <w:tmpl w:val="C446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949CA"/>
    <w:multiLevelType w:val="multilevel"/>
    <w:tmpl w:val="1206F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97825"/>
    <w:multiLevelType w:val="hybridMultilevel"/>
    <w:tmpl w:val="FCE45934"/>
    <w:lvl w:ilvl="0" w:tplc="B0AC5FF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DCCF0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C04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903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E07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D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E3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B0D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84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45F84"/>
    <w:multiLevelType w:val="hybridMultilevel"/>
    <w:tmpl w:val="3938A102"/>
    <w:lvl w:ilvl="0" w:tplc="6696FAD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FA2EB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EA79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723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A84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018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40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CA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CE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D6036E"/>
    <w:multiLevelType w:val="multilevel"/>
    <w:tmpl w:val="69E8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E38C8"/>
    <w:multiLevelType w:val="multilevel"/>
    <w:tmpl w:val="0694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854F96"/>
    <w:multiLevelType w:val="multilevel"/>
    <w:tmpl w:val="EA9A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7535725">
    <w:abstractNumId w:val="6"/>
  </w:num>
  <w:num w:numId="2" w16cid:durableId="523058037">
    <w:abstractNumId w:val="7"/>
    <w:lvlOverride w:ilvl="0">
      <w:lvl w:ilvl="0">
        <w:numFmt w:val="lowerLetter"/>
        <w:lvlText w:val="%1."/>
        <w:lvlJc w:val="left"/>
      </w:lvl>
    </w:lvlOverride>
  </w:num>
  <w:num w:numId="3" w16cid:durableId="255017455">
    <w:abstractNumId w:val="3"/>
  </w:num>
  <w:num w:numId="4" w16cid:durableId="344870050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28516346">
    <w:abstractNumId w:val="5"/>
    <w:lvlOverride w:ilvl="0">
      <w:lvl w:ilvl="0">
        <w:numFmt w:val="lowerLetter"/>
        <w:lvlText w:val="%1."/>
        <w:lvlJc w:val="left"/>
      </w:lvl>
    </w:lvlOverride>
  </w:num>
  <w:num w:numId="6" w16cid:durableId="1376008506">
    <w:abstractNumId w:val="0"/>
  </w:num>
  <w:num w:numId="7" w16cid:durableId="359671629">
    <w:abstractNumId w:val="4"/>
  </w:num>
  <w:num w:numId="8" w16cid:durableId="1603952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22"/>
    <w:rsid w:val="000C5320"/>
    <w:rsid w:val="004B1635"/>
    <w:rsid w:val="0079559F"/>
    <w:rsid w:val="0091454A"/>
    <w:rsid w:val="00A34980"/>
    <w:rsid w:val="00BD6284"/>
    <w:rsid w:val="00DE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92D297"/>
  <w15:chartTrackingRefBased/>
  <w15:docId w15:val="{4320856B-FF83-FD4B-981C-CE13BF23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822"/>
    <w:pPr>
      <w:spacing w:after="160" w:line="259" w:lineRule="auto"/>
    </w:pPr>
    <w:rPr>
      <w:rFonts w:ascii="Calibri" w:eastAsia="Calibri" w:hAnsi="Calibri" w:cs="Calibri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B1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B1635"/>
    <w:rPr>
      <w:rFonts w:ascii="Calibri" w:eastAsia="Calibri" w:hAnsi="Calibri" w:cs="Calibri"/>
      <w:sz w:val="22"/>
      <w:szCs w:val="22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4B16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B1635"/>
    <w:rPr>
      <w:rFonts w:ascii="Calibri" w:eastAsia="Calibri" w:hAnsi="Calibri" w:cs="Calibri"/>
      <w:sz w:val="22"/>
      <w:szCs w:val="22"/>
      <w:lang w:eastAsia="pt-PT"/>
    </w:rPr>
  </w:style>
  <w:style w:type="table" w:styleId="TabelacomGrelha">
    <w:name w:val="Table Grid"/>
    <w:basedOn w:val="Tabelanormal"/>
    <w:uiPriority w:val="39"/>
    <w:rsid w:val="004B1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 SOUSA LOURA</dc:creator>
  <cp:keywords/>
  <dc:description/>
  <cp:lastModifiedBy>DAVID DE SOUSA LOURA</cp:lastModifiedBy>
  <cp:revision>3</cp:revision>
  <dcterms:created xsi:type="dcterms:W3CDTF">2024-02-27T23:58:00Z</dcterms:created>
  <dcterms:modified xsi:type="dcterms:W3CDTF">2024-02-28T00:00:00Z</dcterms:modified>
</cp:coreProperties>
</file>