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EC" w:rsidRPr="00386B22" w:rsidRDefault="000118EC" w:rsidP="000118E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386B22">
        <w:rPr>
          <w:rFonts w:ascii="Times New Roman" w:hAnsi="Times New Roman" w:cs="Times New Roman"/>
          <w:b/>
          <w:sz w:val="24"/>
          <w:szCs w:val="24"/>
        </w:rPr>
        <w:t>Table 1: Urinary amino acid analysis using gas-chromatography-mass spectrometry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350"/>
        <w:gridCol w:w="2157"/>
        <w:gridCol w:w="2338"/>
      </w:tblGrid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Amino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Value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Unit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aminoadipic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34 – 353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Alpha-amino-N-butyric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70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Alanine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608 – 2918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Arginine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307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Asparagine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854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Aspartic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299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Beta-alanine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731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aminoisobutyrate</w:t>
            </w:r>
            <w:proofErr w:type="spellEnd"/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91 - 7140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Cystathione</w:t>
            </w:r>
            <w:proofErr w:type="spellEnd"/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171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Cystine</w:t>
            </w:r>
            <w:proofErr w:type="spellEnd"/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24.0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28 – 461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Ethanolamine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2251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Gamma-amino-N-butyric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16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Glutamic acid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61.6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65 – 1155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Glutamine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2916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Glycine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1613 – 14465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Histidine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421 – 3393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Hydroxyproline</w:t>
            </w:r>
            <w:proofErr w:type="spellEnd"/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56.3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2561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Isoleucine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1661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22 – 159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Leucine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1702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37 – 253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Lysine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52 – 1716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Methionine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0 – 69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Ornithine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2 – 151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Phenylalanine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61 – 357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Proline</w:t>
            </w:r>
            <w:proofErr w:type="spellEnd"/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12 – 1237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Sarcosine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1 – 138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Serine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2943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173 – 3399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Taurine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100 – 7410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Threonine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2858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67 – 1380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56.6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76 – 388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126 – 775 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  <w:tr w:rsidR="000118EC" w:rsidRPr="00386B22" w:rsidTr="00CA69F0">
        <w:tc>
          <w:tcPr>
            <w:tcW w:w="3505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 xml:space="preserve">Valine </w:t>
            </w:r>
          </w:p>
        </w:tc>
        <w:tc>
          <w:tcPr>
            <w:tcW w:w="1350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b/>
                <w:sz w:val="24"/>
                <w:szCs w:val="24"/>
              </w:rPr>
              <w:t>1095</w:t>
            </w:r>
          </w:p>
        </w:tc>
        <w:tc>
          <w:tcPr>
            <w:tcW w:w="2157" w:type="dxa"/>
          </w:tcPr>
          <w:p w:rsidR="000118EC" w:rsidRPr="00386B22" w:rsidRDefault="000118EC" w:rsidP="00CA69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60 – 280</w:t>
            </w:r>
          </w:p>
        </w:tc>
        <w:tc>
          <w:tcPr>
            <w:tcW w:w="2338" w:type="dxa"/>
          </w:tcPr>
          <w:p w:rsidR="000118EC" w:rsidRPr="00386B22" w:rsidRDefault="000118EC" w:rsidP="00CA69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µ</w:t>
            </w:r>
            <w:proofErr w:type="spellStart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  <w:proofErr w:type="spellEnd"/>
            <w:r w:rsidRPr="00386B22">
              <w:rPr>
                <w:rFonts w:ascii="Times New Roman" w:hAnsi="Times New Roman" w:cs="Times New Roman"/>
                <w:sz w:val="24"/>
                <w:szCs w:val="24"/>
              </w:rPr>
              <w:t>/g creatinine</w:t>
            </w:r>
          </w:p>
        </w:tc>
      </w:tr>
    </w:tbl>
    <w:p w:rsidR="00104EFB" w:rsidRDefault="00104EFB"/>
    <w:p w:rsidR="00104EFB" w:rsidRDefault="00104EFB">
      <w:r>
        <w:br w:type="page"/>
      </w:r>
    </w:p>
    <w:p w:rsidR="00104EFB" w:rsidRPr="00966D4C" w:rsidRDefault="00104EFB" w:rsidP="00104EFB">
      <w:pPr>
        <w:spacing w:line="480" w:lineRule="auto"/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7F7F7"/>
        </w:rPr>
        <w:lastRenderedPageBreak/>
        <w:t xml:space="preserve">Supplementary </w:t>
      </w:r>
      <w:r w:rsidRPr="00966D4C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7F7F7"/>
        </w:rPr>
        <w:t>Table 2: A timeline of diagnoses and interventions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430"/>
        <w:gridCol w:w="3600"/>
        <w:gridCol w:w="2430"/>
      </w:tblGrid>
      <w:tr w:rsidR="00104EFB" w:rsidRPr="0098796D" w:rsidTr="00E961C3">
        <w:trPr>
          <w:tblHeader/>
        </w:trPr>
        <w:tc>
          <w:tcPr>
            <w:tcW w:w="900" w:type="dxa"/>
            <w:shd w:val="clear" w:color="auto" w:fill="EFEFEF"/>
            <w:vAlign w:val="center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Time</w:t>
            </w:r>
          </w:p>
        </w:tc>
        <w:tc>
          <w:tcPr>
            <w:tcW w:w="2430" w:type="dxa"/>
            <w:shd w:val="clear" w:color="auto" w:fill="EFEFEF"/>
            <w:vAlign w:val="center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Symptoms</w:t>
            </w:r>
          </w:p>
        </w:tc>
        <w:tc>
          <w:tcPr>
            <w:tcW w:w="3600" w:type="dxa"/>
            <w:shd w:val="clear" w:color="auto" w:fill="EFEFEF"/>
            <w:vAlign w:val="center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Examination</w:t>
            </w:r>
          </w:p>
        </w:tc>
        <w:tc>
          <w:tcPr>
            <w:tcW w:w="2430" w:type="dxa"/>
            <w:shd w:val="clear" w:color="auto" w:fill="EFEFEF"/>
            <w:vAlign w:val="center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Intervention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Be born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S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pontaneous vaginal delivery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, Delayed cry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Mixed fed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3</w:t>
            </w:r>
            <w:r w:rsidRPr="00417ED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vertAlign w:val="superscript"/>
                <w:lang w:bidi="ne-NP"/>
              </w:rPr>
              <w:t>rd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 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 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>bnormal body movements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>MRI of brain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features of 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>hypoxic ischemic encephalopathy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edema</w:t>
            </w:r>
          </w:p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EEG: Normal</w:t>
            </w:r>
          </w:p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HCV Ab (ELISA): Reactive</w:t>
            </w:r>
          </w:p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Smell of urine: 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>burnt sugar</w:t>
            </w:r>
          </w:p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Peculiar non-specific smell from baby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>ntravenous antibiotic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(ampicillin)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 xml:space="preserve"> and anti-epilepti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25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th day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Refusal of further tests from parents, discharged in patients’ request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Four months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Worse</w:t>
            </w:r>
          </w:p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breathing difficulties, poor feeding, fever maximum of 104°F)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COVID-19 test (PCR): Positive (Severe </w:t>
            </w:r>
            <w:proofErr w:type="spell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 pneumonia)</w:t>
            </w:r>
          </w:p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98">
              <w:rPr>
                <w:rFonts w:ascii="Times New Roman" w:hAnsi="Times New Roman" w:cs="Times New Roman"/>
                <w:sz w:val="24"/>
                <w:szCs w:val="24"/>
              </w:rPr>
              <w:t>CNS examination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47198">
              <w:rPr>
                <w:rFonts w:ascii="Times New Roman" w:hAnsi="Times New Roman" w:cs="Times New Roman"/>
                <w:sz w:val="24"/>
                <w:szCs w:val="24"/>
              </w:rPr>
              <w:t>full anterio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347198">
              <w:rPr>
                <w:rFonts w:ascii="Times New Roman" w:hAnsi="Times New Roman" w:cs="Times New Roman"/>
                <w:sz w:val="24"/>
                <w:szCs w:val="24"/>
              </w:rPr>
              <w:t>fontanelle level, decreased tone of lower limbs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 exams: mild hypoglycemia with other normal biochemical parameters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I</w:t>
            </w:r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ntubated along with administration of antibiotics (</w:t>
            </w:r>
            <w:proofErr w:type="spellStart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colistin</w:t>
            </w:r>
            <w:proofErr w:type="spellEnd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, </w:t>
            </w:r>
            <w:proofErr w:type="spellStart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ofloxacin</w:t>
            </w:r>
            <w:proofErr w:type="spellEnd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, </w:t>
            </w:r>
            <w:proofErr w:type="spellStart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voriconazole</w:t>
            </w:r>
            <w:proofErr w:type="spellEnd"/>
            <w:r w:rsidRPr="002D52B9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 and azithromycin)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Six months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Worse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Metabolic Screening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of 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urine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: Negative for carbohydrates,</w:t>
            </w:r>
          </w:p>
          <w:p w:rsidR="00104EFB" w:rsidRDefault="00104EFB" w:rsidP="00E961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 xml:space="preserve">ositive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ketone bodies,</w:t>
            </w:r>
          </w:p>
          <w:p w:rsidR="00104EFB" w:rsidRDefault="00104EFB" w:rsidP="00E961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FeCl3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40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  <w:p w:rsidR="00104EFB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ne-NP"/>
              </w:rPr>
              <w:t>2,4 DNPH: Positive</w:t>
            </w:r>
          </w:p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Milk without BCAA fed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Six months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Better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GC-</w:t>
            </w: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MS detection: M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aple Syrup Urine Disease</w:t>
            </w:r>
          </w:p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 w:rsidRPr="0098796D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 xml:space="preserve">Milk without BCAA fed 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04EFB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Seven months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04EFB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Better (Discharged)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</w:tr>
      <w:tr w:rsidR="00104EFB" w:rsidRPr="0098796D" w:rsidTr="00E961C3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Seven months and ten days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Worst (Failure to thrive)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Death of patient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104EFB" w:rsidRPr="0098796D" w:rsidRDefault="00104EFB" w:rsidP="00E961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bidi="ne-NP"/>
              </w:rPr>
              <w:t>-</w:t>
            </w:r>
          </w:p>
        </w:tc>
      </w:tr>
    </w:tbl>
    <w:p w:rsidR="00104EFB" w:rsidRDefault="00104EFB" w:rsidP="00104EFB"/>
    <w:p w:rsidR="001B041B" w:rsidRDefault="00104EFB">
      <w:bookmarkStart w:id="0" w:name="_GoBack"/>
      <w:bookmarkEnd w:id="0"/>
    </w:p>
    <w:sectPr w:rsidR="001B0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EC"/>
    <w:rsid w:val="000118EC"/>
    <w:rsid w:val="00104EFB"/>
    <w:rsid w:val="00750F16"/>
    <w:rsid w:val="00B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8DF13-78B8-4D22-83CB-49CA77AE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2024-05-11T03:33:00Z</dcterms:created>
  <dcterms:modified xsi:type="dcterms:W3CDTF">2024-06-20T16:04:00Z</dcterms:modified>
</cp:coreProperties>
</file>