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B866E"/>
    <w:p w14:paraId="73E114D8">
      <w:bookmarkStart w:id="0" w:name="OLE_LINK25"/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>S1</w:t>
      </w:r>
      <w:bookmarkEnd w:id="0"/>
      <w:r>
        <w:rPr>
          <w:b/>
          <w:bCs/>
        </w:rPr>
        <w:t xml:space="preserve">. </w:t>
      </w:r>
      <w:r>
        <w:t>Univariate logistic regression assess</w:t>
      </w:r>
      <w:r>
        <w:rPr>
          <w:rFonts w:hint="eastAsia"/>
        </w:rPr>
        <w:t>ing</w:t>
      </w:r>
      <w:r>
        <w:t xml:space="preserve"> the risk factors for severe hyperbilirubinemia. Dates 2014-2020.</w:t>
      </w:r>
    </w:p>
    <w:p w14:paraId="1CE993C3"/>
    <w:tbl>
      <w:tblPr>
        <w:tblStyle w:val="5"/>
        <w:tblW w:w="797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810"/>
        <w:gridCol w:w="1883"/>
        <w:gridCol w:w="1840"/>
      </w:tblGrid>
      <w:tr w14:paraId="2A87DB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</w:tcPr>
          <w:p w14:paraId="47D66BE4">
            <w:pPr>
              <w:pStyle w:val="7"/>
              <w:widowControl w:val="0"/>
              <w:rPr>
                <w:rFonts w:cs="Times New Roman"/>
              </w:rPr>
            </w:pPr>
            <w:bookmarkStart w:id="1" w:name="OLE_LINK11"/>
            <w:r>
              <w:rPr>
                <w:rFonts w:cs="Times New Roman"/>
              </w:rPr>
              <w:t>Risk factors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07F5F1A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OR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0145709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95%CI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5FFDE6B0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P value</w:t>
            </w:r>
          </w:p>
        </w:tc>
      </w:tr>
      <w:tr w14:paraId="0536CE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  <w:tcBorders>
              <w:top w:val="single" w:color="auto" w:sz="4" w:space="0"/>
            </w:tcBorders>
          </w:tcPr>
          <w:p w14:paraId="390A57C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Sex</w:t>
            </w: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5CD5FA08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17E5DA1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67ECDF13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083C82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2A160C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Male</w:t>
            </w:r>
          </w:p>
        </w:tc>
        <w:tc>
          <w:tcPr>
            <w:tcW w:w="1984" w:type="dxa"/>
          </w:tcPr>
          <w:p w14:paraId="2409D8C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28CD3BA2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4756F52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7FFE9D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14745B1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Female</w:t>
            </w:r>
          </w:p>
        </w:tc>
        <w:tc>
          <w:tcPr>
            <w:tcW w:w="1984" w:type="dxa"/>
          </w:tcPr>
          <w:p w14:paraId="4ED6FA76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1.11</w:t>
            </w:r>
          </w:p>
        </w:tc>
        <w:tc>
          <w:tcPr>
            <w:tcW w:w="1984" w:type="dxa"/>
          </w:tcPr>
          <w:p w14:paraId="285365C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0.72-1.71</w:t>
            </w:r>
          </w:p>
        </w:tc>
        <w:tc>
          <w:tcPr>
            <w:tcW w:w="1984" w:type="dxa"/>
          </w:tcPr>
          <w:p w14:paraId="2275104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0.63</w:t>
            </w:r>
          </w:p>
        </w:tc>
      </w:tr>
      <w:tr w14:paraId="1E5471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65F8C72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Gestational age (wk)</w:t>
            </w:r>
          </w:p>
        </w:tc>
        <w:tc>
          <w:tcPr>
            <w:tcW w:w="1984" w:type="dxa"/>
          </w:tcPr>
          <w:p w14:paraId="13FCB215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04888B9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9B20AC8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7E6FEC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8A16256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＜37</w:t>
            </w:r>
          </w:p>
        </w:tc>
        <w:tc>
          <w:tcPr>
            <w:tcW w:w="1984" w:type="dxa"/>
          </w:tcPr>
          <w:p w14:paraId="52464D6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6E14C2FB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D891178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16D715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6DE533E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≥37</w:t>
            </w:r>
          </w:p>
        </w:tc>
        <w:tc>
          <w:tcPr>
            <w:tcW w:w="1984" w:type="dxa"/>
          </w:tcPr>
          <w:p w14:paraId="3A2C48A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3.44</w:t>
            </w:r>
          </w:p>
        </w:tc>
        <w:tc>
          <w:tcPr>
            <w:tcW w:w="1984" w:type="dxa"/>
          </w:tcPr>
          <w:p w14:paraId="4FEC851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1.06-11.19</w:t>
            </w:r>
          </w:p>
        </w:tc>
        <w:tc>
          <w:tcPr>
            <w:tcW w:w="1984" w:type="dxa"/>
          </w:tcPr>
          <w:p w14:paraId="3FBB7DD4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0.04</w:t>
            </w:r>
          </w:p>
        </w:tc>
      </w:tr>
      <w:tr w14:paraId="6CC151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5451F757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Age to admission (h)</w:t>
            </w:r>
          </w:p>
        </w:tc>
        <w:tc>
          <w:tcPr>
            <w:tcW w:w="1984" w:type="dxa"/>
          </w:tcPr>
          <w:p w14:paraId="678A9D78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BC7EEC4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01FBDCD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2F714E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4F5497F8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≤24</w:t>
            </w:r>
          </w:p>
        </w:tc>
        <w:tc>
          <w:tcPr>
            <w:tcW w:w="1984" w:type="dxa"/>
          </w:tcPr>
          <w:p w14:paraId="7B56F6E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524B1F1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6F566B1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282660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8EC82AE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24-48</w:t>
            </w:r>
          </w:p>
        </w:tc>
        <w:tc>
          <w:tcPr>
            <w:tcW w:w="1984" w:type="dxa"/>
          </w:tcPr>
          <w:p w14:paraId="145E1EB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9.59</w:t>
            </w:r>
          </w:p>
        </w:tc>
        <w:tc>
          <w:tcPr>
            <w:tcW w:w="1984" w:type="dxa"/>
          </w:tcPr>
          <w:p w14:paraId="79CDDDB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1.24-74.13</w:t>
            </w:r>
          </w:p>
        </w:tc>
        <w:tc>
          <w:tcPr>
            <w:tcW w:w="1984" w:type="dxa"/>
          </w:tcPr>
          <w:p w14:paraId="69C0E537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0.03</w:t>
            </w:r>
          </w:p>
        </w:tc>
      </w:tr>
      <w:tr w14:paraId="553E2D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6350C918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＞48</w:t>
            </w:r>
          </w:p>
        </w:tc>
        <w:tc>
          <w:tcPr>
            <w:tcW w:w="1984" w:type="dxa"/>
          </w:tcPr>
          <w:p w14:paraId="2D3F793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48.34</w:t>
            </w:r>
          </w:p>
        </w:tc>
        <w:tc>
          <w:tcPr>
            <w:tcW w:w="1984" w:type="dxa"/>
          </w:tcPr>
          <w:p w14:paraId="7719B7C6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6.66-350.72</w:t>
            </w:r>
          </w:p>
        </w:tc>
        <w:tc>
          <w:tcPr>
            <w:tcW w:w="1984" w:type="dxa"/>
          </w:tcPr>
          <w:p w14:paraId="30AC18BF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&lt;0.0001</w:t>
            </w:r>
          </w:p>
        </w:tc>
      </w:tr>
      <w:tr w14:paraId="31EE9F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551" w:type="dxa"/>
          </w:tcPr>
          <w:p w14:paraId="4D74D56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Age at the time of jaundice discovered (h)</w:t>
            </w:r>
          </w:p>
        </w:tc>
        <w:tc>
          <w:tcPr>
            <w:tcW w:w="1984" w:type="dxa"/>
          </w:tcPr>
          <w:p w14:paraId="162CD23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089B8CF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E83D0D0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F7C3D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2A75F01D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≤24</w:t>
            </w:r>
          </w:p>
        </w:tc>
        <w:tc>
          <w:tcPr>
            <w:tcW w:w="1984" w:type="dxa"/>
          </w:tcPr>
          <w:p w14:paraId="0989648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76E32ACB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3EDA915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6D6B9A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6C506483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＞24</w:t>
            </w:r>
          </w:p>
        </w:tc>
        <w:tc>
          <w:tcPr>
            <w:tcW w:w="1984" w:type="dxa"/>
          </w:tcPr>
          <w:p w14:paraId="632CEFF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4.25</w:t>
            </w:r>
          </w:p>
        </w:tc>
        <w:tc>
          <w:tcPr>
            <w:tcW w:w="1984" w:type="dxa"/>
          </w:tcPr>
          <w:p w14:paraId="4DFE0894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2.54-7.13</w:t>
            </w:r>
          </w:p>
        </w:tc>
        <w:tc>
          <w:tcPr>
            <w:tcW w:w="1984" w:type="dxa"/>
          </w:tcPr>
          <w:p w14:paraId="259C04A9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&lt;0.0001</w:t>
            </w:r>
          </w:p>
        </w:tc>
      </w:tr>
      <w:tr w14:paraId="2AA1EA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541857D9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Firstborn</w:t>
            </w:r>
          </w:p>
        </w:tc>
        <w:tc>
          <w:tcPr>
            <w:tcW w:w="1984" w:type="dxa"/>
          </w:tcPr>
          <w:p w14:paraId="44EF0AC1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17C6FA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3DD4DFFE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3E8793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20A22841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No</w:t>
            </w:r>
          </w:p>
        </w:tc>
        <w:tc>
          <w:tcPr>
            <w:tcW w:w="1984" w:type="dxa"/>
          </w:tcPr>
          <w:p w14:paraId="07EEFFE9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76DC4D41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C8CBEFB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7BB32E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72327A20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  <w:tc>
          <w:tcPr>
            <w:tcW w:w="1984" w:type="dxa"/>
          </w:tcPr>
          <w:p w14:paraId="15841BA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0.87</w:t>
            </w:r>
          </w:p>
        </w:tc>
        <w:tc>
          <w:tcPr>
            <w:tcW w:w="1984" w:type="dxa"/>
          </w:tcPr>
          <w:p w14:paraId="0825C39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0.55-1.38</w:t>
            </w:r>
          </w:p>
        </w:tc>
        <w:tc>
          <w:tcPr>
            <w:tcW w:w="1984" w:type="dxa"/>
          </w:tcPr>
          <w:p w14:paraId="2BCD3D3E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0.55</w:t>
            </w:r>
          </w:p>
        </w:tc>
      </w:tr>
      <w:tr w14:paraId="4D99B8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24112F7C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DAT</w:t>
            </w:r>
          </w:p>
        </w:tc>
        <w:tc>
          <w:tcPr>
            <w:tcW w:w="1984" w:type="dxa"/>
          </w:tcPr>
          <w:p w14:paraId="42575CB9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C8CF349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365DF556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6D98C0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1D466701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bookmarkStart w:id="2" w:name="OLE_LINK7" w:colFirst="0" w:colLast="0"/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30EA4690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26A1DACE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A53D82B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0A25BD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181C5CB7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131D970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0.54</w:t>
            </w:r>
          </w:p>
        </w:tc>
        <w:tc>
          <w:tcPr>
            <w:tcW w:w="1984" w:type="dxa"/>
          </w:tcPr>
          <w:p w14:paraId="7138748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0.35-0.84</w:t>
            </w:r>
          </w:p>
        </w:tc>
        <w:tc>
          <w:tcPr>
            <w:tcW w:w="1984" w:type="dxa"/>
          </w:tcPr>
          <w:p w14:paraId="1DDB890F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0.006</w:t>
            </w:r>
          </w:p>
        </w:tc>
      </w:tr>
      <w:bookmarkEnd w:id="2"/>
      <w:tr w14:paraId="12FE9E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64E28733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Free antibody test</w:t>
            </w:r>
          </w:p>
        </w:tc>
        <w:tc>
          <w:tcPr>
            <w:tcW w:w="1984" w:type="dxa"/>
          </w:tcPr>
          <w:p w14:paraId="61698ADD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9012A3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CBE137E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8444C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4D1319D2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bookmarkStart w:id="3" w:name="OLE_LINK9" w:colFirst="0" w:colLast="0"/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70D2632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5232D583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335F6A8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157E3D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7F329AF9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537037B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0.56</w:t>
            </w:r>
          </w:p>
        </w:tc>
        <w:tc>
          <w:tcPr>
            <w:tcW w:w="1984" w:type="dxa"/>
          </w:tcPr>
          <w:p w14:paraId="1316720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0.20-1.53</w:t>
            </w:r>
          </w:p>
        </w:tc>
        <w:tc>
          <w:tcPr>
            <w:tcW w:w="1984" w:type="dxa"/>
          </w:tcPr>
          <w:p w14:paraId="5F212466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0.26</w:t>
            </w:r>
          </w:p>
        </w:tc>
      </w:tr>
      <w:bookmarkEnd w:id="3"/>
      <w:tr w14:paraId="29B8F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26FE3600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Antibody-released test</w:t>
            </w:r>
          </w:p>
        </w:tc>
        <w:tc>
          <w:tcPr>
            <w:tcW w:w="1984" w:type="dxa"/>
          </w:tcPr>
          <w:p w14:paraId="016A767F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C50871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85BEDA6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793EE4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37460D8A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158233C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3F0978E4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96F989E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B0D76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7CDB7809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0A98F81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0.83</w:t>
            </w:r>
          </w:p>
        </w:tc>
        <w:tc>
          <w:tcPr>
            <w:tcW w:w="1984" w:type="dxa"/>
          </w:tcPr>
          <w:p w14:paraId="2971755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0.31-2.21</w:t>
            </w:r>
          </w:p>
        </w:tc>
        <w:tc>
          <w:tcPr>
            <w:tcW w:w="1984" w:type="dxa"/>
          </w:tcPr>
          <w:p w14:paraId="00AEC02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0.71</w:t>
            </w:r>
          </w:p>
        </w:tc>
      </w:tr>
      <w:bookmarkEnd w:id="1"/>
    </w:tbl>
    <w:p w14:paraId="5E8F7A28">
      <w:r>
        <w:t>DAT, direct antiglobulin test.</w:t>
      </w:r>
    </w:p>
    <w:p w14:paraId="414E40A0"/>
    <w:p w14:paraId="721209C5"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>S2</w:t>
      </w:r>
      <w:r>
        <w:rPr>
          <w:b/>
          <w:bCs/>
        </w:rPr>
        <w:t>.</w:t>
      </w:r>
      <w:r>
        <w:t xml:space="preserve"> </w:t>
      </w:r>
      <w:r>
        <w:rPr>
          <w:rFonts w:hint="eastAsia"/>
        </w:rPr>
        <w:t>Mult</w:t>
      </w:r>
      <w:r>
        <w:t>ivariate logistic regression assess</w:t>
      </w:r>
      <w:r>
        <w:rPr>
          <w:rFonts w:hint="eastAsia"/>
        </w:rPr>
        <w:t>ing</w:t>
      </w:r>
      <w:r>
        <w:t xml:space="preserve"> the risk factors for severe hyperbilirubinemia. Dates 2014-2020.</w:t>
      </w:r>
    </w:p>
    <w:tbl>
      <w:tblPr>
        <w:tblStyle w:val="5"/>
        <w:tblW w:w="797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810"/>
        <w:gridCol w:w="1883"/>
        <w:gridCol w:w="1840"/>
      </w:tblGrid>
      <w:tr w14:paraId="17E8E9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</w:tcPr>
          <w:p w14:paraId="390DCDFE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Risk factors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61A453D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OR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7830BB96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95%CI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009965F4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P value</w:t>
            </w:r>
          </w:p>
        </w:tc>
      </w:tr>
      <w:tr w14:paraId="51ECC1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  <w:tcBorders>
              <w:top w:val="single" w:color="auto" w:sz="4" w:space="0"/>
            </w:tcBorders>
          </w:tcPr>
          <w:p w14:paraId="5D6124F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Sex</w:t>
            </w: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72D42754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4FF5B2F5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1FDF3B25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A6C64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02CCE009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Male</w:t>
            </w:r>
          </w:p>
        </w:tc>
        <w:tc>
          <w:tcPr>
            <w:tcW w:w="1984" w:type="dxa"/>
          </w:tcPr>
          <w:p w14:paraId="08BB62A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17C39E86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6A53198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1CF22D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3B4FE809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Female</w:t>
            </w:r>
          </w:p>
        </w:tc>
        <w:tc>
          <w:tcPr>
            <w:tcW w:w="1984" w:type="dxa"/>
          </w:tcPr>
          <w:p w14:paraId="03857ED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1.1</w:t>
            </w:r>
          </w:p>
        </w:tc>
        <w:tc>
          <w:tcPr>
            <w:tcW w:w="1984" w:type="dxa"/>
          </w:tcPr>
          <w:p w14:paraId="33606C6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0.69-1.75</w:t>
            </w:r>
          </w:p>
        </w:tc>
        <w:tc>
          <w:tcPr>
            <w:tcW w:w="1984" w:type="dxa"/>
          </w:tcPr>
          <w:p w14:paraId="152A906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0.69</w:t>
            </w:r>
          </w:p>
        </w:tc>
      </w:tr>
      <w:tr w14:paraId="37BDB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11C0250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Gestational age (wk)</w:t>
            </w:r>
          </w:p>
        </w:tc>
        <w:tc>
          <w:tcPr>
            <w:tcW w:w="1984" w:type="dxa"/>
          </w:tcPr>
          <w:p w14:paraId="13588F40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77C55B4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7F0B0DD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08C5CB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0386011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＜37</w:t>
            </w:r>
          </w:p>
        </w:tc>
        <w:tc>
          <w:tcPr>
            <w:tcW w:w="1984" w:type="dxa"/>
          </w:tcPr>
          <w:p w14:paraId="46E5BFA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76F55442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3CAE60D6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3FE108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70EA594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≥37</w:t>
            </w:r>
          </w:p>
        </w:tc>
        <w:tc>
          <w:tcPr>
            <w:tcW w:w="1984" w:type="dxa"/>
          </w:tcPr>
          <w:p w14:paraId="77F2EA84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4.19</w:t>
            </w:r>
          </w:p>
        </w:tc>
        <w:tc>
          <w:tcPr>
            <w:tcW w:w="1984" w:type="dxa"/>
          </w:tcPr>
          <w:p w14:paraId="3D1BBC4B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1.27-13.83</w:t>
            </w:r>
          </w:p>
        </w:tc>
        <w:tc>
          <w:tcPr>
            <w:tcW w:w="1984" w:type="dxa"/>
          </w:tcPr>
          <w:p w14:paraId="6C136A47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0.019</w:t>
            </w:r>
          </w:p>
        </w:tc>
      </w:tr>
      <w:tr w14:paraId="31B152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37064CCD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Age to admission (h)</w:t>
            </w:r>
          </w:p>
        </w:tc>
        <w:tc>
          <w:tcPr>
            <w:tcW w:w="1984" w:type="dxa"/>
          </w:tcPr>
          <w:p w14:paraId="07BD2E3E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FA3A4D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3F88FCC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0AD4C8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7AC876A3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≤24</w:t>
            </w:r>
          </w:p>
        </w:tc>
        <w:tc>
          <w:tcPr>
            <w:tcW w:w="1984" w:type="dxa"/>
          </w:tcPr>
          <w:p w14:paraId="777C522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7768CDF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AB2DCFF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3F3EF4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20273F3B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24-48</w:t>
            </w:r>
          </w:p>
        </w:tc>
        <w:tc>
          <w:tcPr>
            <w:tcW w:w="1984" w:type="dxa"/>
          </w:tcPr>
          <w:p w14:paraId="1CB1721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9.69</w:t>
            </w:r>
          </w:p>
        </w:tc>
        <w:tc>
          <w:tcPr>
            <w:tcW w:w="1984" w:type="dxa"/>
          </w:tcPr>
          <w:p w14:paraId="5E734E1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1.25-74.87</w:t>
            </w:r>
          </w:p>
        </w:tc>
        <w:tc>
          <w:tcPr>
            <w:tcW w:w="1984" w:type="dxa"/>
          </w:tcPr>
          <w:p w14:paraId="088707B2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0.03</w:t>
            </w:r>
          </w:p>
        </w:tc>
      </w:tr>
      <w:tr w14:paraId="4C407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551" w:type="dxa"/>
          </w:tcPr>
          <w:p w14:paraId="6D36E595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＞48</w:t>
            </w:r>
          </w:p>
        </w:tc>
        <w:tc>
          <w:tcPr>
            <w:tcW w:w="1984" w:type="dxa"/>
          </w:tcPr>
          <w:p w14:paraId="6E12747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50.31</w:t>
            </w:r>
          </w:p>
        </w:tc>
        <w:tc>
          <w:tcPr>
            <w:tcW w:w="1984" w:type="dxa"/>
          </w:tcPr>
          <w:p w14:paraId="550B1CC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6.93-365.26</w:t>
            </w:r>
          </w:p>
        </w:tc>
        <w:tc>
          <w:tcPr>
            <w:tcW w:w="1984" w:type="dxa"/>
          </w:tcPr>
          <w:p w14:paraId="265CAC08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&lt;0.0001</w:t>
            </w:r>
          </w:p>
        </w:tc>
      </w:tr>
      <w:tr w14:paraId="154B8F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551" w:type="dxa"/>
          </w:tcPr>
          <w:p w14:paraId="5FBA1C5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Age at the time of jaundice discovered (h)</w:t>
            </w:r>
          </w:p>
        </w:tc>
        <w:tc>
          <w:tcPr>
            <w:tcW w:w="1984" w:type="dxa"/>
          </w:tcPr>
          <w:p w14:paraId="01DF01B1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35097F9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5E31FE6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2430FF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0EC82108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≤24</w:t>
            </w:r>
          </w:p>
        </w:tc>
        <w:tc>
          <w:tcPr>
            <w:tcW w:w="1984" w:type="dxa"/>
          </w:tcPr>
          <w:p w14:paraId="2EA7EA80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7ADC0BF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6C4BA6E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6306BB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06D14BC4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＞24</w:t>
            </w:r>
          </w:p>
        </w:tc>
        <w:tc>
          <w:tcPr>
            <w:tcW w:w="1984" w:type="dxa"/>
          </w:tcPr>
          <w:p w14:paraId="265442D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1.32</w:t>
            </w:r>
          </w:p>
        </w:tc>
        <w:tc>
          <w:tcPr>
            <w:tcW w:w="1984" w:type="dxa"/>
          </w:tcPr>
          <w:p w14:paraId="09952B7E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0.72-2.40</w:t>
            </w:r>
          </w:p>
        </w:tc>
        <w:tc>
          <w:tcPr>
            <w:tcW w:w="1984" w:type="dxa"/>
          </w:tcPr>
          <w:p w14:paraId="3AB23E24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</w:rPr>
              <w:t>0.37</w:t>
            </w:r>
          </w:p>
        </w:tc>
      </w:tr>
      <w:tr w14:paraId="4DA416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14616CB2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Firstborn</w:t>
            </w:r>
          </w:p>
        </w:tc>
        <w:tc>
          <w:tcPr>
            <w:tcW w:w="1984" w:type="dxa"/>
          </w:tcPr>
          <w:p w14:paraId="78939B9D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1C5C3A8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AEFD3FB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3ACCE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2B09CA66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No</w:t>
            </w:r>
          </w:p>
        </w:tc>
        <w:tc>
          <w:tcPr>
            <w:tcW w:w="1984" w:type="dxa"/>
          </w:tcPr>
          <w:p w14:paraId="31A66E3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58DE1E0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C33A0CD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08E93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578007D9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  <w:tc>
          <w:tcPr>
            <w:tcW w:w="1984" w:type="dxa"/>
          </w:tcPr>
          <w:p w14:paraId="65B9F85B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0.87</w:t>
            </w:r>
          </w:p>
        </w:tc>
        <w:tc>
          <w:tcPr>
            <w:tcW w:w="1984" w:type="dxa"/>
          </w:tcPr>
          <w:p w14:paraId="2A79A3C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0.54-1.43</w:t>
            </w:r>
          </w:p>
        </w:tc>
        <w:tc>
          <w:tcPr>
            <w:tcW w:w="1984" w:type="dxa"/>
          </w:tcPr>
          <w:p w14:paraId="178E137E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0.59</w:t>
            </w:r>
          </w:p>
        </w:tc>
      </w:tr>
      <w:tr w14:paraId="7D0EA9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38C52C72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DAT</w:t>
            </w:r>
          </w:p>
        </w:tc>
        <w:tc>
          <w:tcPr>
            <w:tcW w:w="1984" w:type="dxa"/>
          </w:tcPr>
          <w:p w14:paraId="7F46D2E6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B15B851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B4CD184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092DE4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369684BB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476EDBD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02F596A3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2A0AD87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31563C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409ED033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27A61D8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0.68</w:t>
            </w:r>
          </w:p>
        </w:tc>
        <w:tc>
          <w:tcPr>
            <w:tcW w:w="1984" w:type="dxa"/>
          </w:tcPr>
          <w:p w14:paraId="2AC6A3B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0.41-1.08</w:t>
            </w:r>
          </w:p>
        </w:tc>
        <w:tc>
          <w:tcPr>
            <w:tcW w:w="1984" w:type="dxa"/>
          </w:tcPr>
          <w:p w14:paraId="2182C898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</w:rPr>
              <w:t>0.10</w:t>
            </w:r>
          </w:p>
        </w:tc>
      </w:tr>
      <w:tr w14:paraId="139470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5457CBFA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Free antibody test</w:t>
            </w:r>
          </w:p>
        </w:tc>
        <w:tc>
          <w:tcPr>
            <w:tcW w:w="1984" w:type="dxa"/>
          </w:tcPr>
          <w:p w14:paraId="47391521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3EC6E9F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05CCF95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A2F42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40BA4059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4443786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6B6F4B6E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7AD9B65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56B670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12240115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0A4A475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1.14</w:t>
            </w:r>
          </w:p>
        </w:tc>
        <w:tc>
          <w:tcPr>
            <w:tcW w:w="1984" w:type="dxa"/>
          </w:tcPr>
          <w:p w14:paraId="5E9F9DB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0.40-3.25</w:t>
            </w:r>
          </w:p>
        </w:tc>
        <w:tc>
          <w:tcPr>
            <w:tcW w:w="1984" w:type="dxa"/>
          </w:tcPr>
          <w:p w14:paraId="2C7319E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0.81</w:t>
            </w:r>
          </w:p>
        </w:tc>
      </w:tr>
      <w:tr w14:paraId="7C370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3010D69C">
            <w:pPr>
              <w:pStyle w:val="7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Antibody-released test</w:t>
            </w:r>
          </w:p>
        </w:tc>
        <w:tc>
          <w:tcPr>
            <w:tcW w:w="1984" w:type="dxa"/>
          </w:tcPr>
          <w:p w14:paraId="1105FC7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DB3E469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694E4EEF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7A412A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665D7D34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Negative</w:t>
            </w:r>
          </w:p>
        </w:tc>
        <w:tc>
          <w:tcPr>
            <w:tcW w:w="1984" w:type="dxa"/>
          </w:tcPr>
          <w:p w14:paraId="2B99145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984" w:type="dxa"/>
          </w:tcPr>
          <w:p w14:paraId="2AAD853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5DDCCA13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4B207D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551" w:type="dxa"/>
          </w:tcPr>
          <w:p w14:paraId="30F8C9D7">
            <w:pPr>
              <w:pStyle w:val="7"/>
              <w:widowControl w:val="0"/>
              <w:ind w:firstLine="420" w:firstLineChars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Positive</w:t>
            </w:r>
          </w:p>
        </w:tc>
        <w:tc>
          <w:tcPr>
            <w:tcW w:w="1984" w:type="dxa"/>
          </w:tcPr>
          <w:p w14:paraId="5363FEF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  <w:tc>
          <w:tcPr>
            <w:tcW w:w="1984" w:type="dxa"/>
          </w:tcPr>
          <w:p w14:paraId="3E393CF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0.34-2.88</w:t>
            </w:r>
          </w:p>
        </w:tc>
        <w:tc>
          <w:tcPr>
            <w:tcW w:w="1984" w:type="dxa"/>
          </w:tcPr>
          <w:p w14:paraId="34E4DDD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0.99</w:t>
            </w:r>
          </w:p>
        </w:tc>
      </w:tr>
    </w:tbl>
    <w:p w14:paraId="38793231">
      <w:r>
        <w:t>DAT, direct antiglobulin test.</w:t>
      </w:r>
    </w:p>
    <w:p w14:paraId="2FFC0800"/>
    <w:p w14:paraId="72CBBEB0"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>S3</w:t>
      </w:r>
      <w:r>
        <w:rPr>
          <w:b/>
          <w:bCs/>
        </w:rPr>
        <w:t xml:space="preserve">. </w:t>
      </w:r>
      <w:r>
        <w:t>TSB decreas</w:t>
      </w:r>
      <w:r>
        <w:rPr>
          <w:rFonts w:hint="eastAsia"/>
        </w:rPr>
        <w:t>ing</w:t>
      </w:r>
      <w:r>
        <w:t xml:space="preserve"> rate in different time period, by IVIG or non-IVIG</w:t>
      </w:r>
    </w:p>
    <w:p w14:paraId="0D5F6C36">
      <w:pPr>
        <w:rPr>
          <w:b/>
          <w:bCs/>
        </w:rPr>
      </w:pPr>
    </w:p>
    <w:tbl>
      <w:tblPr>
        <w:tblStyle w:val="5"/>
        <w:tblW w:w="793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603"/>
        <w:gridCol w:w="1666"/>
        <w:gridCol w:w="1666"/>
        <w:gridCol w:w="1511"/>
      </w:tblGrid>
      <w:tr w14:paraId="2F660E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984" w:type="dxa"/>
            <w:tcBorders>
              <w:left w:val="nil"/>
              <w:bottom w:val="single" w:color="auto" w:sz="4" w:space="0"/>
              <w:right w:val="nil"/>
            </w:tcBorders>
          </w:tcPr>
          <w:p w14:paraId="20C71A47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Time（h）</w:t>
            </w:r>
          </w:p>
        </w:tc>
        <w:tc>
          <w:tcPr>
            <w:tcW w:w="1984" w:type="dxa"/>
            <w:tcBorders>
              <w:left w:val="nil"/>
              <w:bottom w:val="single" w:color="auto" w:sz="4" w:space="0"/>
              <w:right w:val="nil"/>
            </w:tcBorders>
          </w:tcPr>
          <w:p w14:paraId="1147D449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TSB decreased</w:t>
            </w:r>
          </w:p>
        </w:tc>
        <w:tc>
          <w:tcPr>
            <w:tcW w:w="1984" w:type="dxa"/>
            <w:tcBorders>
              <w:left w:val="nil"/>
              <w:bottom w:val="single" w:color="auto" w:sz="4" w:space="0"/>
              <w:right w:val="nil"/>
            </w:tcBorders>
          </w:tcPr>
          <w:p w14:paraId="0BA7BABB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IVIG</w:t>
            </w:r>
          </w:p>
        </w:tc>
        <w:tc>
          <w:tcPr>
            <w:tcW w:w="1984" w:type="dxa"/>
            <w:tcBorders>
              <w:left w:val="nil"/>
              <w:bottom w:val="single" w:color="auto" w:sz="4" w:space="0"/>
              <w:right w:val="nil"/>
            </w:tcBorders>
          </w:tcPr>
          <w:p w14:paraId="3CB352FA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13"/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Non-IVIG</w:t>
            </w:r>
            <w:bookmarkEnd w:id="4"/>
          </w:p>
        </w:tc>
        <w:tc>
          <w:tcPr>
            <w:tcW w:w="1984" w:type="dxa"/>
            <w:tcBorders>
              <w:left w:val="nil"/>
              <w:bottom w:val="single" w:color="auto" w:sz="4" w:space="0"/>
              <w:right w:val="nil"/>
            </w:tcBorders>
          </w:tcPr>
          <w:p w14:paraId="46831FC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6D9573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793E612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52" w:colFirst="1" w:colLast="1"/>
            <w:bookmarkStart w:id="6" w:name="OLE_LINK12" w:colFirst="1" w:colLast="1"/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692116B0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357046C3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100(96.2%)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2F57851A">
            <w:pPr>
              <w:pStyle w:val="7"/>
              <w:widowControl w:val="0"/>
              <w:rPr>
                <w:rFonts w:cs="Times New Roman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361(82.6%)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4B99FD41">
            <w:pPr>
              <w:pStyle w:val="7"/>
              <w:widowControl w:val="0"/>
              <w:rPr>
                <w:rFonts w:cs="Times New Roman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＜0.0001</w:t>
            </w:r>
          </w:p>
        </w:tc>
      </w:tr>
      <w:tr w14:paraId="7B2D4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6B2AF7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5C0199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B6297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4(3.8%)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60AC3E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76(17.4%)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BC9858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5"/>
      <w:tr w14:paraId="351A70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47DC98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E67FDF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C460E2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72(94.7%)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C593E4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358(86.1%)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C79134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0.310</w:t>
            </w:r>
          </w:p>
        </w:tc>
      </w:tr>
      <w:tr w14:paraId="74B331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47905B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79E387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1A7E2C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4(5.3%)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67267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58(13.9%)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3A8954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6"/>
      <w:tr w14:paraId="4B39A7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8E7BAF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2B995B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A6F50D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61(89.7%)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13C805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296(82.5%)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ED288E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0.138</w:t>
            </w:r>
          </w:p>
        </w:tc>
      </w:tr>
      <w:tr w14:paraId="60726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C99068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8B5CFF5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1F7AC5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7(10.3%)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9A6FC1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63(17.6%)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BDE7CD">
            <w:pPr>
              <w:pStyle w:val="7"/>
              <w:widowControl w:val="0"/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1EF02E">
      <w:pPr>
        <w:rPr>
          <w:szCs w:val="21"/>
        </w:rPr>
      </w:pPr>
      <w:r>
        <w:rPr>
          <w:szCs w:val="21"/>
        </w:rPr>
        <w:t xml:space="preserve"> </w:t>
      </w:r>
      <w:bookmarkStart w:id="7" w:name="OLE_LINK14"/>
      <w:r>
        <w:rPr>
          <w:szCs w:val="21"/>
        </w:rPr>
        <w:t>IVIG,</w:t>
      </w:r>
      <w:r>
        <w:rPr>
          <w:rFonts w:hint="eastAsia"/>
          <w:szCs w:val="21"/>
        </w:rPr>
        <w:t xml:space="preserve"> the group use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 xml:space="preserve">; 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Non-IVIG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the group </w:t>
      </w:r>
      <w:r>
        <w:rPr>
          <w:szCs w:val="21"/>
        </w:rPr>
        <w:t>nonuse</w:t>
      </w:r>
      <w:r>
        <w:rPr>
          <w:rFonts w:hint="eastAsia"/>
          <w:szCs w:val="21"/>
        </w:rPr>
        <w:t xml:space="preserve"> of 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>.</w:t>
      </w:r>
    </w:p>
    <w:bookmarkEnd w:id="7"/>
    <w:p w14:paraId="3AF0D35A">
      <w:pPr>
        <w:rPr>
          <w:b/>
          <w:bCs/>
        </w:rPr>
      </w:pPr>
    </w:p>
    <w:p w14:paraId="444152C0">
      <w:pPr>
        <w:rPr>
          <w:b/>
          <w:bCs/>
        </w:rPr>
      </w:pPr>
    </w:p>
    <w:p w14:paraId="191067DE">
      <w:bookmarkStart w:id="8" w:name="OLE_LINK19"/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>S4</w:t>
      </w:r>
      <w:bookmarkEnd w:id="8"/>
      <w:r>
        <w:rPr>
          <w:b/>
          <w:bCs/>
        </w:rPr>
        <w:t xml:space="preserve">. </w:t>
      </w:r>
      <w:r>
        <w:rPr>
          <w:rFonts w:hint="eastAsia"/>
        </w:rPr>
        <w:t>For</w:t>
      </w:r>
      <w:r>
        <w:t xml:space="preserve"> admission</w:t>
      </w:r>
      <w:r>
        <w:rPr>
          <w:rFonts w:hint="eastAsia"/>
        </w:rPr>
        <w:t xml:space="preserve"> age</w:t>
      </w:r>
      <w:r>
        <w:t xml:space="preserve"> </w:t>
      </w:r>
      <w:bookmarkStart w:id="9" w:name="OLE_LINK15"/>
      <w:r>
        <w:t>≤48h</w:t>
      </w:r>
      <w:bookmarkEnd w:id="9"/>
      <w:r>
        <w:t>, TSB decreas</w:t>
      </w:r>
      <w:r>
        <w:rPr>
          <w:rFonts w:hint="eastAsia"/>
        </w:rPr>
        <w:t>ing</w:t>
      </w:r>
      <w:r>
        <w:t xml:space="preserve"> rate in different time period, by IVIG or non-IVIG</w:t>
      </w:r>
    </w:p>
    <w:tbl>
      <w:tblPr>
        <w:tblStyle w:val="5"/>
        <w:tblpPr w:leftFromText="180" w:rightFromText="180" w:vertAnchor="text" w:horzAnchor="page" w:tblpX="2126" w:tblpY="353"/>
        <w:tblOverlap w:val="never"/>
        <w:tblW w:w="836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497"/>
        <w:gridCol w:w="1749"/>
        <w:gridCol w:w="1749"/>
        <w:gridCol w:w="1820"/>
      </w:tblGrid>
      <w:tr w14:paraId="03170E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49" w:type="dxa"/>
            <w:tcBorders>
              <w:bottom w:val="single" w:color="auto" w:sz="4" w:space="0"/>
              <w:right w:val="nil"/>
            </w:tcBorders>
          </w:tcPr>
          <w:p w14:paraId="256D7A8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Time（h）</w:t>
            </w:r>
          </w:p>
        </w:tc>
        <w:tc>
          <w:tcPr>
            <w:tcW w:w="1497" w:type="dxa"/>
            <w:tcBorders>
              <w:left w:val="nil"/>
              <w:bottom w:val="single" w:color="auto" w:sz="4" w:space="0"/>
              <w:right w:val="nil"/>
            </w:tcBorders>
          </w:tcPr>
          <w:p w14:paraId="74016BF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TSB decreased</w:t>
            </w:r>
          </w:p>
        </w:tc>
        <w:tc>
          <w:tcPr>
            <w:tcW w:w="1749" w:type="dxa"/>
            <w:tcBorders>
              <w:left w:val="nil"/>
              <w:bottom w:val="single" w:color="auto" w:sz="4" w:space="0"/>
              <w:right w:val="nil"/>
            </w:tcBorders>
          </w:tcPr>
          <w:p w14:paraId="75970EE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IVIG</w:t>
            </w:r>
          </w:p>
        </w:tc>
        <w:tc>
          <w:tcPr>
            <w:tcW w:w="1749" w:type="dxa"/>
            <w:tcBorders>
              <w:left w:val="nil"/>
              <w:bottom w:val="single" w:color="auto" w:sz="4" w:space="0"/>
              <w:right w:val="nil"/>
            </w:tcBorders>
          </w:tcPr>
          <w:p w14:paraId="3F22EA90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Non-IVIG</w:t>
            </w:r>
          </w:p>
        </w:tc>
        <w:tc>
          <w:tcPr>
            <w:tcW w:w="1820" w:type="dxa"/>
            <w:tcBorders>
              <w:left w:val="nil"/>
              <w:bottom w:val="single" w:color="auto" w:sz="4" w:space="0"/>
              <w:right w:val="nil"/>
            </w:tcBorders>
          </w:tcPr>
          <w:p w14:paraId="398D76E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62AD62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bottom w:val="nil"/>
              <w:right w:val="nil"/>
            </w:tcBorders>
          </w:tcPr>
          <w:p w14:paraId="2688A0A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497" w:type="dxa"/>
            <w:tcBorders>
              <w:left w:val="nil"/>
              <w:bottom w:val="nil"/>
              <w:right w:val="nil"/>
            </w:tcBorders>
          </w:tcPr>
          <w:p w14:paraId="6288169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19D85DC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68(94.4%)</w:t>
            </w:r>
          </w:p>
        </w:tc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1C916AF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140(70.7%)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14:paraId="11C23664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＜0.0001</w:t>
            </w:r>
          </w:p>
        </w:tc>
      </w:tr>
      <w:tr w14:paraId="46D8AC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30B9450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4E9A5EC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133309C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4(5.6</w:t>
            </w:r>
            <w:r>
              <w:rPr>
                <w:rFonts w:hint="eastAsia" w:cs="Times New Roman"/>
                <w:lang w:val="en-US" w:eastAsia="zh-CN"/>
              </w:rPr>
              <w:t>%</w:t>
            </w:r>
            <w:r>
              <w:rPr>
                <w:rFonts w:cs="Times New Roman"/>
              </w:rPr>
              <w:t>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280BF3F0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58(29.3%)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6D99F854">
            <w:pPr>
              <w:pStyle w:val="7"/>
              <w:widowControl w:val="0"/>
              <w:rPr>
                <w:rFonts w:cs="Times New Roman"/>
              </w:rPr>
            </w:pPr>
          </w:p>
        </w:tc>
      </w:tr>
      <w:tr w14:paraId="6834E5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016E9DB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0BA485D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41AF4A3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5(92.6%)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7CBF25C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153(73.6%)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4C18A313">
            <w:pPr>
              <w:pStyle w:val="7"/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0.003</w:t>
            </w:r>
          </w:p>
        </w:tc>
      </w:tr>
      <w:tr w14:paraId="2E6733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right w:val="nil"/>
            </w:tcBorders>
          </w:tcPr>
          <w:p w14:paraId="5062766B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right w:val="nil"/>
            </w:tcBorders>
          </w:tcPr>
          <w:p w14:paraId="6C65D6B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</w:tcPr>
          <w:p w14:paraId="19EBF1C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4(7.4%)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</w:tcPr>
          <w:p w14:paraId="0BA6D5A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55(26.4%)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</w:tcPr>
          <w:p w14:paraId="1A5E4AC5">
            <w:pPr>
              <w:pStyle w:val="7"/>
              <w:widowControl w:val="0"/>
              <w:rPr>
                <w:rFonts w:cs="Times New Roman"/>
                <w:b/>
              </w:rPr>
            </w:pPr>
          </w:p>
        </w:tc>
      </w:tr>
    </w:tbl>
    <w:p w14:paraId="4839DBFD">
      <w:pPr>
        <w:rPr>
          <w:b/>
          <w:bCs/>
        </w:rPr>
      </w:pPr>
    </w:p>
    <w:p w14:paraId="6EB9676D">
      <w:pPr>
        <w:rPr>
          <w:b/>
          <w:bCs/>
          <w:szCs w:val="21"/>
        </w:rPr>
      </w:pPr>
      <w:r>
        <w:rPr>
          <w:szCs w:val="21"/>
        </w:rPr>
        <w:t>IVIG</w:t>
      </w:r>
      <w:r>
        <w:rPr>
          <w:rFonts w:hint="eastAsia"/>
          <w:szCs w:val="21"/>
        </w:rPr>
        <w:t xml:space="preserve">, the group use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 xml:space="preserve">; 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Non-IVIG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the group </w:t>
      </w:r>
      <w:r>
        <w:rPr>
          <w:szCs w:val="21"/>
        </w:rPr>
        <w:t>nonuse</w:t>
      </w:r>
      <w:r>
        <w:rPr>
          <w:rFonts w:hint="eastAsia"/>
          <w:szCs w:val="21"/>
        </w:rPr>
        <w:t xml:space="preserve"> of  </w:t>
      </w:r>
      <w:r>
        <w:rPr>
          <w:szCs w:val="21"/>
        </w:rPr>
        <w:t>intravenous immunoglobulin G</w:t>
      </w:r>
    </w:p>
    <w:p w14:paraId="59C1BDBA">
      <w:pPr>
        <w:rPr>
          <w:b/>
          <w:bCs/>
        </w:rPr>
      </w:pPr>
    </w:p>
    <w:p w14:paraId="21D03D20"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>S5</w:t>
      </w:r>
      <w:r>
        <w:rPr>
          <w:b/>
          <w:bCs/>
        </w:rPr>
        <w:t xml:space="preserve">. </w:t>
      </w:r>
      <w:r>
        <w:t>TSB decreas</w:t>
      </w:r>
      <w:r>
        <w:rPr>
          <w:rFonts w:hint="eastAsia"/>
        </w:rPr>
        <w:t>ing</w:t>
      </w:r>
      <w:r>
        <w:t xml:space="preserve"> rate in different time period</w:t>
      </w:r>
      <w:r>
        <w:rPr>
          <w:rFonts w:hint="eastAsia"/>
          <w:lang w:val="en-US" w:eastAsia="zh-CN"/>
        </w:rPr>
        <w:t xml:space="preserve"> from cases met AAP criteria for IVIG administration</w:t>
      </w:r>
      <w:r>
        <w:t>, by IVIG or non-IVIG</w:t>
      </w:r>
    </w:p>
    <w:tbl>
      <w:tblPr>
        <w:tblStyle w:val="5"/>
        <w:tblpPr w:leftFromText="180" w:rightFromText="180" w:vertAnchor="text" w:horzAnchor="page" w:tblpX="2126" w:tblpY="353"/>
        <w:tblOverlap w:val="never"/>
        <w:tblW w:w="836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497"/>
        <w:gridCol w:w="1749"/>
        <w:gridCol w:w="1749"/>
        <w:gridCol w:w="1820"/>
      </w:tblGrid>
      <w:tr w14:paraId="3592F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49" w:type="dxa"/>
            <w:tcBorders>
              <w:bottom w:val="single" w:color="auto" w:sz="4" w:space="0"/>
              <w:right w:val="nil"/>
            </w:tcBorders>
          </w:tcPr>
          <w:p w14:paraId="3C923F09">
            <w:pPr>
              <w:pStyle w:val="7"/>
              <w:widowControl w:val="0"/>
              <w:rPr>
                <w:rFonts w:cs="Times New Roman"/>
              </w:rPr>
            </w:pPr>
            <w:bookmarkStart w:id="12" w:name="_GoBack"/>
            <w:bookmarkEnd w:id="12"/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Time（h）</w:t>
            </w:r>
          </w:p>
        </w:tc>
        <w:tc>
          <w:tcPr>
            <w:tcW w:w="1497" w:type="dxa"/>
            <w:tcBorders>
              <w:left w:val="nil"/>
              <w:bottom w:val="single" w:color="auto" w:sz="4" w:space="0"/>
              <w:right w:val="nil"/>
            </w:tcBorders>
          </w:tcPr>
          <w:p w14:paraId="405BDA2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TSB decreased</w:t>
            </w:r>
          </w:p>
        </w:tc>
        <w:tc>
          <w:tcPr>
            <w:tcW w:w="1749" w:type="dxa"/>
            <w:tcBorders>
              <w:left w:val="nil"/>
              <w:bottom w:val="single" w:color="auto" w:sz="4" w:space="0"/>
              <w:right w:val="nil"/>
            </w:tcBorders>
          </w:tcPr>
          <w:p w14:paraId="63A1F32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IVIG</w:t>
            </w:r>
          </w:p>
        </w:tc>
        <w:tc>
          <w:tcPr>
            <w:tcW w:w="1749" w:type="dxa"/>
            <w:tcBorders>
              <w:left w:val="nil"/>
              <w:bottom w:val="single" w:color="auto" w:sz="4" w:space="0"/>
              <w:right w:val="nil"/>
            </w:tcBorders>
          </w:tcPr>
          <w:p w14:paraId="5607FC85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Non-IVIG</w:t>
            </w:r>
          </w:p>
        </w:tc>
        <w:tc>
          <w:tcPr>
            <w:tcW w:w="1820" w:type="dxa"/>
            <w:tcBorders>
              <w:left w:val="nil"/>
              <w:bottom w:val="single" w:color="auto" w:sz="4" w:space="0"/>
              <w:right w:val="nil"/>
            </w:tcBorders>
          </w:tcPr>
          <w:p w14:paraId="0D88A434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5BE666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bottom w:val="nil"/>
              <w:right w:val="nil"/>
            </w:tcBorders>
          </w:tcPr>
          <w:p w14:paraId="1E078D3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497" w:type="dxa"/>
            <w:tcBorders>
              <w:left w:val="nil"/>
              <w:bottom w:val="nil"/>
              <w:right w:val="nil"/>
            </w:tcBorders>
          </w:tcPr>
          <w:p w14:paraId="4AC998B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1E600F2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59</w:t>
            </w:r>
            <w:r>
              <w:rPr>
                <w:rFonts w:cs="Times New Roman"/>
              </w:rPr>
              <w:t>(9</w:t>
            </w:r>
            <w:r>
              <w:rPr>
                <w:rFonts w:hint="eastAsia" w:cs="Times New Roman"/>
                <w:lang w:val="en-US" w:eastAsia="zh-CN"/>
              </w:rPr>
              <w:t>8.3</w:t>
            </w:r>
            <w:r>
              <w:rPr>
                <w:rFonts w:cs="Times New Roman"/>
              </w:rPr>
              <w:t>%)</w:t>
            </w:r>
          </w:p>
        </w:tc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6C1C1E98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  <w:r>
              <w:rPr>
                <w:rFonts w:hint="eastAsia" w:cs="Times New Roman"/>
                <w:lang w:val="en-US" w:eastAsia="zh-CN"/>
              </w:rPr>
              <w:t>7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91.3</w:t>
            </w:r>
            <w:r>
              <w:rPr>
                <w:rFonts w:cs="Times New Roman"/>
              </w:rPr>
              <w:t>%)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14:paraId="1798C8C8">
            <w:pPr>
              <w:pStyle w:val="7"/>
              <w:widowControl w:val="0"/>
              <w:rPr>
                <w:rFonts w:hint="default" w:eastAsia="宋体" w:cs="Times New Roman"/>
                <w:b w:val="0"/>
                <w:bCs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lang w:val="en-US" w:eastAsia="zh-CN"/>
              </w:rPr>
              <w:t>0.065</w:t>
            </w:r>
          </w:p>
        </w:tc>
      </w:tr>
      <w:tr w14:paraId="03BF08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300D5030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7DB754C7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3616C0AA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1.7%</w:t>
            </w:r>
            <w:r>
              <w:rPr>
                <w:rFonts w:cs="Times New Roman"/>
              </w:rPr>
              <w:t>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34972223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14</w:t>
            </w:r>
            <w:r>
              <w:rPr>
                <w:rFonts w:cs="Times New Roman"/>
              </w:rPr>
              <w:t>(29.3%)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2BEC04BA">
            <w:pPr>
              <w:pStyle w:val="7"/>
              <w:widowControl w:val="0"/>
              <w:rPr>
                <w:rFonts w:cs="Times New Roman"/>
                <w:b w:val="0"/>
                <w:bCs/>
              </w:rPr>
            </w:pPr>
          </w:p>
        </w:tc>
      </w:tr>
      <w:tr w14:paraId="1BD3AB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0F39AE3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7B65B9E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4A626D2D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28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96.6</w:t>
            </w:r>
            <w:r>
              <w:rPr>
                <w:rFonts w:cs="Times New Roman"/>
              </w:rPr>
              <w:t>%)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48EF5FC1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104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96.3</w:t>
            </w:r>
            <w:r>
              <w:rPr>
                <w:rFonts w:cs="Times New Roman"/>
              </w:rPr>
              <w:t>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7FDBBB77">
            <w:pPr>
              <w:pStyle w:val="7"/>
              <w:widowControl w:val="0"/>
              <w:rPr>
                <w:rFonts w:hint="default" w:eastAsia="宋体" w:cs="Times New Roman"/>
                <w:b w:val="0"/>
                <w:bCs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lang w:val="en-US" w:eastAsia="zh-CN"/>
              </w:rPr>
              <w:t>0.948</w:t>
            </w:r>
          </w:p>
        </w:tc>
      </w:tr>
      <w:tr w14:paraId="63E29A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2EBC5C8A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0376257C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4B02512F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cs="Times New Roman"/>
              </w:rPr>
              <w:t>.4%)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68ACC602">
            <w:pPr>
              <w:pStyle w:val="7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cs="Times New Roman"/>
              </w:rPr>
              <w:t>(</w:t>
            </w:r>
            <w:r>
              <w:rPr>
                <w:rFonts w:hint="eastAsia" w:cs="Times New Roman"/>
                <w:lang w:val="en-US" w:eastAsia="zh-CN"/>
              </w:rPr>
              <w:t>3.7</w:t>
            </w:r>
            <w:r>
              <w:rPr>
                <w:rFonts w:cs="Times New Roman"/>
              </w:rPr>
              <w:t>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687AFB05">
            <w:pPr>
              <w:pStyle w:val="7"/>
              <w:widowControl w:val="0"/>
              <w:rPr>
                <w:rFonts w:cs="Times New Roman"/>
                <w:b w:val="0"/>
                <w:bCs/>
              </w:rPr>
            </w:pPr>
          </w:p>
        </w:tc>
      </w:tr>
      <w:tr w14:paraId="0A2F85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bottom w:val="nil"/>
              <w:right w:val="nil"/>
            </w:tcBorders>
          </w:tcPr>
          <w:p w14:paraId="7F77FB53">
            <w:pPr>
              <w:pStyle w:val="7"/>
              <w:widowControl w:val="0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48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027146">
            <w:pPr>
              <w:pStyle w:val="7"/>
              <w:widowControl w:val="0"/>
              <w:rPr>
                <w:rFonts w:ascii="Times New Roman" w:hAnsi="Times New Roman" w:eastAsia="宋体" w:cs="Times New Roman"/>
                <w:b w:val="0"/>
                <w:sz w:val="21"/>
                <w:lang w:val="en-US" w:eastAsia="zh-CN" w:bidi="ar-SA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26596F99">
            <w:pPr>
              <w:pStyle w:val="7"/>
              <w:widowControl w:val="0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39(97.5%)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7E6425EC">
            <w:pPr>
              <w:pStyle w:val="7"/>
              <w:widowControl w:val="0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84(94.4%)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16911B6B">
            <w:pPr>
              <w:pStyle w:val="7"/>
              <w:widowControl w:val="0"/>
              <w:rPr>
                <w:rFonts w:hint="default" w:eastAsia="宋体" w:cs="Times New Roman"/>
                <w:b w:val="0"/>
                <w:bCs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lang w:val="en-US" w:eastAsia="zh-CN"/>
              </w:rPr>
              <w:t>0.437</w:t>
            </w:r>
          </w:p>
        </w:tc>
      </w:tr>
      <w:tr w14:paraId="38D5C6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549" w:type="dxa"/>
            <w:tcBorders>
              <w:top w:val="nil"/>
              <w:right w:val="nil"/>
            </w:tcBorders>
          </w:tcPr>
          <w:p w14:paraId="55EA776C">
            <w:pPr>
              <w:pStyle w:val="7"/>
              <w:widowControl w:val="0"/>
              <w:rPr>
                <w:rFonts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02F0FE0">
            <w:pPr>
              <w:pStyle w:val="7"/>
              <w:widowControl w:val="0"/>
              <w:rPr>
                <w:rFonts w:ascii="Times New Roman" w:hAnsi="Times New Roman" w:eastAsia="宋体" w:cs="Times New Roman"/>
                <w:b w:val="0"/>
                <w:sz w:val="21"/>
                <w:lang w:val="en-US" w:eastAsia="zh-CN" w:bidi="ar-SA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</w:tcPr>
          <w:p w14:paraId="41925948">
            <w:pPr>
              <w:pStyle w:val="7"/>
              <w:widowControl w:val="0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1(2.5%)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</w:tcPr>
          <w:p w14:paraId="2A0ABD0F">
            <w:pPr>
              <w:pStyle w:val="7"/>
              <w:widowControl w:val="0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5(5.6%)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</w:tcPr>
          <w:p w14:paraId="31A448C9">
            <w:pPr>
              <w:pStyle w:val="7"/>
              <w:widowControl w:val="0"/>
              <w:rPr>
                <w:rFonts w:cs="Times New Roman"/>
                <w:b/>
              </w:rPr>
            </w:pPr>
          </w:p>
        </w:tc>
      </w:tr>
    </w:tbl>
    <w:p w14:paraId="09C639D7">
      <w:pPr>
        <w:rPr>
          <w:b/>
          <w:bCs/>
        </w:rPr>
      </w:pPr>
    </w:p>
    <w:p w14:paraId="24D8A493">
      <w:pPr>
        <w:rPr>
          <w:b/>
          <w:bCs/>
          <w:szCs w:val="21"/>
        </w:rPr>
      </w:pPr>
      <w:r>
        <w:rPr>
          <w:szCs w:val="21"/>
        </w:rPr>
        <w:t>IVIG</w:t>
      </w:r>
      <w:r>
        <w:rPr>
          <w:rFonts w:hint="eastAsia"/>
          <w:szCs w:val="21"/>
        </w:rPr>
        <w:t xml:space="preserve">, the group use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 xml:space="preserve">; 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Non-IVIG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the group </w:t>
      </w:r>
      <w:r>
        <w:rPr>
          <w:szCs w:val="21"/>
        </w:rPr>
        <w:t>nonuse</w:t>
      </w:r>
      <w:r>
        <w:rPr>
          <w:rFonts w:hint="eastAsia"/>
          <w:szCs w:val="21"/>
        </w:rPr>
        <w:t xml:space="preserve"> of  </w:t>
      </w:r>
      <w:r>
        <w:rPr>
          <w:szCs w:val="21"/>
        </w:rPr>
        <w:t>intravenous immunoglobulin G</w:t>
      </w:r>
    </w:p>
    <w:p w14:paraId="31B19094">
      <w:pPr>
        <w:rPr>
          <w:b/>
          <w:bCs/>
        </w:rPr>
      </w:pPr>
    </w:p>
    <w:p w14:paraId="65C5AD9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</w:t>
      </w:r>
      <w:r>
        <w:rPr>
          <w:b/>
          <w:bCs/>
        </w:rPr>
        <w:t xml:space="preserve">able </w:t>
      </w:r>
      <w:r>
        <w:rPr>
          <w:rFonts w:hint="eastAsia"/>
          <w:b/>
          <w:bCs/>
          <w:lang w:val="en-US" w:eastAsia="zh-CN"/>
        </w:rPr>
        <w:t xml:space="preserve">S6. </w:t>
      </w:r>
      <w:r>
        <w:rPr>
          <w:rFonts w:hint="eastAsia"/>
          <w:b w:val="0"/>
          <w:bCs w:val="0"/>
          <w:lang w:val="en-US" w:eastAsia="zh-CN"/>
        </w:rPr>
        <w:t xml:space="preserve">Complications by </w:t>
      </w:r>
      <w:r>
        <w:t>IVIG or non-IVIG</w:t>
      </w:r>
    </w:p>
    <w:p w14:paraId="5E8F4314">
      <w:pPr>
        <w:rPr>
          <w:rFonts w:hint="eastAsia"/>
          <w:b/>
          <w:bCs/>
          <w:lang w:val="en-US" w:eastAsia="zh-CN"/>
        </w:rPr>
      </w:pPr>
    </w:p>
    <w:tbl>
      <w:tblPr>
        <w:tblStyle w:val="5"/>
        <w:tblW w:w="870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2312"/>
        <w:gridCol w:w="2173"/>
        <w:gridCol w:w="2057"/>
      </w:tblGrid>
      <w:tr w14:paraId="27155D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167" w:type="dxa"/>
            <w:tcBorders>
              <w:bottom w:val="single" w:color="auto" w:sz="4" w:space="0"/>
              <w:right w:val="nil"/>
            </w:tcBorders>
            <w:vAlign w:val="top"/>
          </w:tcPr>
          <w:p w14:paraId="665866EF">
            <w:pPr>
              <w:pStyle w:val="7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Copmlications</w:t>
            </w:r>
          </w:p>
        </w:tc>
        <w:tc>
          <w:tcPr>
            <w:tcW w:w="2312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6FE07316">
            <w:pPr>
              <w:pStyle w:val="7"/>
              <w:widowControl w:val="0"/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IVIG</w:t>
            </w:r>
          </w:p>
        </w:tc>
        <w:tc>
          <w:tcPr>
            <w:tcW w:w="217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98BBF5D">
            <w:pPr>
              <w:pStyle w:val="7"/>
              <w:widowControl w:val="0"/>
              <w:rPr>
                <w:rFonts w:hint="eastAsia" w:ascii="Times New Roman" w:hAnsi="Times New Roman" w:eastAsia="宋体" w:cstheme="minorBidi"/>
                <w:b w:val="0"/>
                <w:sz w:val="21"/>
                <w:lang w:val="en-US" w:eastAsia="zh-CN" w:bidi="ar-SA"/>
              </w:rPr>
            </w:pPr>
            <w:r>
              <w:rPr>
                <w:rFonts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Non-IVIG</w:t>
            </w:r>
          </w:p>
        </w:tc>
        <w:tc>
          <w:tcPr>
            <w:tcW w:w="2057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34CF5AF8">
            <w:pPr>
              <w:pStyle w:val="7"/>
              <w:widowControl w:val="0"/>
            </w:pPr>
            <w:r>
              <w:rPr>
                <w:rFonts w:hint="eastAsia"/>
              </w:rPr>
              <w:t>P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value</w:t>
            </w:r>
          </w:p>
        </w:tc>
      </w:tr>
      <w:tr w14:paraId="5EACCF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1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2B4F79FC">
            <w:pPr>
              <w:pStyle w:val="7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Neonatal anemia</w:t>
            </w:r>
          </w:p>
        </w:tc>
        <w:tc>
          <w:tcPr>
            <w:tcW w:w="23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A72EC3B">
            <w:pPr>
              <w:pStyle w:val="7"/>
              <w:widowControl w:val="0"/>
            </w:pPr>
            <w:r>
              <w:t>21</w:t>
            </w:r>
          </w:p>
        </w:tc>
        <w:tc>
          <w:tcPr>
            <w:tcW w:w="21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D5EC61">
            <w:pPr>
              <w:pStyle w:val="7"/>
              <w:widowControl w:val="0"/>
              <w:rPr>
                <w:rFonts w:hint="eastAsia" w:ascii="Times New Roman" w:hAnsi="Times New Roman" w:eastAsia="宋体" w:cstheme="minorBidi"/>
                <w:b w:val="0"/>
                <w:sz w:val="21"/>
                <w:lang w:val="en-US" w:eastAsia="zh-CN" w:bidi="ar-SA"/>
              </w:rPr>
            </w:pPr>
            <w:r>
              <w:t>120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D545D41">
            <w:pPr>
              <w:pStyle w:val="7"/>
              <w:widowControl w:val="0"/>
            </w:pPr>
            <w:r>
              <w:rPr>
                <w:rFonts w:hint="eastAsia"/>
              </w:rPr>
              <w:t>0</w:t>
            </w:r>
            <w:r>
              <w:t>.945</w:t>
            </w:r>
          </w:p>
        </w:tc>
      </w:tr>
      <w:tr w14:paraId="15DA3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D3D1B5">
            <w:pPr>
              <w:pStyle w:val="7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ABE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71B665">
            <w:pPr>
              <w:pStyle w:val="7"/>
              <w:widowControl w:val="0"/>
            </w:pPr>
            <w:r>
              <w:rPr>
                <w:rFonts w:hint="eastAsia"/>
              </w:rPr>
              <w:t>2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4E1D0E">
            <w:pPr>
              <w:pStyle w:val="7"/>
              <w:widowControl w:val="0"/>
              <w:rPr>
                <w:rFonts w:hint="eastAsia" w:ascii="Times New Roman" w:hAnsi="Times New Roman" w:eastAsia="宋体" w:cstheme="minorBidi"/>
                <w:b w:val="0"/>
                <w:sz w:val="21"/>
                <w:lang w:val="en-US" w:eastAsia="zh-CN" w:bidi="ar-SA"/>
              </w:rPr>
            </w:pPr>
            <w:r>
              <w:t>9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0F9F0A">
            <w:pPr>
              <w:pStyle w:val="7"/>
              <w:widowControl w:val="0"/>
            </w:pPr>
            <w:r>
              <w:rPr>
                <w:rFonts w:hint="eastAsia"/>
              </w:rPr>
              <w:t>1</w:t>
            </w:r>
            <w:r>
              <w:t>.00</w:t>
            </w:r>
          </w:p>
        </w:tc>
      </w:tr>
      <w:tr w14:paraId="21F98A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167" w:type="dxa"/>
            <w:tcBorders>
              <w:top w:val="nil"/>
              <w:bottom w:val="nil"/>
              <w:right w:val="nil"/>
            </w:tcBorders>
            <w:vAlign w:val="top"/>
          </w:tcPr>
          <w:p w14:paraId="67C85D7B">
            <w:pPr>
              <w:pStyle w:val="7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Electrolyte disturbance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9CB23D">
            <w:pPr>
              <w:pStyle w:val="7"/>
              <w:widowControl w:val="0"/>
            </w:pPr>
            <w:r>
              <w:t>1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AF54AB">
            <w:pPr>
              <w:pStyle w:val="7"/>
              <w:widowControl w:val="0"/>
              <w:rPr>
                <w:rFonts w:hint="eastAsia" w:ascii="Times New Roman" w:hAnsi="Times New Roman" w:eastAsia="宋体" w:cstheme="minorBidi"/>
                <w:b w:val="0"/>
                <w:sz w:val="21"/>
                <w:lang w:val="en-US" w:eastAsia="zh-CN" w:bidi="ar-SA"/>
              </w:rPr>
            </w:pPr>
            <w:r>
              <w:t>12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402EBA">
            <w:pPr>
              <w:pStyle w:val="7"/>
              <w:widowControl w:val="0"/>
            </w:pPr>
            <w:r>
              <w:rPr>
                <w:rFonts w:hint="eastAsia"/>
              </w:rPr>
              <w:t>0</w:t>
            </w:r>
            <w:r>
              <w:t>.719</w:t>
            </w:r>
          </w:p>
        </w:tc>
      </w:tr>
      <w:tr w14:paraId="377154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167" w:type="dxa"/>
            <w:tcBorders>
              <w:top w:val="nil"/>
              <w:bottom w:val="single" w:color="auto" w:sz="4" w:space="0"/>
              <w:right w:val="nil"/>
            </w:tcBorders>
            <w:vAlign w:val="top"/>
          </w:tcPr>
          <w:p w14:paraId="144DD065">
            <w:pPr>
              <w:pStyle w:val="7"/>
              <w:widowControl w:val="0"/>
            </w:pPr>
            <w:bookmarkStart w:id="10" w:name="OLE_LINK24"/>
            <w:r>
              <w:rPr>
                <w:rFonts w:hint="eastAsia"/>
                <w:lang w:val="en-US" w:eastAsia="zh-CN"/>
              </w:rPr>
              <w:t>Others</w:t>
            </w:r>
            <w:bookmarkEnd w:id="10"/>
            <w:r>
              <w:rPr>
                <w:rFonts w:hint="eastAsia"/>
              </w:rPr>
              <w:t>*</w:t>
            </w:r>
          </w:p>
        </w:tc>
        <w:tc>
          <w:tcPr>
            <w:tcW w:w="23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1BB6D79">
            <w:pPr>
              <w:pStyle w:val="7"/>
              <w:widowControl w:val="0"/>
            </w:pPr>
            <w:r>
              <w:rPr>
                <w:rFonts w:hint="eastAsia"/>
              </w:rPr>
              <w:t>2</w:t>
            </w:r>
          </w:p>
        </w:tc>
        <w:tc>
          <w:tcPr>
            <w:tcW w:w="21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2B6C5A5">
            <w:pPr>
              <w:pStyle w:val="7"/>
              <w:widowControl w:val="0"/>
              <w:rPr>
                <w:rFonts w:hint="eastAsia" w:ascii="Times New Roman" w:hAnsi="Times New Roman" w:eastAsia="宋体" w:cstheme="minorBidi"/>
                <w:b w:val="0"/>
                <w:sz w:val="21"/>
                <w:lang w:val="en-US" w:eastAsia="zh-CN" w:bidi="ar-SA"/>
              </w:rPr>
            </w:pPr>
            <w:r>
              <w:t>8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4CD57CCB">
            <w:pPr>
              <w:pStyle w:val="7"/>
              <w:widowControl w:val="0"/>
            </w:pPr>
            <w:r>
              <w:rPr>
                <w:rFonts w:hint="eastAsia"/>
              </w:rPr>
              <w:t>1</w:t>
            </w:r>
            <w:r>
              <w:t>.00</w:t>
            </w:r>
          </w:p>
        </w:tc>
      </w:tr>
    </w:tbl>
    <w:p w14:paraId="6CF40090"/>
    <w:p w14:paraId="31F7D5D5">
      <w:pPr>
        <w:rPr>
          <w:szCs w:val="21"/>
        </w:rPr>
      </w:pPr>
      <w:r>
        <w:rPr>
          <w:szCs w:val="21"/>
        </w:rPr>
        <w:t xml:space="preserve">IVIG, </w:t>
      </w:r>
      <w:r>
        <w:rPr>
          <w:rFonts w:hint="eastAsia"/>
          <w:szCs w:val="21"/>
        </w:rPr>
        <w:t xml:space="preserve">the group use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 xml:space="preserve">; 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Non-IVIG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the group </w:t>
      </w:r>
      <w:r>
        <w:rPr>
          <w:szCs w:val="21"/>
        </w:rPr>
        <w:t>nonuse</w:t>
      </w:r>
      <w:r>
        <w:rPr>
          <w:rFonts w:hint="eastAsia"/>
          <w:szCs w:val="21"/>
        </w:rPr>
        <w:t xml:space="preserve"> of </w:t>
      </w:r>
      <w:r>
        <w:rPr>
          <w:szCs w:val="21"/>
        </w:rPr>
        <w:t>intravenous immunoglobulin G</w:t>
      </w:r>
      <w:r>
        <w:rPr>
          <w:rFonts w:hint="eastAsia"/>
          <w:szCs w:val="21"/>
        </w:rPr>
        <w:t>.</w:t>
      </w:r>
    </w:p>
    <w:p w14:paraId="50647AF3">
      <w:pPr>
        <w:rPr>
          <w:rFonts w:hint="default"/>
          <w:lang w:val="en-US" w:eastAsia="zh-CN"/>
        </w:rPr>
      </w:pPr>
      <w:r>
        <w:rPr>
          <w:rFonts w:hint="eastAsia"/>
        </w:rPr>
        <w:t>*</w:t>
      </w:r>
      <w:r>
        <w:rPr>
          <w:rFonts w:hint="eastAsia"/>
          <w:lang w:val="en-US" w:eastAsia="zh-CN"/>
        </w:rPr>
        <w:t xml:space="preserve"> including </w:t>
      </w:r>
      <w:bookmarkStart w:id="11" w:name="OLE_LINK23"/>
      <w:r>
        <w:rPr>
          <w:rFonts w:hint="eastAsia"/>
          <w:lang w:val="en-US" w:eastAsia="zh-CN"/>
        </w:rPr>
        <w:t>neonatal necrotizing enterocolitis, neonatal gastrointestinal bleeding, apnea neonatorum, neonatal hyperglycemia</w:t>
      </w:r>
      <w:bookmarkEnd w:id="11"/>
    </w:p>
    <w:sectPr>
      <w:pgSz w:w="11906" w:h="16838"/>
      <w:pgMar w:top="56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wYWZiODliMTFlODE3YzFmYTk3ODExYTY4NzZlMzMifQ=="/>
    <w:docVar w:name="KY_MEDREF_DOCUID" w:val="{A7D7847E-297A-4DC6-AD17-FDE5C254F6A2}"/>
    <w:docVar w:name="KY_MEDREF_VERSION" w:val="3"/>
  </w:docVars>
  <w:rsids>
    <w:rsidRoot w:val="000F75FA"/>
    <w:rsid w:val="000F75FA"/>
    <w:rsid w:val="00587BF9"/>
    <w:rsid w:val="006179AF"/>
    <w:rsid w:val="00742DFF"/>
    <w:rsid w:val="00B40280"/>
    <w:rsid w:val="00EC32DA"/>
    <w:rsid w:val="0160630A"/>
    <w:rsid w:val="022E27D9"/>
    <w:rsid w:val="02434CF3"/>
    <w:rsid w:val="02810A7C"/>
    <w:rsid w:val="031A4A2D"/>
    <w:rsid w:val="04116DE6"/>
    <w:rsid w:val="04395D98"/>
    <w:rsid w:val="047343F5"/>
    <w:rsid w:val="04D9643E"/>
    <w:rsid w:val="05726DA2"/>
    <w:rsid w:val="05F257ED"/>
    <w:rsid w:val="0655718E"/>
    <w:rsid w:val="06801BC4"/>
    <w:rsid w:val="078B6B9E"/>
    <w:rsid w:val="07981A06"/>
    <w:rsid w:val="08C274F9"/>
    <w:rsid w:val="0A375EC4"/>
    <w:rsid w:val="0F0D5446"/>
    <w:rsid w:val="0FE443F8"/>
    <w:rsid w:val="1163049F"/>
    <w:rsid w:val="13D54D4E"/>
    <w:rsid w:val="145204CA"/>
    <w:rsid w:val="145E7FE5"/>
    <w:rsid w:val="15C70A44"/>
    <w:rsid w:val="176C53FF"/>
    <w:rsid w:val="17B82D7C"/>
    <w:rsid w:val="181635BD"/>
    <w:rsid w:val="1C896A53"/>
    <w:rsid w:val="1CAA5075"/>
    <w:rsid w:val="1DB007B8"/>
    <w:rsid w:val="1F02489B"/>
    <w:rsid w:val="20190443"/>
    <w:rsid w:val="24B44889"/>
    <w:rsid w:val="25FE4675"/>
    <w:rsid w:val="26610446"/>
    <w:rsid w:val="269B185D"/>
    <w:rsid w:val="270E1DFE"/>
    <w:rsid w:val="28DE3C83"/>
    <w:rsid w:val="2CA46F92"/>
    <w:rsid w:val="2CDE0D5F"/>
    <w:rsid w:val="2EA96AE1"/>
    <w:rsid w:val="304F3A99"/>
    <w:rsid w:val="31F8152E"/>
    <w:rsid w:val="33224F6A"/>
    <w:rsid w:val="34AF25CF"/>
    <w:rsid w:val="35173923"/>
    <w:rsid w:val="354A4570"/>
    <w:rsid w:val="35CC3EC9"/>
    <w:rsid w:val="372D0454"/>
    <w:rsid w:val="37F77517"/>
    <w:rsid w:val="38CF661B"/>
    <w:rsid w:val="3A1A0893"/>
    <w:rsid w:val="3A794F7C"/>
    <w:rsid w:val="3A9A5C5F"/>
    <w:rsid w:val="3E2B306F"/>
    <w:rsid w:val="3E603462"/>
    <w:rsid w:val="3E7762B4"/>
    <w:rsid w:val="40754A75"/>
    <w:rsid w:val="40A8087E"/>
    <w:rsid w:val="417820F1"/>
    <w:rsid w:val="4239316C"/>
    <w:rsid w:val="436419E7"/>
    <w:rsid w:val="445C5C46"/>
    <w:rsid w:val="46A71700"/>
    <w:rsid w:val="48836DF8"/>
    <w:rsid w:val="4B8F6A55"/>
    <w:rsid w:val="4BC82845"/>
    <w:rsid w:val="4C195DD0"/>
    <w:rsid w:val="4DC44DDA"/>
    <w:rsid w:val="4E690104"/>
    <w:rsid w:val="4F056377"/>
    <w:rsid w:val="4F73098E"/>
    <w:rsid w:val="534722A1"/>
    <w:rsid w:val="544124BA"/>
    <w:rsid w:val="5485602F"/>
    <w:rsid w:val="56A54432"/>
    <w:rsid w:val="57931345"/>
    <w:rsid w:val="583D4EB0"/>
    <w:rsid w:val="5A8F42A1"/>
    <w:rsid w:val="5B515976"/>
    <w:rsid w:val="5BB65462"/>
    <w:rsid w:val="5C8005D2"/>
    <w:rsid w:val="5CB12E81"/>
    <w:rsid w:val="5CB32488"/>
    <w:rsid w:val="5D961199"/>
    <w:rsid w:val="5DF66D9E"/>
    <w:rsid w:val="5E7F3237"/>
    <w:rsid w:val="601E082E"/>
    <w:rsid w:val="61000509"/>
    <w:rsid w:val="618A5C34"/>
    <w:rsid w:val="61D8229A"/>
    <w:rsid w:val="63750765"/>
    <w:rsid w:val="63765650"/>
    <w:rsid w:val="696B0545"/>
    <w:rsid w:val="6AD36A13"/>
    <w:rsid w:val="6B99345E"/>
    <w:rsid w:val="6C3A69EF"/>
    <w:rsid w:val="6C7C31D1"/>
    <w:rsid w:val="6D2531FB"/>
    <w:rsid w:val="6D4118D4"/>
    <w:rsid w:val="6DC95B75"/>
    <w:rsid w:val="6DD46B84"/>
    <w:rsid w:val="6E705F39"/>
    <w:rsid w:val="6EFE3D04"/>
    <w:rsid w:val="6F3B4F58"/>
    <w:rsid w:val="6F7E082F"/>
    <w:rsid w:val="6FB8103A"/>
    <w:rsid w:val="6FB93036"/>
    <w:rsid w:val="6FED08DE"/>
    <w:rsid w:val="715311EF"/>
    <w:rsid w:val="752036D5"/>
    <w:rsid w:val="7667389B"/>
    <w:rsid w:val="792720A9"/>
    <w:rsid w:val="7ADB139D"/>
    <w:rsid w:val="7BA051AE"/>
    <w:rsid w:val="7BB21B83"/>
    <w:rsid w:val="7BE73D4D"/>
    <w:rsid w:val="7C246D74"/>
    <w:rsid w:val="7D75531F"/>
    <w:rsid w:val="7E045E11"/>
    <w:rsid w:val="7E24187B"/>
    <w:rsid w:val="7EC34622"/>
    <w:rsid w:val="7F9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20表格正文"/>
    <w:basedOn w:val="8"/>
    <w:autoRedefine/>
    <w:qFormat/>
    <w:uiPriority w:val="0"/>
  </w:style>
  <w:style w:type="paragraph" w:customStyle="1" w:styleId="8">
    <w:name w:val="12图注"/>
    <w:basedOn w:val="9"/>
    <w:autoRedefine/>
    <w:qFormat/>
    <w:uiPriority w:val="0"/>
    <w:rPr>
      <w:rFonts w:eastAsia="宋体"/>
      <w:b w:val="0"/>
    </w:rPr>
  </w:style>
  <w:style w:type="paragraph" w:customStyle="1" w:styleId="9">
    <w:name w:val="11图题"/>
    <w:basedOn w:val="10"/>
    <w:autoRedefine/>
    <w:qFormat/>
    <w:uiPriority w:val="0"/>
    <w:pPr>
      <w:jc w:val="center"/>
    </w:pPr>
    <w:rPr>
      <w:b/>
      <w:sz w:val="21"/>
    </w:rPr>
  </w:style>
  <w:style w:type="paragraph" w:customStyle="1" w:styleId="10">
    <w:name w:val="10四级标题"/>
    <w:basedOn w:val="11"/>
    <w:autoRedefine/>
    <w:qFormat/>
    <w:uiPriority w:val="0"/>
    <w:rPr>
      <w:b w:val="0"/>
    </w:rPr>
  </w:style>
  <w:style w:type="paragraph" w:customStyle="1" w:styleId="11">
    <w:name w:val="9三级标题"/>
    <w:basedOn w:val="12"/>
    <w:autoRedefine/>
    <w:qFormat/>
    <w:uiPriority w:val="0"/>
    <w:rPr>
      <w:sz w:val="24"/>
    </w:rPr>
  </w:style>
  <w:style w:type="paragraph" w:customStyle="1" w:styleId="12">
    <w:name w:val="8二级标题"/>
    <w:basedOn w:val="13"/>
    <w:autoRedefine/>
    <w:qFormat/>
    <w:uiPriority w:val="0"/>
    <w:pPr>
      <w:jc w:val="left"/>
    </w:pPr>
    <w:rPr>
      <w:sz w:val="28"/>
    </w:rPr>
  </w:style>
  <w:style w:type="paragraph" w:customStyle="1" w:styleId="13">
    <w:name w:val="7一级标题"/>
    <w:next w:val="1"/>
    <w:autoRedefine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微软雅黑" w:cstheme="minorBidi"/>
      <w:b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233</Words>
  <Characters>1198</Characters>
  <Lines>32</Lines>
  <Paragraphs>9</Paragraphs>
  <TotalTime>0</TotalTime>
  <ScaleCrop>false</ScaleCrop>
  <LinksUpToDate>false</LinksUpToDate>
  <CharactersWithSpaces>1278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2024-03-28T05:28:00Z</dcterms:created>
  <dc:creator>mayisheng</dc:creator>
  <cp:lastModifiedBy>秦淮以南种三七</cp:lastModifiedBy>
  <dcterms:modified xsi:type="dcterms:W3CDTF">2025-06-01T07:08:06Z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9F28C9AA94AC4498ACA2E0DE51BC3FB8_12</vt:lpwstr>
  </property>
  <property fmtid="{D5CDD505-2E9C-101B-9397-08002B2CF9AE}" pid="4" name="KSOTemplateDocerSaveRecord">
    <vt:lpwstr>eyJoZGlkIjoiYzMwYWZiODliMTFlODE3YzFmYTk3ODExYTY4NzZlMzMiLCJ1c2VySWQiOiIyNjI0MjEwNDMifQ==</vt:lpwstr>
  </property>
</Properties>
</file>