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D339C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S1. Sensitivity analysis of antibacterial treatment duration adjusting for center and clinical confounders.</w:t>
      </w:r>
    </w:p>
    <w:p w14:paraId="18C304FC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tbl>
      <w:tblPr>
        <w:tblStyle w:val="2"/>
        <w:tblW w:w="799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3"/>
        <w:gridCol w:w="1943"/>
        <w:gridCol w:w="2197"/>
        <w:gridCol w:w="1356"/>
      </w:tblGrid>
      <w:tr w14:paraId="58AC3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B1F9BD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98BCF0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Coefficient (β)</w:t>
            </w:r>
          </w:p>
        </w:tc>
        <w:tc>
          <w:tcPr>
            <w:tcW w:w="21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BF5DE3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CI</w:t>
            </w: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E0AE3C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</w:tr>
      <w:tr w14:paraId="72352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50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2776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Tumor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C640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-0.23</w:t>
            </w:r>
          </w:p>
        </w:tc>
        <w:tc>
          <w:tcPr>
            <w:tcW w:w="21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4A1C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0.66</w:t>
            </w: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107C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</w:t>
            </w:r>
          </w:p>
        </w:tc>
      </w:tr>
      <w:tr w14:paraId="715DC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4EEE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Grade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vs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687F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0.28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06973">
            <w:pPr>
              <w:keepNext w:val="0"/>
              <w:keepLines w:val="0"/>
              <w:widowControl/>
              <w:suppressLineNumbers w:val="0"/>
              <w:wordWrap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.00 to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B654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</w:t>
            </w:r>
          </w:p>
        </w:tc>
      </w:tr>
      <w:tr w14:paraId="478E1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4202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(per year)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0BBE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D136D">
            <w:pPr>
              <w:keepNext w:val="0"/>
              <w:keepLines w:val="0"/>
              <w:widowControl/>
              <w:suppressLineNumbers w:val="0"/>
              <w:wordWrap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6C6C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0FA2B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A5FE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First diagnosis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8E33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30C9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9FD2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275E4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EFDB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Neutropenia</w:t>
            </w:r>
            <w:bookmarkEnd w:id="0"/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B40F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813D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FFDA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2D17B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6711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ral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ucositis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06C3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90D6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150D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0.97</w:t>
            </w:r>
          </w:p>
        </w:tc>
      </w:tr>
      <w:tr w14:paraId="4E65A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FC53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GVHD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1D00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-0.05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550F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-0.36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B211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</w:t>
            </w:r>
          </w:p>
        </w:tc>
      </w:tr>
      <w:tr w14:paraId="57C18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5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A53A62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TMP-SMX prophylaxis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3ED498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</w:t>
            </w:r>
          </w:p>
        </w:tc>
        <w:tc>
          <w:tcPr>
            <w:tcW w:w="21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8C1D18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112B8D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0A3A6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9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158EC2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GVHD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graft-versus-host disease;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TMP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trimethoprim;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SMX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sulfamethoxazole.</w:t>
            </w:r>
          </w:p>
        </w:tc>
      </w:tr>
    </w:tbl>
    <w:p w14:paraId="757D76FD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824AD"/>
    <w:rsid w:val="02C71A55"/>
    <w:rsid w:val="0301396B"/>
    <w:rsid w:val="09806B82"/>
    <w:rsid w:val="0D3055FF"/>
    <w:rsid w:val="0F73799F"/>
    <w:rsid w:val="0FC0394C"/>
    <w:rsid w:val="25CB1302"/>
    <w:rsid w:val="267B565F"/>
    <w:rsid w:val="42D54D8D"/>
    <w:rsid w:val="48EF0FC1"/>
    <w:rsid w:val="4B0610EB"/>
    <w:rsid w:val="58550FBC"/>
    <w:rsid w:val="616616D2"/>
    <w:rsid w:val="689947E2"/>
    <w:rsid w:val="721D0945"/>
    <w:rsid w:val="727A5D97"/>
    <w:rsid w:val="767B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373</Characters>
  <DocSecurity>0</DocSecurity>
  <Lines>0</Lines>
  <Paragraphs>0</Paragraphs>
  <ScaleCrop>false</ScaleCrop>
  <LinksUpToDate>false</LinksUpToDate>
  <CharactersWithSpaces>412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2025-11-12T11:41:00Z</dcterms:created>
  <dcterms:modified xsi:type="dcterms:W3CDTF">2025-11-14T03:20:31Z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eyJoZGlkIjoiN2YzNjBkOTgyNWQ1YTMxYzM3MzMwNWFiODNmOWIzYWMiLCJ1c2VySWQiOiI0NTM4Mjg1MjcifQ==</vt:lpwstr>
  </property>
  <property fmtid="{D5CDD505-2E9C-101B-9397-08002B2CF9AE}" pid="4" name="ICV">
    <vt:lpwstr>34201E4785254678BF546FCAF460BC8C_12</vt:lpwstr>
  </property>
</Properties>
</file>