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36AED">
      <w:pPr>
        <w:spacing w:line="360" w:lineRule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S2. Multivariable logistic regression for antibacterial combination therapy adjusting for key clinical confounders.</w:t>
      </w:r>
    </w:p>
    <w:p w14:paraId="7097B6EB">
      <w:pPr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tbl>
      <w:tblPr>
        <w:tblStyle w:val="2"/>
        <w:tblW w:w="87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1959"/>
        <w:gridCol w:w="2769"/>
        <w:gridCol w:w="1476"/>
      </w:tblGrid>
      <w:tr w14:paraId="57EC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BC30E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16688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Adjusted OR</w:t>
            </w:r>
          </w:p>
        </w:tc>
        <w:tc>
          <w:tcPr>
            <w:tcW w:w="27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B2C7E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 CI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DB949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5CD4A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A952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Tumor 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6AC0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2.83</w:t>
            </w:r>
          </w:p>
        </w:tc>
        <w:tc>
          <w:tcPr>
            <w:tcW w:w="27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E11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13.36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5C69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24E9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FE5F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Age 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6B1C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44EE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F14B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70E9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42B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First diagnosis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8A1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34FD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778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</w:tr>
      <w:tr w14:paraId="2132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47A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Neutropenia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753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6B7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F65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43BCC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D381E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TMP-SMX prophylaxis</w:t>
            </w:r>
          </w:p>
        </w:tc>
        <w:tc>
          <w:tcPr>
            <w:tcW w:w="19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4A9AE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27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6902B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to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8B8D5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</w:t>
            </w:r>
          </w:p>
        </w:tc>
      </w:tr>
    </w:tbl>
    <w:p w14:paraId="61974660">
      <w:pPr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732CE"/>
    <w:rsid w:val="2B230073"/>
    <w:rsid w:val="3B806E1C"/>
    <w:rsid w:val="4CEC4311"/>
    <w:rsid w:val="7281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278</Characters>
  <DocSecurity>0</DocSecurity>
  <Lines>0</Lines>
  <Paragraphs>0</Paragraphs>
  <ScaleCrop>false</ScaleCrop>
  <LinksUpToDate>false</LinksUpToDate>
  <CharactersWithSpaces>308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2025-11-13T07:21:00Z</dcterms:created>
  <dcterms:modified xsi:type="dcterms:W3CDTF">2025-11-14T05:03:03Z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eyJoZGlkIjoiN2YzNjBkOTgyNWQ1YTMxYzM3MzMwNWFiODNmOWIzYWMiLCJ1c2VySWQiOiI0NTM4Mjg1MjcifQ==</vt:lpwstr>
  </property>
  <property fmtid="{D5CDD505-2E9C-101B-9397-08002B2CF9AE}" pid="4" name="ICV">
    <vt:lpwstr>0B731BF20A6C49B98CEDAE3032A58B14_12</vt:lpwstr>
  </property>
</Properties>
</file>